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289560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314325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-122555</wp:posOffset>
            </wp:positionV>
            <wp:extent cx="1453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-122555</wp:posOffset>
            </wp:positionV>
            <wp:extent cx="145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 w:lineRule="exact"/>
        <w:rPr>
          <w:sz w:val="24"/>
          <w:szCs w:val="24"/>
          <w:color w:val="auto"/>
        </w:rPr>
      </w:pPr>
    </w:p>
    <w:p>
      <w:pPr>
        <w:ind w:left="3860" w:right="1520" w:hanging="3855"/>
        <w:spacing w:after="0" w:line="256" w:lineRule="auto"/>
        <w:tabs>
          <w:tab w:leader="none" w:pos="5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170" w:lineRule="exact"/>
        <w:rPr>
          <w:sz w:val="24"/>
          <w:szCs w:val="24"/>
          <w:color w:val="auto"/>
        </w:rPr>
      </w:pPr>
    </w:p>
    <w:p>
      <w:pPr>
        <w:ind w:left="540" w:hanging="53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587" w:right="239" w:bottom="1440" w:gutter="0" w:footer="0" w:header="0"/>
        </w:sectPr>
      </w:pPr>
    </w:p>
    <w:p>
      <w:pPr>
        <w:spacing w:after="0" w:line="27" w:lineRule="exact"/>
        <w:rPr>
          <w:sz w:val="24"/>
          <w:szCs w:val="24"/>
          <w:color w:val="auto"/>
        </w:rPr>
      </w:pPr>
    </w:p>
    <w:p>
      <w:pPr>
        <w:jc w:val="right"/>
        <w:ind w:right="4420"/>
        <w:spacing w:after="0"/>
        <w:tabs>
          <w:tab w:leader="none" w:pos="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right"/>
        <w:ind w:right="4360"/>
        <w:spacing w:after="0"/>
        <w:rPr>
          <w:sz w:val="20"/>
          <w:szCs w:val="20"/>
          <w:color w:val="auto"/>
        </w:rPr>
      </w:pPr>
      <w:r>
        <w:rPr>
          <w:rFonts w:ascii="Arial" w:cs="Arial" w:eastAsia="Arial" w:hAnsi="Arial"/>
          <w:sz w:val="18"/>
          <w:szCs w:val="18"/>
          <w:b w:val="1"/>
          <w:bCs w:val="1"/>
          <w:color w:val="auto"/>
        </w:rPr>
        <w:t>Commission File Number 1-12744</w:t>
      </w:r>
    </w:p>
    <w:p>
      <w:pPr>
        <w:sectPr>
          <w:pgSz w:w="11900" w:h="16838" w:orient="portrait"/>
          <w:cols w:equalWidth="0" w:num="1">
            <w:col w:w="11420"/>
          </w:cols>
          <w:pgMar w:left="240" w:top="587" w:right="239" w:bottom="1440" w:gutter="0" w:footer="0" w:header="0"/>
          <w:type w:val="continuous"/>
        </w:sectPr>
      </w:pP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-122555</wp:posOffset>
            </wp:positionV>
            <wp:extent cx="145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280" w:type="dxa"/>
        <w:tblCellMar>
          <w:top w:w="0" w:type="dxa"/>
          <w:left w:w="0" w:type="dxa"/>
          <w:bottom w:w="0" w:type="dxa"/>
          <w:right w:w="0" w:type="dxa"/>
        </w:tblCellMar>
      </w:tblPr>
      <w:tr>
        <w:trPr>
          <w:trHeight w:val="197"/>
        </w:trPr>
        <w:tc>
          <w:tcPr>
            <w:tcW w:w="3280" w:type="dxa"/>
            <w:vAlign w:val="bottom"/>
          </w:tcPr>
          <w:p>
            <w:pPr>
              <w:jc w:val="center"/>
              <w:ind w:right="88"/>
              <w:spacing w:after="0" w:line="197" w:lineRule="exact"/>
              <w:rPr>
                <w:sz w:val="20"/>
                <w:szCs w:val="20"/>
                <w:color w:val="auto"/>
              </w:rPr>
            </w:pPr>
            <w:r>
              <w:rPr>
                <w:rFonts w:ascii="Arial" w:cs="Arial" w:eastAsia="Arial" w:hAnsi="Arial"/>
                <w:sz w:val="18"/>
                <w:szCs w:val="18"/>
                <w:b w:val="1"/>
                <w:bCs w:val="1"/>
                <w:color w:val="auto"/>
                <w:w w:val="97"/>
              </w:rPr>
              <w:t>North Carolina</w:t>
            </w:r>
          </w:p>
        </w:tc>
        <w:tc>
          <w:tcPr>
            <w:tcW w:w="2300" w:type="dxa"/>
            <w:vAlign w:val="bottom"/>
            <w:tcBorders>
              <w:top w:val="single" w:sz="8" w:color="auto"/>
            </w:tcBorders>
          </w:tcPr>
          <w:p>
            <w:pPr>
              <w:spacing w:after="0"/>
              <w:rPr>
                <w:sz w:val="17"/>
                <w:szCs w:val="17"/>
                <w:color w:val="auto"/>
              </w:rPr>
            </w:pPr>
          </w:p>
        </w:tc>
        <w:tc>
          <w:tcPr>
            <w:tcW w:w="2680" w:type="dxa"/>
            <w:vAlign w:val="bottom"/>
          </w:tcPr>
          <w:p>
            <w:pPr>
              <w:jc w:val="center"/>
              <w:ind w:left="768"/>
              <w:spacing w:after="0" w:line="197" w:lineRule="exact"/>
              <w:rPr>
                <w:sz w:val="20"/>
                <w:szCs w:val="20"/>
                <w:color w:val="auto"/>
              </w:rPr>
            </w:pPr>
            <w:r>
              <w:rPr>
                <w:rFonts w:ascii="Arial" w:cs="Arial" w:eastAsia="Arial" w:hAnsi="Arial"/>
                <w:sz w:val="18"/>
                <w:szCs w:val="18"/>
                <w:b w:val="1"/>
                <w:bCs w:val="1"/>
                <w:color w:val="auto"/>
                <w:w w:val="93"/>
              </w:rPr>
              <w:t>56-1848578</w:t>
            </w:r>
          </w:p>
        </w:tc>
      </w:tr>
      <w:tr>
        <w:trPr>
          <w:trHeight w:val="210"/>
        </w:trPr>
        <w:tc>
          <w:tcPr>
            <w:tcW w:w="3280" w:type="dxa"/>
            <w:vAlign w:val="bottom"/>
          </w:tcPr>
          <w:p>
            <w:pPr>
              <w:jc w:val="center"/>
              <w:ind w:right="128"/>
              <w:spacing w:after="0"/>
              <w:rPr>
                <w:sz w:val="20"/>
                <w:szCs w:val="20"/>
                <w:color w:val="auto"/>
              </w:rPr>
            </w:pPr>
            <w:r>
              <w:rPr>
                <w:rFonts w:ascii="Arial" w:cs="Arial" w:eastAsia="Arial" w:hAnsi="Arial"/>
                <w:sz w:val="18"/>
                <w:szCs w:val="18"/>
                <w:b w:val="1"/>
                <w:bCs w:val="1"/>
                <w:color w:val="auto"/>
                <w:w w:val="93"/>
              </w:rPr>
              <w:t>(State or other jurisdiction of</w:t>
            </w:r>
          </w:p>
        </w:tc>
        <w:tc>
          <w:tcPr>
            <w:tcW w:w="2300" w:type="dxa"/>
            <w:vAlign w:val="bottom"/>
          </w:tcPr>
          <w:p>
            <w:pPr>
              <w:spacing w:after="0"/>
              <w:rPr>
                <w:sz w:val="18"/>
                <w:szCs w:val="18"/>
                <w:color w:val="auto"/>
              </w:rPr>
            </w:pPr>
          </w:p>
        </w:tc>
        <w:tc>
          <w:tcPr>
            <w:tcW w:w="2680" w:type="dxa"/>
            <w:vAlign w:val="bottom"/>
          </w:tcPr>
          <w:p>
            <w:pPr>
              <w:jc w:val="center"/>
              <w:ind w:left="768"/>
              <w:spacing w:after="0"/>
              <w:rPr>
                <w:sz w:val="20"/>
                <w:szCs w:val="20"/>
                <w:color w:val="auto"/>
              </w:rPr>
            </w:pPr>
            <w:r>
              <w:rPr>
                <w:rFonts w:ascii="Arial" w:cs="Arial" w:eastAsia="Arial" w:hAnsi="Arial"/>
                <w:sz w:val="18"/>
                <w:szCs w:val="18"/>
                <w:b w:val="1"/>
                <w:bCs w:val="1"/>
                <w:color w:val="auto"/>
                <w:w w:val="97"/>
              </w:rPr>
              <w:t>(I.R.S. Employer</w:t>
            </w:r>
          </w:p>
        </w:tc>
      </w:tr>
      <w:tr>
        <w:trPr>
          <w:trHeight w:val="238"/>
        </w:trPr>
        <w:tc>
          <w:tcPr>
            <w:tcW w:w="3280" w:type="dxa"/>
            <w:vAlign w:val="bottom"/>
          </w:tcPr>
          <w:p>
            <w:pPr>
              <w:jc w:val="center"/>
              <w:ind w:right="148"/>
              <w:spacing w:after="0"/>
              <w:rPr>
                <w:sz w:val="20"/>
                <w:szCs w:val="20"/>
                <w:color w:val="auto"/>
              </w:rPr>
            </w:pPr>
            <w:r>
              <w:rPr>
                <w:rFonts w:ascii="Arial" w:cs="Arial" w:eastAsia="Arial" w:hAnsi="Arial"/>
                <w:sz w:val="18"/>
                <w:szCs w:val="18"/>
                <w:b w:val="1"/>
                <w:bCs w:val="1"/>
                <w:color w:val="auto"/>
                <w:w w:val="93"/>
              </w:rPr>
              <w:t>incorporation or organization)</w:t>
            </w:r>
          </w:p>
        </w:tc>
        <w:tc>
          <w:tcPr>
            <w:tcW w:w="2300" w:type="dxa"/>
            <w:vAlign w:val="bottom"/>
          </w:tcPr>
          <w:p>
            <w:pPr>
              <w:spacing w:after="0"/>
              <w:rPr>
                <w:sz w:val="20"/>
                <w:szCs w:val="20"/>
                <w:color w:val="auto"/>
              </w:rPr>
            </w:pPr>
          </w:p>
        </w:tc>
        <w:tc>
          <w:tcPr>
            <w:tcW w:w="2680" w:type="dxa"/>
            <w:vAlign w:val="bottom"/>
          </w:tcPr>
          <w:p>
            <w:pPr>
              <w:jc w:val="center"/>
              <w:ind w:left="768"/>
              <w:spacing w:after="0"/>
              <w:rPr>
                <w:sz w:val="20"/>
                <w:szCs w:val="20"/>
                <w:color w:val="auto"/>
              </w:rPr>
            </w:pPr>
            <w:r>
              <w:rPr>
                <w:rFonts w:ascii="Arial" w:cs="Arial" w:eastAsia="Arial" w:hAnsi="Arial"/>
                <w:sz w:val="18"/>
                <w:szCs w:val="18"/>
                <w:b w:val="1"/>
                <w:bCs w:val="1"/>
                <w:color w:val="auto"/>
                <w:w w:val="95"/>
              </w:rPr>
              <w:t>Identification Number)</w:t>
            </w:r>
          </w:p>
        </w:tc>
      </w:tr>
      <w:tr>
        <w:trPr>
          <w:trHeight w:val="406"/>
        </w:trPr>
        <w:tc>
          <w:tcPr>
            <w:tcW w:w="3280" w:type="dxa"/>
            <w:vAlign w:val="bottom"/>
          </w:tcPr>
          <w:p>
            <w:pPr>
              <w:jc w:val="center"/>
              <w:ind w:right="128"/>
              <w:spacing w:after="0"/>
              <w:rPr>
                <w:sz w:val="20"/>
                <w:szCs w:val="20"/>
                <w:color w:val="auto"/>
              </w:rPr>
            </w:pPr>
            <w:r>
              <w:rPr>
                <w:rFonts w:ascii="Arial" w:cs="Arial" w:eastAsia="Arial" w:hAnsi="Arial"/>
                <w:sz w:val="18"/>
                <w:szCs w:val="18"/>
                <w:b w:val="1"/>
                <w:bCs w:val="1"/>
                <w:color w:val="auto"/>
                <w:w w:val="94"/>
              </w:rPr>
              <w:t>2710 Wycliff Road, Raleigh, NC</w:t>
            </w:r>
          </w:p>
        </w:tc>
        <w:tc>
          <w:tcPr>
            <w:tcW w:w="4980" w:type="dxa"/>
            <w:vAlign w:val="bottom"/>
            <w:gridSpan w:val="2"/>
          </w:tcPr>
          <w:p>
            <w:pPr>
              <w:jc w:val="center"/>
              <w:ind w:left="3068"/>
              <w:spacing w:after="0"/>
              <w:rPr>
                <w:sz w:val="20"/>
                <w:szCs w:val="20"/>
                <w:color w:val="auto"/>
              </w:rPr>
            </w:pPr>
            <w:r>
              <w:rPr>
                <w:rFonts w:ascii="Arial" w:cs="Arial" w:eastAsia="Arial" w:hAnsi="Arial"/>
                <w:sz w:val="18"/>
                <w:szCs w:val="18"/>
                <w:b w:val="1"/>
                <w:bCs w:val="1"/>
                <w:color w:val="auto"/>
                <w:w w:val="93"/>
              </w:rPr>
              <w:t>27607-3033</w:t>
            </w:r>
          </w:p>
        </w:tc>
      </w:tr>
      <w:tr>
        <w:trPr>
          <w:trHeight w:val="230"/>
        </w:trPr>
        <w:tc>
          <w:tcPr>
            <w:tcW w:w="3280" w:type="dxa"/>
            <w:vAlign w:val="bottom"/>
          </w:tcPr>
          <w:p>
            <w:pPr>
              <w:jc w:val="center"/>
              <w:ind w:right="148"/>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768"/>
              <w:spacing w:after="0"/>
              <w:rPr>
                <w:sz w:val="20"/>
                <w:szCs w:val="20"/>
                <w:color w:val="auto"/>
              </w:rPr>
            </w:pPr>
            <w:r>
              <w:rPr>
                <w:rFonts w:ascii="Arial" w:cs="Arial" w:eastAsia="Arial" w:hAnsi="Arial"/>
                <w:sz w:val="18"/>
                <w:szCs w:val="18"/>
                <w:b w:val="1"/>
                <w:bCs w:val="1"/>
                <w:color w:val="auto"/>
                <w:w w:val="96"/>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919-781-4550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None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3" w:lineRule="exact"/>
        <w:rPr>
          <w:sz w:val="24"/>
          <w:szCs w:val="24"/>
          <w:color w:val="auto"/>
        </w:rPr>
      </w:pPr>
    </w:p>
    <w:p>
      <w:pPr>
        <w:ind w:right="220"/>
        <w:spacing w:after="0" w:line="24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7"/>
          <w:szCs w:val="17"/>
          <w:color w:val="auto"/>
        </w:rPr>
        <w:t>☑</w:t>
      </w:r>
      <w:r>
        <w:rPr>
          <w:rFonts w:ascii="Arial" w:cs="Arial" w:eastAsia="Arial" w:hAnsi="Arial"/>
          <w:sz w:val="18"/>
          <w:szCs w:val="18"/>
          <w:color w:val="auto"/>
        </w:rPr>
        <w:tab/>
        <w:t xml:space="preserve">No </w:t>
      </w:r>
      <w:r>
        <w:rPr>
          <w:rFonts w:ascii="Arial" w:cs="Arial" w:eastAsia="Arial" w:hAnsi="Arial"/>
          <w:sz w:val="17"/>
          <w:szCs w:val="17"/>
          <w:color w:val="auto"/>
        </w:rPr>
        <w:t>o</w:t>
      </w:r>
    </w:p>
    <w:p>
      <w:pPr>
        <w:spacing w:after="0" w:line="3" w:lineRule="exact"/>
        <w:rPr>
          <w:sz w:val="24"/>
          <w:szCs w:val="24"/>
          <w:color w:val="auto"/>
        </w:rPr>
      </w:pPr>
    </w:p>
    <w:p>
      <w:pPr>
        <w:ind w:right="120"/>
        <w:spacing w:after="0" w:line="24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7"/>
          <w:szCs w:val="17"/>
          <w:color w:val="auto"/>
        </w:rPr>
        <w:t>☑</w:t>
      </w:r>
      <w:r>
        <w:rPr>
          <w:rFonts w:ascii="Arial" w:cs="Arial" w:eastAsia="Arial" w:hAnsi="Arial"/>
          <w:sz w:val="18"/>
          <w:szCs w:val="18"/>
          <w:color w:val="auto"/>
        </w:rPr>
        <w:tab/>
        <w:t xml:space="preserve">No </w:t>
      </w:r>
      <w:r>
        <w:rPr>
          <w:rFonts w:ascii="Arial" w:cs="Arial" w:eastAsia="Arial" w:hAnsi="Arial"/>
          <w:sz w:val="17"/>
          <w:szCs w:val="17"/>
          <w:color w:val="auto"/>
        </w:rPr>
        <w:t>o</w:t>
      </w:r>
    </w:p>
    <w:p>
      <w:pPr>
        <w:spacing w:after="0" w:line="3" w:lineRule="exact"/>
        <w:rPr>
          <w:sz w:val="24"/>
          <w:szCs w:val="24"/>
          <w:color w:val="auto"/>
        </w:rPr>
      </w:pPr>
    </w:p>
    <w:p>
      <w:pPr>
        <w:ind w:right="140"/>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c>
          <w:tcPr>
            <w:tcW w:w="468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680"/>
              <w:spacing w:after="0"/>
              <w:rPr>
                <w:sz w:val="20"/>
                <w:szCs w:val="20"/>
                <w:color w:val="auto"/>
              </w:rPr>
            </w:pPr>
            <w:r>
              <w:rPr>
                <w:rFonts w:ascii="Arial" w:cs="Arial" w:eastAsia="Arial" w:hAnsi="Arial"/>
                <w:sz w:val="18"/>
                <w:szCs w:val="18"/>
                <w:color w:val="auto"/>
              </w:rPr>
              <w:t>o</w:t>
            </w:r>
          </w:p>
        </w:tc>
      </w:tr>
      <w:tr>
        <w:trPr>
          <w:trHeight w:val="379"/>
        </w:trPr>
        <w:tc>
          <w:tcPr>
            <w:tcW w:w="21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400"/>
              <w:spacing w:after="0"/>
              <w:rPr>
                <w:sz w:val="20"/>
                <w:szCs w:val="20"/>
                <w:color w:val="auto"/>
              </w:rPr>
            </w:pPr>
            <w:r>
              <w:rPr>
                <w:rFonts w:ascii="Arial" w:cs="Arial" w:eastAsia="Arial" w:hAnsi="Arial"/>
                <w:sz w:val="18"/>
                <w:szCs w:val="18"/>
                <w:color w:val="auto"/>
              </w:rPr>
              <w:t>o</w:t>
            </w:r>
          </w:p>
        </w:tc>
        <w:tc>
          <w:tcPr>
            <w:tcW w:w="240" w:type="dxa"/>
            <w:vAlign w:val="bottom"/>
          </w:tcPr>
          <w:p>
            <w:pPr>
              <w:spacing w:after="0"/>
              <w:rPr>
                <w:sz w:val="24"/>
                <w:szCs w:val="24"/>
                <w:color w:val="auto"/>
              </w:rPr>
            </w:pPr>
          </w:p>
        </w:tc>
        <w:tc>
          <w:tcPr>
            <w:tcW w:w="468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680"/>
              <w:spacing w:after="0"/>
              <w:rPr>
                <w:sz w:val="20"/>
                <w:szCs w:val="20"/>
                <w:color w:val="auto"/>
              </w:rPr>
            </w:pPr>
            <w:r>
              <w:rPr>
                <w:rFonts w:ascii="Arial" w:cs="Arial" w:eastAsia="Arial" w:hAnsi="Arial"/>
                <w:sz w:val="18"/>
                <w:szCs w:val="18"/>
                <w:color w:val="auto"/>
              </w:rPr>
              <w:t>o</w:t>
            </w:r>
          </w:p>
        </w:tc>
      </w:tr>
      <w:tr>
        <w:trPr>
          <w:trHeight w:val="188"/>
        </w:trPr>
        <w:tc>
          <w:tcPr>
            <w:tcW w:w="10520" w:type="dxa"/>
            <w:vAlign w:val="bottom"/>
            <w:gridSpan w:val="5"/>
          </w:tcPr>
          <w:p>
            <w:pPr>
              <w:spacing w:after="0" w:line="188"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90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40" w:type="dxa"/>
            <w:vAlign w:val="bottom"/>
          </w:tcPr>
          <w:p>
            <w:pPr>
              <w:ind w:left="2980"/>
              <w:spacing w:after="0"/>
              <w:rPr>
                <w:sz w:val="20"/>
                <w:szCs w:val="20"/>
                <w:color w:val="auto"/>
              </w:rPr>
            </w:pPr>
            <w:r>
              <w:rPr>
                <w:rFonts w:ascii="Arial" w:cs="Arial" w:eastAsia="Arial" w:hAnsi="Arial"/>
                <w:sz w:val="18"/>
                <w:szCs w:val="18"/>
                <w:color w:val="auto"/>
                <w:w w:val="96"/>
              </w:rPr>
              <w:t xml:space="preserve">Yes </w:t>
            </w:r>
            <w:r>
              <w:rPr>
                <w:rFonts w:ascii="Arial" w:cs="Arial" w:eastAsia="Arial" w:hAnsi="Arial"/>
                <w:sz w:val="17"/>
                <w:szCs w:val="17"/>
                <w:color w:val="auto"/>
                <w:w w:val="96"/>
              </w:rPr>
              <w:t>o</w:t>
            </w:r>
          </w:p>
        </w:tc>
        <w:tc>
          <w:tcPr>
            <w:tcW w:w="492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7"/>
                <w:szCs w:val="17"/>
                <w:color w:val="auto"/>
              </w:rPr>
              <w:t>☑</w:t>
            </w:r>
          </w:p>
        </w:tc>
        <w:tc>
          <w:tcPr>
            <w:tcW w:w="900" w:type="dxa"/>
            <w:vAlign w:val="bottom"/>
          </w:tcPr>
          <w:p>
            <w:pPr>
              <w:spacing w:after="0"/>
              <w:rPr>
                <w:sz w:val="20"/>
                <w:szCs w:val="20"/>
                <w:color w:val="auto"/>
              </w:rPr>
            </w:pPr>
          </w:p>
        </w:tc>
      </w:tr>
      <w:tr>
        <w:trPr>
          <w:trHeight w:val="234"/>
        </w:trPr>
        <w:tc>
          <w:tcPr>
            <w:tcW w:w="105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900" w:type="dxa"/>
            <w:vAlign w:val="bottom"/>
          </w:tcPr>
          <w:p>
            <w:pPr>
              <w:spacing w:after="0"/>
              <w:rPr>
                <w:sz w:val="20"/>
                <w:szCs w:val="20"/>
                <w:color w:val="auto"/>
              </w:rPr>
            </w:pPr>
          </w:p>
        </w:tc>
      </w:tr>
      <w:tr>
        <w:trPr>
          <w:trHeight w:val="433"/>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050"/>
              <w:spacing w:after="0"/>
              <w:rPr>
                <w:sz w:val="20"/>
                <w:szCs w:val="20"/>
                <w:color w:val="auto"/>
              </w:rPr>
            </w:pPr>
            <w:r>
              <w:rPr>
                <w:rFonts w:ascii="Arial" w:cs="Arial" w:eastAsia="Arial" w:hAnsi="Arial"/>
                <w:sz w:val="18"/>
                <w:szCs w:val="18"/>
                <w:b w:val="1"/>
                <w:bCs w:val="1"/>
                <w:color w:val="auto"/>
                <w:w w:val="87"/>
              </w:rPr>
              <w:t>Class</w:t>
            </w:r>
          </w:p>
        </w:tc>
        <w:tc>
          <w:tcPr>
            <w:tcW w:w="240" w:type="dxa"/>
            <w:vAlign w:val="bottom"/>
          </w:tcPr>
          <w:p>
            <w:pPr>
              <w:spacing w:after="0"/>
              <w:rPr>
                <w:sz w:val="24"/>
                <w:szCs w:val="24"/>
                <w:color w:val="auto"/>
              </w:rPr>
            </w:pPr>
          </w:p>
        </w:tc>
        <w:tc>
          <w:tcPr>
            <w:tcW w:w="4680" w:type="dxa"/>
            <w:vAlign w:val="bottom"/>
            <w:tcBorders>
              <w:bottom w:val="single" w:sz="8" w:color="auto"/>
            </w:tcBorders>
          </w:tcPr>
          <w:p>
            <w:pPr>
              <w:jc w:val="center"/>
              <w:ind w:left="808"/>
              <w:spacing w:after="0"/>
              <w:rPr>
                <w:sz w:val="20"/>
                <w:szCs w:val="20"/>
                <w:color w:val="auto"/>
              </w:rPr>
            </w:pPr>
            <w:r>
              <w:rPr>
                <w:rFonts w:ascii="Arial" w:cs="Arial" w:eastAsia="Arial" w:hAnsi="Arial"/>
                <w:sz w:val="18"/>
                <w:szCs w:val="18"/>
                <w:b w:val="1"/>
                <w:bCs w:val="1"/>
                <w:color w:val="auto"/>
                <w:w w:val="92"/>
              </w:rPr>
              <w:t>Outstanding as of May 1, 2015</w:t>
            </w:r>
          </w:p>
        </w:tc>
        <w:tc>
          <w:tcPr>
            <w:tcW w:w="900" w:type="dxa"/>
            <w:vAlign w:val="bottom"/>
            <w:tcBorders>
              <w:bottom w:val="single" w:sz="8" w:color="auto"/>
            </w:tcBorders>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2"/>
              </w:rPr>
              <w:t>Common Stock, $0.01 par value</w:t>
            </w:r>
          </w:p>
        </w:tc>
        <w:tc>
          <w:tcPr>
            <w:tcW w:w="240" w:type="dxa"/>
            <w:vAlign w:val="bottom"/>
          </w:tcPr>
          <w:p>
            <w:pPr>
              <w:spacing w:after="0"/>
              <w:rPr>
                <w:sz w:val="19"/>
                <w:szCs w:val="19"/>
                <w:color w:val="auto"/>
              </w:rPr>
            </w:pPr>
          </w:p>
        </w:tc>
        <w:tc>
          <w:tcPr>
            <w:tcW w:w="4680" w:type="dxa"/>
            <w:vAlign w:val="bottom"/>
          </w:tcPr>
          <w:p>
            <w:pPr>
              <w:jc w:val="right"/>
              <w:ind w:right="1388"/>
              <w:spacing w:after="0"/>
              <w:rPr>
                <w:sz w:val="20"/>
                <w:szCs w:val="20"/>
                <w:color w:val="auto"/>
              </w:rPr>
            </w:pPr>
            <w:r>
              <w:rPr>
                <w:rFonts w:ascii="Arial" w:cs="Arial" w:eastAsia="Arial" w:hAnsi="Arial"/>
                <w:sz w:val="18"/>
                <w:szCs w:val="18"/>
                <w:color w:val="auto"/>
              </w:rPr>
              <w:t>67,481,231</w:t>
            </w:r>
          </w:p>
        </w:tc>
        <w:tc>
          <w:tcPr>
            <w:tcW w:w="900" w:type="dxa"/>
            <w:vAlign w:val="bottom"/>
          </w:tcPr>
          <w:p>
            <w:pPr>
              <w:spacing w:after="0"/>
              <w:rPr>
                <w:sz w:val="19"/>
                <w:szCs w:val="19"/>
                <w:color w:val="auto"/>
              </w:rPr>
            </w:pPr>
          </w:p>
        </w:tc>
      </w:tr>
      <w:tr>
        <w:trPr>
          <w:trHeight w:val="147"/>
        </w:trPr>
        <w:tc>
          <w:tcPr>
            <w:tcW w:w="2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860" w:type="dxa"/>
            <w:vAlign w:val="bottom"/>
            <w:gridSpan w:val="18"/>
            <w:vMerge w:val="restart"/>
          </w:tcPr>
          <w:p>
            <w:pPr>
              <w:spacing w:after="0"/>
              <w:rPr>
                <w:sz w:val="20"/>
                <w:szCs w:val="20"/>
                <w:color w:val="auto"/>
              </w:rPr>
            </w:pPr>
            <w:r>
              <w:rPr>
                <w:rFonts w:ascii="Arial" w:cs="Arial" w:eastAsia="Arial" w:hAnsi="Arial"/>
                <w:sz w:val="19"/>
                <w:szCs w:val="19"/>
                <w:color w:val="auto"/>
              </w:rPr>
              <w:t>Part I. Financial Information:</w:t>
            </w: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w w:val="81"/>
              </w:rPr>
              <w:t>Page</w:t>
            </w:r>
          </w:p>
        </w:tc>
        <w:tc>
          <w:tcPr>
            <w:tcW w:w="0" w:type="dxa"/>
            <w:vAlign w:val="bottom"/>
          </w:tcPr>
          <w:p>
            <w:pPr>
              <w:spacing w:after="0"/>
              <w:rPr>
                <w:sz w:val="1"/>
                <w:szCs w:val="1"/>
                <w:color w:val="auto"/>
              </w:rPr>
            </w:pPr>
          </w:p>
        </w:tc>
      </w:tr>
      <w:tr>
        <w:trPr>
          <w:trHeight w:val="222"/>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20" w:type="dxa"/>
            <w:vAlign w:val="bottom"/>
          </w:tcPr>
          <w:p>
            <w:pPr>
              <w:spacing w:after="0"/>
              <w:rPr>
                <w:sz w:val="24"/>
                <w:szCs w:val="24"/>
                <w:color w:val="auto"/>
              </w:rPr>
            </w:pPr>
          </w:p>
        </w:tc>
        <w:tc>
          <w:tcPr>
            <w:tcW w:w="10640" w:type="dxa"/>
            <w:vAlign w:val="bottom"/>
            <w:gridSpan w:val="17"/>
          </w:tcPr>
          <w:p>
            <w:pPr>
              <w:spacing w:after="0"/>
              <w:rPr>
                <w:sz w:val="20"/>
                <w:szCs w:val="20"/>
                <w:color w:val="auto"/>
              </w:rPr>
            </w:pPr>
            <w:r>
              <w:rPr>
                <w:rFonts w:ascii="Arial" w:cs="Arial" w:eastAsia="Arial" w:hAnsi="Arial"/>
                <w:sz w:val="19"/>
                <w:szCs w:val="19"/>
                <w:color w:val="auto"/>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9"/>
                <w:szCs w:val="19"/>
                <w:color w:val="0000EE"/>
                <w:w w:val="90"/>
              </w:rPr>
            </w:pPr>
            <w:hyperlink w:anchor="page3">
              <w:r>
                <w:rPr>
                  <w:rFonts w:ascii="Arial" w:cs="Arial" w:eastAsia="Arial" w:hAnsi="Arial"/>
                  <w:sz w:val="19"/>
                  <w:szCs w:val="19"/>
                  <w:color w:val="0000EE"/>
                  <w:w w:val="90"/>
                </w:rPr>
                <w:t>Consolidated Balance Sheets – March 31, 2015, December 31, 2014 and March 31, 2014</w:t>
              </w:r>
            </w:hyperlink>
          </w:p>
        </w:tc>
        <w:tc>
          <w:tcPr>
            <w:tcW w:w="35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651"/>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40" w:type="dxa"/>
            <w:vAlign w:val="bottom"/>
            <w:gridSpan w:val="16"/>
          </w:tcPr>
          <w:p>
            <w:pPr>
              <w:spacing w:after="0"/>
              <w:rPr>
                <w:rFonts w:ascii="Arial" w:cs="Arial" w:eastAsia="Arial" w:hAnsi="Arial"/>
                <w:sz w:val="19"/>
                <w:szCs w:val="19"/>
                <w:color w:val="0000EE"/>
              </w:rPr>
            </w:pPr>
            <w:hyperlink w:anchor="page4">
              <w:r>
                <w:rPr>
                  <w:rFonts w:ascii="Arial" w:cs="Arial" w:eastAsia="Arial" w:hAnsi="Arial"/>
                  <w:sz w:val="19"/>
                  <w:szCs w:val="19"/>
                  <w:color w:val="0000EE"/>
                </w:rPr>
                <w:t>Consolidated Statements of Earnings and Comprehensive Earnings - Three Months Ended March 31, 2015 and 2014</w:t>
              </w:r>
            </w:hyperlink>
          </w:p>
        </w:tc>
        <w:tc>
          <w:tcPr>
            <w:tcW w:w="56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0" w:type="dxa"/>
            <w:vAlign w:val="bottom"/>
            <w:tcBorders>
              <w:top w:val="single" w:sz="8" w:color="0000EE"/>
            </w:tcBorders>
            <w:gridSpan w:val="15"/>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Consolidated Statements of Cash Flows - Three Months Ended March 31, 2015 and 2014</w:t>
              </w:r>
            </w:hyperlink>
          </w:p>
        </w:tc>
        <w:tc>
          <w:tcPr>
            <w:tcW w:w="1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tcBorders>
              <w:top w:val="single" w:sz="8" w:color="0000EE"/>
              <w:bottom w:val="single" w:sz="8" w:color="0000EE"/>
            </w:tcBorders>
            <w:gridSpan w:val="11"/>
          </w:tcPr>
          <w:p>
            <w:pPr>
              <w:spacing w:after="0"/>
              <w:rPr>
                <w:rFonts w:ascii="Arial" w:cs="Arial" w:eastAsia="Arial" w:hAnsi="Arial"/>
                <w:sz w:val="19"/>
                <w:szCs w:val="19"/>
                <w:color w:val="0000EE"/>
                <w:w w:val="92"/>
              </w:rPr>
            </w:pPr>
            <w:hyperlink w:anchor="page6">
              <w:r>
                <w:rPr>
                  <w:rFonts w:ascii="Arial" w:cs="Arial" w:eastAsia="Arial" w:hAnsi="Arial"/>
                  <w:sz w:val="19"/>
                  <w:szCs w:val="19"/>
                  <w:color w:val="0000EE"/>
                  <w:w w:val="92"/>
                </w:rPr>
                <w:t>Consolidated Statement of Total Equity - Three Months Ended March 31, 2015</w:t>
              </w:r>
            </w:hyperlink>
          </w:p>
        </w:tc>
        <w:tc>
          <w:tcPr>
            <w:tcW w:w="780" w:type="dxa"/>
            <w:vAlign w:val="bottom"/>
            <w:tcBorders>
              <w:top w:val="single" w:sz="8" w:color="0000EE"/>
            </w:tcBorders>
            <w:gridSpan w:val="2"/>
          </w:tcPr>
          <w:p>
            <w:pPr>
              <w:spacing w:after="0"/>
              <w:rPr>
                <w:sz w:val="24"/>
                <w:szCs w:val="24"/>
                <w:color w:val="auto"/>
              </w:rPr>
            </w:pPr>
          </w:p>
        </w:tc>
        <w:tc>
          <w:tcPr>
            <w:tcW w:w="35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0000EE"/>
            </w:tcBorders>
            <w:gridSpan w:val="8"/>
          </w:tcPr>
          <w:p>
            <w:pPr>
              <w:spacing w:after="0"/>
              <w:rPr>
                <w:rFonts w:ascii="Arial" w:cs="Arial" w:eastAsia="Arial" w:hAnsi="Arial"/>
                <w:sz w:val="19"/>
                <w:szCs w:val="19"/>
                <w:color w:val="0000EE"/>
                <w:w w:val="90"/>
              </w:rPr>
            </w:pPr>
            <w:hyperlink w:anchor="page7">
              <w:r>
                <w:rPr>
                  <w:rFonts w:ascii="Arial" w:cs="Arial" w:eastAsia="Arial" w:hAnsi="Arial"/>
                  <w:sz w:val="19"/>
                  <w:szCs w:val="19"/>
                  <w:color w:val="0000EE"/>
                  <w:w w:val="90"/>
                </w:rPr>
                <w:t>Notes to Consolidated Financial Statements</w:t>
              </w:r>
            </w:hyperlink>
          </w:p>
        </w:tc>
        <w:tc>
          <w:tcPr>
            <w:tcW w:w="70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19"/>
                <w:szCs w:val="19"/>
                <w:color w:val="0000EE"/>
              </w:rPr>
            </w:pPr>
            <w:hyperlink w:anchor="page22">
              <w:r>
                <w:rPr>
                  <w:rFonts w:ascii="Arial" w:cs="Arial" w:eastAsia="Arial" w:hAnsi="Arial"/>
                  <w:sz w:val="19"/>
                  <w:szCs w:val="19"/>
                  <w:color w:val="0000EE"/>
                </w:rPr>
                <w:t>Item 2. Management’s Discussion and Analysis of Financial Condition and Results of Operations</w:t>
              </w:r>
            </w:hyperlink>
            <w:r>
              <w:rPr>
                <w:rFonts w:ascii="Arial" w:cs="Arial" w:eastAsia="Arial" w:hAnsi="Arial"/>
                <w:sz w:val="19"/>
                <w:szCs w:val="19"/>
                <w:color w:val="000000"/>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7500" w:type="dxa"/>
            <w:vAlign w:val="bottom"/>
            <w:tcBorders>
              <w:top w:val="single" w:sz="8" w:color="0000EE"/>
            </w:tcBorders>
            <w:gridSpan w:val="15"/>
          </w:tcPr>
          <w:p>
            <w:pPr>
              <w:spacing w:after="0"/>
              <w:rPr>
                <w:rFonts w:ascii="Arial" w:cs="Arial" w:eastAsia="Arial" w:hAnsi="Arial"/>
                <w:sz w:val="19"/>
                <w:szCs w:val="19"/>
                <w:color w:val="0000EE"/>
              </w:rPr>
            </w:pPr>
            <w:hyperlink w:anchor="page44">
              <w:r>
                <w:rPr>
                  <w:rFonts w:ascii="Arial" w:cs="Arial" w:eastAsia="Arial" w:hAnsi="Arial"/>
                  <w:sz w:val="19"/>
                  <w:szCs w:val="19"/>
                  <w:color w:val="0000EE"/>
                </w:rPr>
                <w:t>Item 3. Quantitative and Qualitative Disclosures About Market Risk</w:t>
              </w:r>
            </w:hyperlink>
            <w:r>
              <w:rPr>
                <w:rFonts w:ascii="Arial" w:cs="Arial" w:eastAsia="Arial" w:hAnsi="Arial"/>
                <w:sz w:val="19"/>
                <w:szCs w:val="19"/>
                <w:color w:val="000000"/>
              </w:rPr>
              <w:t>.</w:t>
            </w:r>
          </w:p>
        </w:tc>
        <w:tc>
          <w:tcPr>
            <w:tcW w:w="31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5260" w:type="dxa"/>
            <w:vAlign w:val="bottom"/>
            <w:tcBorders>
              <w:top w:val="single" w:sz="8" w:color="0000EE"/>
            </w:tcBorders>
            <w:gridSpan w:val="11"/>
          </w:tcPr>
          <w:p>
            <w:pPr>
              <w:spacing w:after="0"/>
              <w:rPr>
                <w:rFonts w:ascii="Arial" w:cs="Arial" w:eastAsia="Arial" w:hAnsi="Arial"/>
                <w:sz w:val="19"/>
                <w:szCs w:val="19"/>
                <w:color w:val="0000EE"/>
              </w:rPr>
            </w:pPr>
            <w:hyperlink w:anchor="page45">
              <w:r>
                <w:rPr>
                  <w:rFonts w:ascii="Arial" w:cs="Arial" w:eastAsia="Arial" w:hAnsi="Arial"/>
                  <w:sz w:val="19"/>
                  <w:szCs w:val="19"/>
                  <w:color w:val="0000EE"/>
                </w:rPr>
                <w:t>Item 4. Controls and Procedures</w:t>
              </w:r>
            </w:hyperlink>
            <w:r>
              <w:rPr>
                <w:rFonts w:ascii="Arial" w:cs="Arial" w:eastAsia="Arial" w:hAnsi="Arial"/>
                <w:sz w:val="19"/>
                <w:szCs w:val="19"/>
                <w:color w:val="000000"/>
              </w:rPr>
              <w:t>.</w:t>
            </w:r>
          </w:p>
        </w:tc>
        <w:tc>
          <w:tcPr>
            <w:tcW w:w="53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0860" w:type="dxa"/>
            <w:vAlign w:val="bottom"/>
            <w:gridSpan w:val="18"/>
          </w:tcPr>
          <w:p>
            <w:pPr>
              <w:spacing w:after="0"/>
              <w:rPr>
                <w:sz w:val="20"/>
                <w:szCs w:val="20"/>
                <w:color w:val="auto"/>
              </w:rPr>
            </w:pPr>
            <w:r>
              <w:rPr>
                <w:rFonts w:ascii="Arial" w:cs="Arial" w:eastAsia="Arial" w:hAnsi="Arial"/>
                <w:sz w:val="19"/>
                <w:szCs w:val="19"/>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9"/>
                <w:szCs w:val="19"/>
                <w:color w:val="0000EE"/>
                <w:w w:val="92"/>
              </w:rPr>
            </w:pPr>
            <w:hyperlink w:anchor="page46">
              <w:r>
                <w:rPr>
                  <w:rFonts w:ascii="Arial" w:cs="Arial" w:eastAsia="Arial" w:hAnsi="Arial"/>
                  <w:sz w:val="19"/>
                  <w:szCs w:val="19"/>
                  <w:color w:val="0000EE"/>
                  <w:w w:val="92"/>
                </w:rPr>
                <w:t>Item 1.</w:t>
              </w:r>
            </w:hyperlink>
          </w:p>
        </w:tc>
        <w:tc>
          <w:tcPr>
            <w:tcW w:w="10080" w:type="dxa"/>
            <w:vAlign w:val="bottom"/>
            <w:gridSpan w:val="15"/>
          </w:tcPr>
          <w:p>
            <w:pPr>
              <w:ind w:left="40"/>
              <w:spacing w:after="0"/>
              <w:rPr>
                <w:rFonts w:ascii="Arial" w:cs="Arial" w:eastAsia="Arial" w:hAnsi="Arial"/>
                <w:sz w:val="19"/>
                <w:szCs w:val="19"/>
                <w:color w:val="0000EE"/>
              </w:rPr>
            </w:pPr>
            <w:hyperlink w:anchor="page46">
              <w:r>
                <w:rPr>
                  <w:rFonts w:ascii="Arial" w:cs="Arial" w:eastAsia="Arial" w:hAnsi="Arial"/>
                  <w:sz w:val="19"/>
                  <w:szCs w:val="19"/>
                  <w:color w:val="0000EE"/>
                </w:rPr>
                <w:t>Legal Proceedings</w:t>
              </w:r>
            </w:hyperlink>
            <w:r>
              <w:rPr>
                <w:rFonts w:ascii="Arial" w:cs="Arial" w:eastAsia="Arial" w:hAnsi="Arial"/>
                <w:sz w:val="19"/>
                <w:szCs w:val="19"/>
                <w:color w:val="000000"/>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020" w:type="dxa"/>
            <w:vAlign w:val="bottom"/>
            <w:tcBorders>
              <w:top w:val="single" w:sz="8" w:color="0000EE"/>
            </w:tcBorders>
            <w:gridSpan w:val="7"/>
          </w:tcPr>
          <w:p>
            <w:pPr>
              <w:spacing w:after="0"/>
              <w:rPr>
                <w:rFonts w:ascii="Arial" w:cs="Arial" w:eastAsia="Arial" w:hAnsi="Arial"/>
                <w:sz w:val="19"/>
                <w:szCs w:val="19"/>
                <w:color w:val="0000EE"/>
              </w:rPr>
            </w:pPr>
            <w:hyperlink w:anchor="page46">
              <w:r>
                <w:rPr>
                  <w:rFonts w:ascii="Arial" w:cs="Arial" w:eastAsia="Arial" w:hAnsi="Arial"/>
                  <w:sz w:val="19"/>
                  <w:szCs w:val="19"/>
                  <w:color w:val="0000EE"/>
                </w:rPr>
                <w:t>Item 1A. Risk Factors</w:t>
              </w:r>
            </w:hyperlink>
            <w:r>
              <w:rPr>
                <w:rFonts w:ascii="Arial" w:cs="Arial" w:eastAsia="Arial" w:hAnsi="Arial"/>
                <w:sz w:val="19"/>
                <w:szCs w:val="19"/>
                <w:color w:val="000000"/>
              </w:rPr>
              <w:t>.</w:t>
            </w:r>
          </w:p>
        </w:tc>
        <w:tc>
          <w:tcPr>
            <w:tcW w:w="862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9"/>
                <w:szCs w:val="19"/>
                <w:color w:val="0000EE"/>
                <w:w w:val="92"/>
              </w:rPr>
            </w:pPr>
            <w:hyperlink w:anchor="page46">
              <w:r>
                <w:rPr>
                  <w:rFonts w:ascii="Arial" w:cs="Arial" w:eastAsia="Arial" w:hAnsi="Arial"/>
                  <w:sz w:val="19"/>
                  <w:szCs w:val="19"/>
                  <w:color w:val="0000EE"/>
                  <w:w w:val="92"/>
                </w:rPr>
                <w:t>Item 2.</w:t>
              </w:r>
            </w:hyperlink>
          </w:p>
        </w:tc>
        <w:tc>
          <w:tcPr>
            <w:tcW w:w="10080" w:type="dxa"/>
            <w:vAlign w:val="bottom"/>
            <w:gridSpan w:val="15"/>
          </w:tcPr>
          <w:p>
            <w:pPr>
              <w:ind w:left="40"/>
              <w:spacing w:after="0"/>
              <w:rPr>
                <w:rFonts w:ascii="Arial" w:cs="Arial" w:eastAsia="Arial" w:hAnsi="Arial"/>
                <w:sz w:val="19"/>
                <w:szCs w:val="19"/>
                <w:color w:val="0000EE"/>
              </w:rPr>
            </w:pPr>
            <w:hyperlink w:anchor="page46">
              <w:r>
                <w:rPr>
                  <w:rFonts w:ascii="Arial" w:cs="Arial" w:eastAsia="Arial" w:hAnsi="Arial"/>
                  <w:sz w:val="19"/>
                  <w:szCs w:val="19"/>
                  <w:color w:val="0000EE"/>
                </w:rPr>
                <w:t>Unregistered Sales of Equity Securities and Use of Proceeds</w:t>
              </w:r>
            </w:hyperlink>
            <w:r>
              <w:rPr>
                <w:rFonts w:ascii="Arial" w:cs="Arial" w:eastAsia="Arial" w:hAnsi="Arial"/>
                <w:sz w:val="19"/>
                <w:szCs w:val="19"/>
                <w:color w:val="000000"/>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9"/>
                <w:szCs w:val="19"/>
                <w:color w:val="0000EE"/>
                <w:w w:val="92"/>
              </w:rPr>
            </w:pPr>
            <w:hyperlink w:anchor="page46">
              <w:r>
                <w:rPr>
                  <w:rFonts w:ascii="Arial" w:cs="Arial" w:eastAsia="Arial" w:hAnsi="Arial"/>
                  <w:sz w:val="19"/>
                  <w:szCs w:val="19"/>
                  <w:color w:val="0000EE"/>
                  <w:w w:val="92"/>
                </w:rPr>
                <w:t>Item 4.</w:t>
              </w:r>
            </w:hyperlink>
          </w:p>
        </w:tc>
        <w:tc>
          <w:tcPr>
            <w:tcW w:w="4680" w:type="dxa"/>
            <w:vAlign w:val="bottom"/>
            <w:tcBorders>
              <w:top w:val="single" w:sz="8" w:color="0000EE"/>
            </w:tcBorders>
            <w:gridSpan w:val="8"/>
          </w:tcPr>
          <w:p>
            <w:pPr>
              <w:ind w:left="40"/>
              <w:spacing w:after="0"/>
              <w:rPr>
                <w:rFonts w:ascii="Arial" w:cs="Arial" w:eastAsia="Arial" w:hAnsi="Arial"/>
                <w:sz w:val="19"/>
                <w:szCs w:val="19"/>
                <w:color w:val="0000EE"/>
              </w:rPr>
            </w:pPr>
            <w:hyperlink w:anchor="page46">
              <w:r>
                <w:rPr>
                  <w:rFonts w:ascii="Arial" w:cs="Arial" w:eastAsia="Arial" w:hAnsi="Arial"/>
                  <w:sz w:val="19"/>
                  <w:szCs w:val="19"/>
                  <w:color w:val="0000EE"/>
                </w:rPr>
                <w:t>Mine Safety Disclosures</w:t>
              </w:r>
            </w:hyperlink>
            <w:r>
              <w:rPr>
                <w:rFonts w:ascii="Arial" w:cs="Arial" w:eastAsia="Arial" w:hAnsi="Arial"/>
                <w:sz w:val="19"/>
                <w:szCs w:val="19"/>
                <w:color w:val="000000"/>
              </w:rPr>
              <w:t>.</w:t>
            </w:r>
          </w:p>
        </w:tc>
        <w:tc>
          <w:tcPr>
            <w:tcW w:w="54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9"/>
                <w:szCs w:val="19"/>
                <w:color w:val="0000EE"/>
                <w:w w:val="92"/>
              </w:rPr>
            </w:pPr>
            <w:hyperlink w:anchor="page47">
              <w:r>
                <w:rPr>
                  <w:rFonts w:ascii="Arial" w:cs="Arial" w:eastAsia="Arial" w:hAnsi="Arial"/>
                  <w:sz w:val="19"/>
                  <w:szCs w:val="19"/>
                  <w:color w:val="0000EE"/>
                  <w:w w:val="92"/>
                </w:rPr>
                <w:t>Item 6.</w:t>
              </w:r>
            </w:hyperlink>
          </w:p>
        </w:tc>
        <w:tc>
          <w:tcPr>
            <w:tcW w:w="1920" w:type="dxa"/>
            <w:vAlign w:val="bottom"/>
            <w:tcBorders>
              <w:top w:val="single" w:sz="8" w:color="0000EE"/>
            </w:tcBorders>
            <w:gridSpan w:val="6"/>
          </w:tcPr>
          <w:p>
            <w:pPr>
              <w:ind w:left="40"/>
              <w:spacing w:after="0"/>
              <w:rPr>
                <w:rFonts w:ascii="Arial" w:cs="Arial" w:eastAsia="Arial" w:hAnsi="Arial"/>
                <w:sz w:val="19"/>
                <w:szCs w:val="19"/>
                <w:color w:val="0000EE"/>
              </w:rPr>
            </w:pPr>
            <w:hyperlink w:anchor="page47">
              <w:r>
                <w:rPr>
                  <w:rFonts w:ascii="Arial" w:cs="Arial" w:eastAsia="Arial" w:hAnsi="Arial"/>
                  <w:sz w:val="19"/>
                  <w:szCs w:val="19"/>
                  <w:color w:val="0000EE"/>
                </w:rPr>
                <w:t>Exhibits</w:t>
              </w:r>
            </w:hyperlink>
            <w:r>
              <w:rPr>
                <w:rFonts w:ascii="Arial" w:cs="Arial" w:eastAsia="Arial" w:hAnsi="Arial"/>
                <w:sz w:val="19"/>
                <w:szCs w:val="19"/>
                <w:color w:val="000000"/>
              </w:rPr>
              <w:t>.</w:t>
            </w:r>
          </w:p>
        </w:tc>
        <w:tc>
          <w:tcPr>
            <w:tcW w:w="816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20" w:type="dxa"/>
            <w:vAlign w:val="bottom"/>
            <w:tcBorders>
              <w:bottom w:val="single" w:sz="8" w:color="0000EE"/>
            </w:tcBorders>
            <w:gridSpan w:val="4"/>
          </w:tcPr>
          <w:p>
            <w:pPr>
              <w:spacing w:after="0"/>
              <w:rPr>
                <w:rFonts w:ascii="Arial" w:cs="Arial" w:eastAsia="Arial" w:hAnsi="Arial"/>
                <w:sz w:val="19"/>
                <w:szCs w:val="19"/>
                <w:color w:val="0000EE"/>
                <w:w w:val="88"/>
              </w:rPr>
            </w:pPr>
            <w:hyperlink w:anchor="page48">
              <w:r>
                <w:rPr>
                  <w:rFonts w:ascii="Arial" w:cs="Arial" w:eastAsia="Arial" w:hAnsi="Arial"/>
                  <w:sz w:val="19"/>
                  <w:szCs w:val="19"/>
                  <w:color w:val="0000EE"/>
                  <w:w w:val="88"/>
                </w:rPr>
                <w:t>Signatures</w:t>
              </w:r>
            </w:hyperlink>
          </w:p>
        </w:tc>
        <w:tc>
          <w:tcPr>
            <w:tcW w:w="100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427"/>
        </w:trPr>
        <w:tc>
          <w:tcPr>
            <w:tcW w:w="1060" w:type="dxa"/>
            <w:vAlign w:val="bottom"/>
            <w:tcBorders>
              <w:bottom w:val="single" w:sz="8" w:color="0000EE"/>
            </w:tcBorders>
            <w:gridSpan w:val="5"/>
          </w:tcPr>
          <w:p>
            <w:pPr>
              <w:spacing w:after="0"/>
              <w:rPr>
                <w:rFonts w:ascii="Arial" w:cs="Arial" w:eastAsia="Arial" w:hAnsi="Arial"/>
                <w:sz w:val="19"/>
                <w:szCs w:val="19"/>
                <w:color w:val="0000EE"/>
                <w:w w:val="95"/>
              </w:rPr>
            </w:pPr>
            <w:hyperlink w:anchor="page49">
              <w:r>
                <w:rPr>
                  <w:rFonts w:ascii="Arial" w:cs="Arial" w:eastAsia="Arial" w:hAnsi="Arial"/>
                  <w:sz w:val="19"/>
                  <w:szCs w:val="19"/>
                  <w:color w:val="0000EE"/>
                  <w:w w:val="95"/>
                </w:rPr>
                <w:t>Exhibit Index</w:t>
              </w:r>
            </w:hyperlink>
          </w:p>
        </w:tc>
        <w:tc>
          <w:tcPr>
            <w:tcW w:w="98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 of 49</w:t>
      </w:r>
    </w:p>
    <w:p>
      <w:pPr>
        <w:sectPr>
          <w:pgSz w:w="11900" w:h="16838" w:orient="portrait"/>
          <w:cols w:equalWidth="0" w:num="1">
            <w:col w:w="11420"/>
          </w:cols>
          <w:pgMar w:left="240" w:top="333" w:right="23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6"/>
          <w:szCs w:val="16"/>
          <w:color w:val="auto"/>
        </w:rPr>
        <w:t>PART I. FINANCIAL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MARTIN MARIETTA MATERIALS, INC. AND CONSOLIDATED SUBSIDIARIES</w:t>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color w:val="auto"/>
                <w:w w:val="92"/>
              </w:rPr>
              <w:t>March 31,</w:t>
            </w:r>
          </w:p>
        </w:tc>
        <w:tc>
          <w:tcPr>
            <w:tcW w:w="1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color w:val="auto"/>
                <w:w w:val="87"/>
              </w:rPr>
              <w:t>December 31,</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March 31,</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4"/>
              </w:rPr>
              <w:t>2015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color w:val="auto"/>
                <w:w w:val="89"/>
              </w:rPr>
              <w:t>2014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i w:val="1"/>
                <w:iCs w:val="1"/>
                <w:color w:val="auto"/>
                <w:w w:val="93"/>
              </w:rPr>
              <w:t>(Unaudited)</w:t>
            </w:r>
          </w:p>
        </w:tc>
        <w:tc>
          <w:tcPr>
            <w:tcW w:w="1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i w:val="1"/>
                <w:iCs w:val="1"/>
                <w:color w:val="auto"/>
                <w:w w:val="92"/>
              </w:rPr>
              <w:t>(Audited)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8"/>
          </w:tcPr>
          <w:p>
            <w:pPr>
              <w:jc w:val="right"/>
              <w:ind w:right="800"/>
              <w:spacing w:after="0"/>
              <w:rPr>
                <w:sz w:val="20"/>
                <w:szCs w:val="20"/>
                <w:color w:val="auto"/>
              </w:rPr>
            </w:pPr>
            <w:r>
              <w:rPr>
                <w:rFonts w:ascii="Arial" w:cs="Arial" w:eastAsia="Arial" w:hAnsi="Arial"/>
                <w:sz w:val="16"/>
                <w:szCs w:val="16"/>
                <w:i w:val="1"/>
                <w:iCs w:val="1"/>
                <w:color w:val="auto"/>
              </w:rPr>
              <w:t>(Dollars in Thousands, Except Per Share Data)</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Arial" w:cs="Arial" w:eastAsia="Arial" w:hAnsi="Arial"/>
                <w:sz w:val="16"/>
                <w:szCs w:val="16"/>
                <w:color w:val="auto"/>
              </w:rPr>
              <w:t>Current 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108,651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381,389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421,001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505,047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484,919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354,718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Current deferred income tax benefits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235,367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244,638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5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103,560</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29,607</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Assets</w:t>
            </w:r>
          </w:p>
        </w:tc>
        <w:tc>
          <w:tcPr>
            <w:tcW w:w="15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1,281,729</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1,288,816</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758,214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5,694,546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5,691,676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4,001,505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(2,329,440)</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(2,288,906)</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(2,207,969)</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Net property, plant and equipment</w:t>
            </w:r>
          </w:p>
        </w:tc>
        <w:tc>
          <w:tcPr>
            <w:tcW w:w="1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3,365,106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3,402,770</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1,793,536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2,071,471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2,068,799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Operating permits, net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497,841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499,487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94,113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95,718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15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107,386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108,802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7,417,646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7,464,392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3,255,257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4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Arial" w:cs="Arial" w:eastAsia="Arial" w:hAnsi="Arial"/>
                <w:sz w:val="16"/>
                <w:szCs w:val="16"/>
                <w:color w:val="auto"/>
              </w:rPr>
              <w:t>Current Liabilities: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Bank overdraft</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Accounts payable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184,066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202,476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23,590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36,576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15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Current Liabilities</w:t>
            </w:r>
          </w:p>
        </w:tc>
        <w:tc>
          <w:tcPr>
            <w:tcW w:w="15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343,555</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396,648</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193,758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1,566,617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1,571,059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1,055,541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Pension, postretirement and postemployment benefits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252,923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249,333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Noncurrent deferred income taxes</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753,727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734,583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15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158,641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160,021</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15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3,075,463</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3,111,644</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1,710,964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Common stock, par value $0.01 per share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3,255,809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3,243,619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(106,723)</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(106,159)</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(42,744)</w:t>
            </w:r>
          </w:p>
        </w:tc>
        <w:tc>
          <w:tcPr>
            <w:tcW w:w="0" w:type="dxa"/>
            <w:vAlign w:val="bottom"/>
          </w:tcPr>
          <w:p>
            <w:pPr>
              <w:spacing w:after="0"/>
              <w:rPr>
                <w:sz w:val="1"/>
                <w:szCs w:val="1"/>
                <w:color w:val="auto"/>
              </w:rPr>
            </w:pPr>
          </w:p>
        </w:tc>
      </w:tr>
      <w:tr>
        <w:trPr>
          <w:trHeight w:val="207"/>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Retained earnings</w:t>
            </w:r>
          </w:p>
        </w:tc>
        <w:tc>
          <w:tcPr>
            <w:tcW w:w="15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1,190,807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1,213,035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1,108,516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Shareholders' Equity</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4,340,566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4,351,166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1,508,785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15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Equity</w:t>
            </w:r>
          </w:p>
        </w:tc>
        <w:tc>
          <w:tcPr>
            <w:tcW w:w="15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4,342,183</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4,352,748</w:t>
            </w: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1,544,293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7,417,646</w:t>
            </w:r>
          </w:p>
        </w:tc>
        <w:tc>
          <w:tcPr>
            <w:tcW w:w="2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7,464,392</w:t>
            </w:r>
          </w:p>
        </w:tc>
        <w:tc>
          <w:tcPr>
            <w:tcW w:w="2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3,255,257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49</w:t>
      </w:r>
    </w:p>
    <w:p>
      <w:pPr>
        <w:sectPr>
          <w:pgSz w:w="11900" w:h="16838" w:orient="portrait"/>
          <w:cols w:equalWidth="0" w:num="1">
            <w:col w:w="11420"/>
          </w:cols>
          <w:pgMar w:left="240" w:top="353" w:right="239" w:bottom="1440" w:gutter="0" w:footer="0" w:header="0"/>
        </w:sectPr>
      </w:pPr>
    </w:p>
    <w:bookmarkStart w:id="3" w:name="page4"/>
    <w:bookmarkEnd w:id="3"/>
    <w:p>
      <w:pPr>
        <w:jc w:val="center"/>
        <w:ind w:right="120"/>
        <w:spacing w:after="0"/>
        <w:rPr>
          <w:sz w:val="20"/>
          <w:szCs w:val="20"/>
          <w:color w:val="auto"/>
        </w:rPr>
      </w:pPr>
      <w:r>
        <w:rPr>
          <w:rFonts w:ascii="Arial" w:cs="Arial" w:eastAsia="Arial" w:hAnsi="Arial"/>
          <w:sz w:val="15"/>
          <w:szCs w:val="15"/>
          <w:color w:val="auto"/>
        </w:rPr>
        <w:t>MARTIN MARIETTA MATERIALS, INC. AND CONSOLIDATED SUBSIDIARIES</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STATEMENTS OF EARNINGS AND COMPREHENSIVE EARNINGS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4"/>
          </w:tcPr>
          <w:p>
            <w:pPr>
              <w:jc w:val="center"/>
              <w:ind w:right="425"/>
              <w:spacing w:after="0"/>
              <w:rPr>
                <w:sz w:val="20"/>
                <w:szCs w:val="20"/>
                <w:color w:val="auto"/>
              </w:rPr>
            </w:pPr>
            <w:r>
              <w:rPr>
                <w:rFonts w:ascii="Arial" w:cs="Arial" w:eastAsia="Arial" w:hAnsi="Arial"/>
                <w:sz w:val="15"/>
                <w:szCs w:val="15"/>
                <w:color w:val="auto"/>
                <w:w w:val="89"/>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425"/>
              <w:spacing w:after="0" w:line="172" w:lineRule="exact"/>
              <w:rPr>
                <w:sz w:val="20"/>
                <w:szCs w:val="20"/>
                <w:color w:val="auto"/>
              </w:rPr>
            </w:pPr>
            <w:r>
              <w:rPr>
                <w:rFonts w:ascii="Arial" w:cs="Arial" w:eastAsia="Arial" w:hAnsi="Arial"/>
                <w:sz w:val="15"/>
                <w:szCs w:val="15"/>
                <w:color w:val="auto"/>
                <w:w w:val="92"/>
              </w:rPr>
              <w:t>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jc w:val="right"/>
              <w:ind w:right="5"/>
              <w:spacing w:after="0" w:line="164" w:lineRule="exact"/>
              <w:rPr>
                <w:sz w:val="20"/>
                <w:szCs w:val="20"/>
                <w:color w:val="auto"/>
              </w:rPr>
            </w:pPr>
            <w:r>
              <w:rPr>
                <w:rFonts w:ascii="Arial" w:cs="Arial" w:eastAsia="Arial" w:hAnsi="Arial"/>
                <w:sz w:val="15"/>
                <w:szCs w:val="15"/>
                <w:color w:val="auto"/>
              </w:rPr>
              <w:t>2015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5"/>
              <w:spacing w:after="0" w:line="164" w:lineRule="exact"/>
              <w:rPr>
                <w:sz w:val="20"/>
                <w:szCs w:val="20"/>
                <w:color w:val="auto"/>
              </w:rPr>
            </w:pPr>
            <w:r>
              <w:rPr>
                <w:rFonts w:ascii="Arial" w:cs="Arial" w:eastAsia="Arial" w:hAnsi="Arial"/>
                <w:sz w:val="15"/>
                <w:szCs w:val="15"/>
                <w:color w:val="auto"/>
              </w:rPr>
              <w:t>2014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gridSpan w:val="5"/>
          </w:tcPr>
          <w:p>
            <w:pPr>
              <w:jc w:val="center"/>
              <w:ind w:left="465"/>
              <w:spacing w:after="0" w:line="164" w:lineRule="exact"/>
              <w:rPr>
                <w:sz w:val="20"/>
                <w:szCs w:val="20"/>
                <w:color w:val="auto"/>
              </w:rPr>
            </w:pPr>
            <w:r>
              <w:rPr>
                <w:rFonts w:ascii="Arial" w:cs="Arial" w:eastAsia="Arial" w:hAnsi="Arial"/>
                <w:sz w:val="15"/>
                <w:szCs w:val="15"/>
                <w:i w:val="1"/>
                <w:iCs w:val="1"/>
                <w:color w:val="auto"/>
                <w:w w:val="89"/>
              </w:rPr>
              <w:t>(In Thousands, Except Per Share Data)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4"/>
          </w:tcPr>
          <w:p>
            <w:pPr>
              <w:jc w:val="center"/>
              <w:ind w:right="425"/>
              <w:spacing w:after="0" w:line="172" w:lineRule="exact"/>
              <w:rPr>
                <w:sz w:val="20"/>
                <w:szCs w:val="20"/>
                <w:color w:val="auto"/>
              </w:rPr>
            </w:pPr>
            <w:r>
              <w:rPr>
                <w:rFonts w:ascii="Arial" w:cs="Arial" w:eastAsia="Arial" w:hAnsi="Arial"/>
                <w:sz w:val="15"/>
                <w:szCs w:val="15"/>
                <w:i w:val="1"/>
                <w:iCs w:val="1"/>
                <w:color w:val="auto"/>
                <w:w w:val="94"/>
              </w:rPr>
              <w:t>(Unaudited)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Net Sales</w:t>
            </w:r>
          </w:p>
        </w:tc>
        <w:tc>
          <w:tcPr>
            <w:tcW w:w="2540" w:type="dxa"/>
            <w:vAlign w:val="bottom"/>
            <w:gridSpan w:val="2"/>
            <w:shd w:val="clear" w:color="auto" w:fill="CFF0FC"/>
          </w:tcPr>
          <w:p>
            <w:pPr>
              <w:jc w:val="right"/>
              <w:ind w:right="885"/>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631,876</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965"/>
              <w:spacing w:after="0" w:line="171"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379,678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Freight and delivery revenues</w:t>
            </w:r>
          </w:p>
        </w:tc>
        <w:tc>
          <w:tcPr>
            <w:tcW w:w="15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59,471</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48,951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line="164" w:lineRule="exact"/>
              <w:rPr>
                <w:sz w:val="20"/>
                <w:szCs w:val="20"/>
                <w:color w:val="auto"/>
              </w:rPr>
            </w:pPr>
            <w:r>
              <w:rPr>
                <w:rFonts w:ascii="Arial" w:cs="Arial" w:eastAsia="Arial" w:hAnsi="Arial"/>
                <w:sz w:val="15"/>
                <w:szCs w:val="15"/>
                <w:color w:val="auto"/>
              </w:rPr>
              <w:t>Total revenues</w:t>
            </w:r>
          </w:p>
        </w:tc>
        <w:tc>
          <w:tcPr>
            <w:tcW w:w="150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691,347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5"/>
              </w:rPr>
              <w:t>428,629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Cost of sales</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557,615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353,843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Freight and delivery costs</w:t>
            </w:r>
          </w:p>
        </w:tc>
        <w:tc>
          <w:tcPr>
            <w:tcW w:w="15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59,471</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48,951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line="164" w:lineRule="exact"/>
              <w:rPr>
                <w:sz w:val="20"/>
                <w:szCs w:val="20"/>
                <w:color w:val="auto"/>
              </w:rPr>
            </w:pPr>
            <w:r>
              <w:rPr>
                <w:rFonts w:ascii="Arial" w:cs="Arial" w:eastAsia="Arial" w:hAnsi="Arial"/>
                <w:sz w:val="15"/>
                <w:szCs w:val="15"/>
                <w:color w:val="auto"/>
              </w:rPr>
              <w:t>Total cost of revenues</w:t>
            </w:r>
          </w:p>
        </w:tc>
        <w:tc>
          <w:tcPr>
            <w:tcW w:w="150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617,086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5"/>
              </w:rPr>
              <w:t>402,794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Gross Profit</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74,261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25,835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Selling, general &amp; administrative expenses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49,450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34,247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Acquisition-related expenses, net</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9,512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Other operating income, net</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(2,364)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(2,026)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tcBorders>
            <w:shd w:val="clear" w:color="auto" w:fill="CFF0FC"/>
          </w:tcPr>
          <w:p>
            <w:pPr>
              <w:ind w:left="220"/>
              <w:spacing w:after="0" w:line="164" w:lineRule="exact"/>
              <w:rPr>
                <w:sz w:val="20"/>
                <w:szCs w:val="20"/>
                <w:color w:val="auto"/>
              </w:rPr>
            </w:pPr>
            <w:r>
              <w:rPr>
                <w:rFonts w:ascii="Arial" w:cs="Arial" w:eastAsia="Arial" w:hAnsi="Arial"/>
                <w:sz w:val="15"/>
                <w:szCs w:val="15"/>
                <w:color w:val="auto"/>
              </w:rPr>
              <w:t>Earnings (Loss) from Operations</w:t>
            </w:r>
          </w:p>
        </w:tc>
        <w:tc>
          <w:tcPr>
            <w:tcW w:w="15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25,571</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(15,898)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Interest expense</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19,331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12,201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Other nonoperating expenses, net</w:t>
            </w:r>
          </w:p>
        </w:tc>
        <w:tc>
          <w:tcPr>
            <w:tcW w:w="15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893</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3,463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line="164" w:lineRule="exact"/>
              <w:rPr>
                <w:sz w:val="20"/>
                <w:szCs w:val="20"/>
                <w:color w:val="auto"/>
              </w:rPr>
            </w:pPr>
            <w:r>
              <w:rPr>
                <w:rFonts w:ascii="Arial" w:cs="Arial" w:eastAsia="Arial" w:hAnsi="Arial"/>
                <w:sz w:val="15"/>
                <w:szCs w:val="15"/>
                <w:color w:val="auto"/>
              </w:rPr>
              <w:t>Earnings (Loss) from continuing operations before taxes on income</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5,347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(31,562)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Income tax benefit</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(812)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(8,424)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tcBorders>
            <w:shd w:val="clear" w:color="auto" w:fill="CFF0FC"/>
          </w:tcPr>
          <w:p>
            <w:pPr>
              <w:ind w:left="220"/>
              <w:spacing w:after="0" w:line="164" w:lineRule="exact"/>
              <w:rPr>
                <w:sz w:val="20"/>
                <w:szCs w:val="20"/>
                <w:color w:val="auto"/>
              </w:rPr>
            </w:pPr>
            <w:r>
              <w:rPr>
                <w:rFonts w:ascii="Arial" w:cs="Arial" w:eastAsia="Arial" w:hAnsi="Arial"/>
                <w:sz w:val="15"/>
                <w:szCs w:val="15"/>
                <w:color w:val="auto"/>
              </w:rPr>
              <w:t>Earnings (Loss) from Continuing Operations</w:t>
            </w:r>
          </w:p>
        </w:tc>
        <w:tc>
          <w:tcPr>
            <w:tcW w:w="15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6,159</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(23,138)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Loss on discontinued operations, net of related tax benefit of $1</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tcBorders>
            <w:shd w:val="clear" w:color="auto" w:fill="CFF0FC"/>
          </w:tcPr>
          <w:p>
            <w:pPr>
              <w:spacing w:after="0" w:line="164" w:lineRule="exact"/>
              <w:rPr>
                <w:sz w:val="20"/>
                <w:szCs w:val="20"/>
                <w:color w:val="auto"/>
              </w:rPr>
            </w:pPr>
            <w:r>
              <w:rPr>
                <w:rFonts w:ascii="Arial" w:cs="Arial" w:eastAsia="Arial" w:hAnsi="Arial"/>
                <w:sz w:val="15"/>
                <w:szCs w:val="15"/>
                <w:color w:val="auto"/>
              </w:rPr>
              <w:t>Consolidated net earnings (loss)</w:t>
            </w:r>
          </w:p>
        </w:tc>
        <w:tc>
          <w:tcPr>
            <w:tcW w:w="15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6,159</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(23,153)</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Less: Net earnings (loss) attributable to noncontrolling interests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(1,535)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bottom w:val="single" w:sz="8" w:color="CFF0FC"/>
            </w:tcBorders>
            <w:shd w:val="clear" w:color="auto" w:fill="CFF0FC"/>
          </w:tcPr>
          <w:p>
            <w:pPr>
              <w:spacing w:after="0" w:line="164" w:lineRule="exact"/>
              <w:rPr>
                <w:sz w:val="20"/>
                <w:szCs w:val="20"/>
                <w:color w:val="auto"/>
              </w:rPr>
            </w:pPr>
            <w:r>
              <w:rPr>
                <w:rFonts w:ascii="Arial" w:cs="Arial" w:eastAsia="Arial" w:hAnsi="Arial"/>
                <w:sz w:val="15"/>
                <w:szCs w:val="15"/>
                <w:color w:val="auto"/>
              </w:rPr>
              <w:t>Net Earnings (Loss) Attributable to Martin Marietta Materials, Inc.</w:t>
            </w:r>
          </w:p>
        </w:tc>
        <w:tc>
          <w:tcPr>
            <w:tcW w:w="1500" w:type="dxa"/>
            <w:vAlign w:val="bottom"/>
            <w:tcBorders>
              <w:top w:val="single" w:sz="8" w:color="CFF0FC"/>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ind w:right="885"/>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6,126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ind w:right="965"/>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(21,618)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6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Net Earnings (Loss) Attributable to Martin Marietta Materials, Inc.:</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ind w:left="220"/>
              <w:spacing w:after="0" w:line="171" w:lineRule="exact"/>
              <w:rPr>
                <w:sz w:val="20"/>
                <w:szCs w:val="20"/>
                <w:color w:val="auto"/>
              </w:rPr>
            </w:pPr>
            <w:r>
              <w:rPr>
                <w:rFonts w:ascii="Arial" w:cs="Arial" w:eastAsia="Arial" w:hAnsi="Arial"/>
                <w:sz w:val="15"/>
                <w:szCs w:val="15"/>
                <w:color w:val="auto"/>
              </w:rPr>
              <w:t>Earnings (Loss) from continuing operations</w:t>
            </w:r>
          </w:p>
        </w:tc>
        <w:tc>
          <w:tcPr>
            <w:tcW w:w="2540" w:type="dxa"/>
            <w:vAlign w:val="bottom"/>
            <w:gridSpan w:val="2"/>
          </w:tcPr>
          <w:p>
            <w:pPr>
              <w:jc w:val="right"/>
              <w:ind w:right="885"/>
              <w:spacing w:after="0" w:line="171"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6,126</w:t>
            </w:r>
          </w:p>
        </w:tc>
        <w:tc>
          <w:tcPr>
            <w:tcW w:w="100" w:type="dxa"/>
            <w:vAlign w:val="bottom"/>
          </w:tcPr>
          <w:p>
            <w:pPr>
              <w:spacing w:after="0"/>
              <w:rPr>
                <w:sz w:val="14"/>
                <w:szCs w:val="14"/>
                <w:color w:val="auto"/>
              </w:rPr>
            </w:pPr>
          </w:p>
        </w:tc>
        <w:tc>
          <w:tcPr>
            <w:tcW w:w="1220" w:type="dxa"/>
            <w:vAlign w:val="bottom"/>
            <w:gridSpan w:val="2"/>
          </w:tcPr>
          <w:p>
            <w:pPr>
              <w:jc w:val="right"/>
              <w:ind w:right="965"/>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(21,603)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line="171" w:lineRule="exact"/>
              <w:rPr>
                <w:sz w:val="20"/>
                <w:szCs w:val="20"/>
                <w:color w:val="auto"/>
              </w:rPr>
            </w:pPr>
            <w:r>
              <w:rPr>
                <w:rFonts w:ascii="Arial" w:cs="Arial" w:eastAsia="Arial" w:hAnsi="Arial"/>
                <w:sz w:val="15"/>
                <w:szCs w:val="15"/>
                <w:color w:val="auto"/>
              </w:rPr>
              <w:t>Loss from discontinued operations</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D"/>
          </w:tcPr>
          <w:p>
            <w:pPr>
              <w:spacing w:after="0"/>
              <w:rPr>
                <w:sz w:val="14"/>
                <w:szCs w:val="14"/>
                <w:color w:val="auto"/>
              </w:rPr>
            </w:pPr>
          </w:p>
        </w:tc>
        <w:tc>
          <w:tcPr>
            <w:tcW w:w="700" w:type="dxa"/>
            <w:vAlign w:val="bottom"/>
            <w:gridSpan w:val="2"/>
            <w:shd w:val="clear" w:color="auto" w:fill="CFF0FD"/>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85"/>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6,126</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965"/>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93"/>
              </w:rPr>
              <w:t>(21,618)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tcPr>
          <w:p>
            <w:pPr>
              <w:spacing w:after="0" w:line="171" w:lineRule="exact"/>
              <w:rPr>
                <w:sz w:val="20"/>
                <w:szCs w:val="20"/>
                <w:color w:val="auto"/>
              </w:rPr>
            </w:pPr>
            <w:r>
              <w:rPr>
                <w:rFonts w:ascii="Arial" w:cs="Arial" w:eastAsia="Arial" w:hAnsi="Arial"/>
                <w:sz w:val="15"/>
                <w:szCs w:val="15"/>
                <w:color w:val="auto"/>
              </w:rPr>
              <w:t>Consolidated Comprehensive Earnings (Loss): (See Note 1)</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line="171" w:lineRule="exact"/>
              <w:rPr>
                <w:sz w:val="20"/>
                <w:szCs w:val="20"/>
                <w:color w:val="auto"/>
              </w:rPr>
            </w:pPr>
            <w:r>
              <w:rPr>
                <w:rFonts w:ascii="Arial" w:cs="Arial" w:eastAsia="Arial" w:hAnsi="Arial"/>
                <w:sz w:val="15"/>
                <w:szCs w:val="15"/>
                <w:color w:val="auto"/>
              </w:rPr>
              <w:t>Earnings (Loss) attributable to Martin Marietta Materials, Inc.</w:t>
            </w:r>
          </w:p>
        </w:tc>
        <w:tc>
          <w:tcPr>
            <w:tcW w:w="2540" w:type="dxa"/>
            <w:vAlign w:val="bottom"/>
            <w:gridSpan w:val="2"/>
            <w:shd w:val="clear" w:color="auto" w:fill="CFF0FC"/>
          </w:tcPr>
          <w:p>
            <w:pPr>
              <w:jc w:val="right"/>
              <w:ind w:right="885"/>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5,562</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965"/>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(20,248)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ind w:left="220"/>
              <w:spacing w:after="0" w:line="171" w:lineRule="exact"/>
              <w:rPr>
                <w:sz w:val="20"/>
                <w:szCs w:val="20"/>
                <w:color w:val="auto"/>
              </w:rPr>
            </w:pPr>
            <w:r>
              <w:rPr>
                <w:rFonts w:ascii="Arial" w:cs="Arial" w:eastAsia="Arial" w:hAnsi="Arial"/>
                <w:sz w:val="15"/>
                <w:szCs w:val="15"/>
                <w:color w:val="auto"/>
              </w:rPr>
              <w:t>Earnings (Loss) attributable to noncontrolling interests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(1,534)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bottom w:val="single" w:sz="8" w:color="CFF0FC"/>
            </w:tcBorders>
            <w:shd w:val="clear" w:color="auto" w:fill="CFF0FC"/>
          </w:tcPr>
          <w:p>
            <w:pPr>
              <w:spacing w:after="0"/>
              <w:rPr>
                <w:sz w:val="14"/>
                <w:szCs w:val="14"/>
                <w:color w:val="auto"/>
              </w:rPr>
            </w:pPr>
          </w:p>
        </w:tc>
        <w:tc>
          <w:tcPr>
            <w:tcW w:w="1500" w:type="dxa"/>
            <w:vAlign w:val="bottom"/>
            <w:tcBorders>
              <w:top w:val="single" w:sz="8" w:color="CFF0FC"/>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ind w:right="885"/>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5,597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ind w:right="965"/>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w w:val="93"/>
              </w:rPr>
              <w:t>(21,782)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5"/>
                <w:szCs w:val="15"/>
                <w:color w:val="auto"/>
              </w:rPr>
              <w:t>Net Earnings (Loss) Attributable to Martin Marietta Materials, Inc.</w:t>
            </w: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0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ind w:left="220"/>
              <w:spacing w:after="0" w:line="172" w:lineRule="exact"/>
              <w:rPr>
                <w:sz w:val="20"/>
                <w:szCs w:val="20"/>
                <w:color w:val="auto"/>
              </w:rPr>
            </w:pPr>
            <w:r>
              <w:rPr>
                <w:rFonts w:ascii="Arial" w:cs="Arial" w:eastAsia="Arial" w:hAnsi="Arial"/>
                <w:sz w:val="15"/>
                <w:szCs w:val="15"/>
                <w:color w:val="auto"/>
              </w:rPr>
              <w:t>Per Common Share:</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Basic from continuing operations attributable to common shareholders</w:t>
            </w:r>
          </w:p>
        </w:tc>
        <w:tc>
          <w:tcPr>
            <w:tcW w:w="2540" w:type="dxa"/>
            <w:vAlign w:val="bottom"/>
            <w:gridSpan w:val="2"/>
            <w:shd w:val="clear" w:color="auto" w:fill="CFF0FC"/>
          </w:tcPr>
          <w:p>
            <w:pPr>
              <w:jc w:val="right"/>
              <w:ind w:right="885"/>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0.07</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965"/>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ind w:left="460"/>
              <w:spacing w:after="0" w:line="171" w:lineRule="exact"/>
              <w:rPr>
                <w:sz w:val="20"/>
                <w:szCs w:val="20"/>
                <w:color w:val="auto"/>
              </w:rPr>
            </w:pPr>
            <w:r>
              <w:rPr>
                <w:rFonts w:ascii="Arial" w:cs="Arial" w:eastAsia="Arial" w:hAnsi="Arial"/>
                <w:sz w:val="15"/>
                <w:szCs w:val="15"/>
                <w:color w:val="auto"/>
              </w:rPr>
              <w:t>Discontinued operations attributable to common shareholders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Borders>
              <w:top w:val="single" w:sz="8" w:color="CFF0FC"/>
              <w:bottom w:val="single" w:sz="8" w:color="CFF0FC"/>
            </w:tcBorders>
            <w:shd w:val="clear" w:color="auto" w:fill="CFF0FC"/>
          </w:tcPr>
          <w:p>
            <w:pPr>
              <w:spacing w:after="0"/>
              <w:rPr>
                <w:sz w:val="14"/>
                <w:szCs w:val="14"/>
                <w:color w:val="auto"/>
              </w:rPr>
            </w:pPr>
          </w:p>
        </w:tc>
        <w:tc>
          <w:tcPr>
            <w:tcW w:w="1500" w:type="dxa"/>
            <w:vAlign w:val="bottom"/>
            <w:tcBorders>
              <w:top w:val="single" w:sz="8" w:color="CFF0FC"/>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ind w:right="885"/>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0.07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ind w:right="965"/>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(0.47)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0" w:type="dxa"/>
            <w:vAlign w:val="bottom"/>
          </w:tcPr>
          <w:p>
            <w:pPr>
              <w:spacing w:after="0"/>
              <w:rPr>
                <w:sz w:val="24"/>
                <w:szCs w:val="24"/>
                <w:color w:val="auto"/>
              </w:rPr>
            </w:pPr>
          </w:p>
        </w:tc>
        <w:tc>
          <w:tcPr>
            <w:tcW w:w="6280" w:type="dxa"/>
            <w:vAlign w:val="bottom"/>
          </w:tcPr>
          <w:p>
            <w:pPr>
              <w:ind w:left="460"/>
              <w:spacing w:after="0"/>
              <w:rPr>
                <w:sz w:val="20"/>
                <w:szCs w:val="20"/>
                <w:color w:val="auto"/>
              </w:rPr>
            </w:pPr>
            <w:r>
              <w:rPr>
                <w:rFonts w:ascii="Arial" w:cs="Arial" w:eastAsia="Arial" w:hAnsi="Arial"/>
                <w:sz w:val="15"/>
                <w:szCs w:val="15"/>
                <w:color w:val="auto"/>
              </w:rPr>
              <w:t>Diluted from continuing operations attributable to common shareholders</w:t>
            </w:r>
          </w:p>
        </w:tc>
        <w:tc>
          <w:tcPr>
            <w:tcW w:w="2540" w:type="dxa"/>
            <w:vAlign w:val="bottom"/>
            <w:gridSpan w:val="2"/>
          </w:tcPr>
          <w:p>
            <w:pPr>
              <w:jc w:val="right"/>
              <w:ind w:right="88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24"/>
                <w:szCs w:val="24"/>
                <w:color w:val="auto"/>
              </w:rPr>
            </w:pPr>
          </w:p>
        </w:tc>
        <w:tc>
          <w:tcPr>
            <w:tcW w:w="1220" w:type="dxa"/>
            <w:vAlign w:val="bottom"/>
            <w:gridSpan w:val="2"/>
          </w:tcPr>
          <w:p>
            <w:pPr>
              <w:jc w:val="right"/>
              <w:ind w:right="965"/>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shd w:val="clear" w:color="auto" w:fill="CFF0FC"/>
          </w:tcPr>
          <w:p>
            <w:pPr>
              <w:ind w:left="460"/>
              <w:spacing w:after="0" w:line="171" w:lineRule="exact"/>
              <w:rPr>
                <w:sz w:val="20"/>
                <w:szCs w:val="20"/>
                <w:color w:val="auto"/>
              </w:rPr>
            </w:pPr>
            <w:r>
              <w:rPr>
                <w:rFonts w:ascii="Arial" w:cs="Arial" w:eastAsia="Arial" w:hAnsi="Arial"/>
                <w:sz w:val="15"/>
                <w:szCs w:val="15"/>
                <w:color w:val="auto"/>
              </w:rPr>
              <w:t>Discontinued operations attributable to common shareholders</w:t>
            </w:r>
          </w:p>
        </w:tc>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5"/>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65"/>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5"/>
                <w:szCs w:val="15"/>
                <w:color w:val="auto"/>
              </w:rPr>
              <w:t>Weighted-Average Common Shares Outstanding:</w:t>
            </w: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0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FF0FC"/>
            </w:tcBorders>
            <w:shd w:val="clear" w:color="auto" w:fill="CFF0FC"/>
          </w:tcPr>
          <w:p>
            <w:pPr>
              <w:ind w:left="220"/>
              <w:spacing w:after="0" w:line="171" w:lineRule="exact"/>
              <w:rPr>
                <w:sz w:val="20"/>
                <w:szCs w:val="20"/>
                <w:color w:val="auto"/>
              </w:rPr>
            </w:pPr>
            <w:r>
              <w:rPr>
                <w:rFonts w:ascii="Arial" w:cs="Arial" w:eastAsia="Arial" w:hAnsi="Arial"/>
                <w:sz w:val="15"/>
                <w:szCs w:val="15"/>
                <w:color w:val="auto"/>
              </w:rPr>
              <w:t>Basic</w:t>
            </w:r>
          </w:p>
        </w:tc>
        <w:tc>
          <w:tcPr>
            <w:tcW w:w="15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67,411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46,315</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220"/>
              <w:spacing w:after="0"/>
              <w:rPr>
                <w:sz w:val="20"/>
                <w:szCs w:val="20"/>
                <w:color w:val="auto"/>
              </w:rPr>
            </w:pPr>
            <w:r>
              <w:rPr>
                <w:rFonts w:ascii="Arial" w:cs="Arial" w:eastAsia="Arial" w:hAnsi="Arial"/>
                <w:sz w:val="15"/>
                <w:szCs w:val="15"/>
                <w:color w:val="auto"/>
              </w:rPr>
              <w:t>Diluted</w:t>
            </w: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67,676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46,315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restart"/>
          </w:tcPr>
          <w:p>
            <w:pPr>
              <w:spacing w:after="0"/>
              <w:rPr>
                <w:sz w:val="13"/>
                <w:szCs w:val="13"/>
                <w:color w:val="auto"/>
              </w:rPr>
            </w:pPr>
          </w:p>
        </w:tc>
        <w:tc>
          <w:tcPr>
            <w:tcW w:w="6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280" w:type="dxa"/>
            <w:vAlign w:val="bottom"/>
            <w:shd w:val="clear" w:color="auto" w:fill="CFF0FD"/>
          </w:tcPr>
          <w:p>
            <w:pPr>
              <w:spacing w:after="0" w:line="171" w:lineRule="exact"/>
              <w:rPr>
                <w:sz w:val="20"/>
                <w:szCs w:val="20"/>
                <w:color w:val="auto"/>
              </w:rPr>
            </w:pPr>
            <w:r>
              <w:rPr>
                <w:rFonts w:ascii="Arial" w:cs="Arial" w:eastAsia="Arial" w:hAnsi="Arial"/>
                <w:sz w:val="15"/>
                <w:szCs w:val="15"/>
                <w:color w:val="auto"/>
              </w:rPr>
              <w:t>Cash Dividends Per Common Share</w:t>
            </w:r>
          </w:p>
        </w:tc>
        <w:tc>
          <w:tcPr>
            <w:tcW w:w="2540" w:type="dxa"/>
            <w:vAlign w:val="bottom"/>
            <w:gridSpan w:val="2"/>
            <w:shd w:val="clear" w:color="auto" w:fill="CFF0FD"/>
          </w:tcPr>
          <w:p>
            <w:pPr>
              <w:jc w:val="right"/>
              <w:ind w:right="885"/>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D"/>
          </w:tcPr>
          <w:p>
            <w:pPr>
              <w:jc w:val="right"/>
              <w:spacing w:after="0" w:line="171" w:lineRule="exact"/>
              <w:rPr>
                <w:sz w:val="20"/>
                <w:szCs w:val="20"/>
                <w:color w:val="auto"/>
              </w:rPr>
            </w:pPr>
            <w:r>
              <w:rPr>
                <w:rFonts w:ascii="Arial" w:cs="Arial" w:eastAsia="Arial" w:hAnsi="Arial"/>
                <w:sz w:val="15"/>
                <w:szCs w:val="15"/>
                <w:color w:val="auto"/>
              </w:rPr>
              <w:t>0.40</w:t>
            </w:r>
          </w:p>
        </w:tc>
        <w:tc>
          <w:tcPr>
            <w:tcW w:w="100" w:type="dxa"/>
            <w:vAlign w:val="bottom"/>
            <w:shd w:val="clear" w:color="auto" w:fill="CFF0FD"/>
          </w:tcPr>
          <w:p>
            <w:pPr>
              <w:spacing w:after="0"/>
              <w:rPr>
                <w:sz w:val="14"/>
                <w:szCs w:val="14"/>
                <w:color w:val="auto"/>
              </w:rPr>
            </w:pPr>
          </w:p>
        </w:tc>
        <w:tc>
          <w:tcPr>
            <w:tcW w:w="1220" w:type="dxa"/>
            <w:vAlign w:val="bottom"/>
            <w:gridSpan w:val="2"/>
            <w:shd w:val="clear" w:color="auto" w:fill="CFF0FD"/>
          </w:tcPr>
          <w:p>
            <w:pPr>
              <w:jc w:val="right"/>
              <w:ind w:right="965"/>
              <w:spacing w:after="0" w:line="171"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D"/>
          </w:tcPr>
          <w:p>
            <w:pPr>
              <w:jc w:val="right"/>
              <w:spacing w:after="0" w:line="171" w:lineRule="exact"/>
              <w:rPr>
                <w:sz w:val="20"/>
                <w:szCs w:val="20"/>
                <w:color w:val="auto"/>
              </w:rPr>
            </w:pPr>
            <w:r>
              <w:rPr>
                <w:rFonts w:ascii="Arial" w:cs="Arial" w:eastAsia="Arial" w:hAnsi="Arial"/>
                <w:sz w:val="15"/>
                <w:szCs w:val="15"/>
                <w:color w:val="auto"/>
              </w:rPr>
              <w:t>0.40</w:t>
            </w:r>
          </w:p>
        </w:tc>
        <w:tc>
          <w:tcPr>
            <w:tcW w:w="120" w:type="dxa"/>
            <w:vAlign w:val="bottom"/>
            <w:shd w:val="clear" w:color="auto" w:fill="CFF0FD"/>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FF0FD"/>
            </w:tcBorders>
          </w:tcPr>
          <w:p>
            <w:pPr>
              <w:spacing w:after="0" w:line="20" w:lineRule="exact"/>
              <w:rPr>
                <w:sz w:val="1"/>
                <w:szCs w:val="1"/>
                <w:color w:val="auto"/>
              </w:rPr>
            </w:pPr>
          </w:p>
        </w:tc>
        <w:tc>
          <w:tcPr>
            <w:tcW w:w="1500" w:type="dxa"/>
            <w:vAlign w:val="bottom"/>
            <w:tcBorders>
              <w:top w:val="single" w:sz="8" w:color="CFF0FD"/>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D"/>
            </w:tcBorders>
          </w:tcPr>
          <w:p>
            <w:pPr>
              <w:spacing w:after="0" w:line="20" w:lineRule="exact"/>
              <w:rPr>
                <w:sz w:val="1"/>
                <w:szCs w:val="1"/>
                <w:color w:val="auto"/>
              </w:rPr>
            </w:pPr>
          </w:p>
        </w:tc>
        <w:tc>
          <w:tcPr>
            <w:tcW w:w="100" w:type="dxa"/>
            <w:vAlign w:val="bottom"/>
            <w:tcBorders>
              <w:top w:val="single" w:sz="8" w:color="CFF0FD"/>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49</w:t>
      </w:r>
    </w:p>
    <w:p>
      <w:pPr>
        <w:sectPr>
          <w:pgSz w:w="11900" w:h="16838" w:orient="portrait"/>
          <w:cols w:equalWidth="0" w:num="1">
            <w:col w:w="11420"/>
          </w:cols>
          <w:pgMar w:left="240" w:top="350" w:right="23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40" w:type="dxa"/>
            <w:vAlign w:val="bottom"/>
            <w:gridSpan w:val="5"/>
          </w:tcPr>
          <w:p>
            <w:pPr>
              <w:jc w:val="center"/>
              <w:ind w:left="492"/>
              <w:spacing w:after="0"/>
              <w:rPr>
                <w:sz w:val="20"/>
                <w:szCs w:val="20"/>
                <w:color w:val="auto"/>
              </w:rPr>
            </w:pPr>
            <w:r>
              <w:rPr>
                <w:rFonts w:ascii="Arial" w:cs="Arial" w:eastAsia="Arial" w:hAnsi="Arial"/>
                <w:sz w:val="18"/>
                <w:szCs w:val="18"/>
                <w:color w:val="auto"/>
                <w:w w:val="88"/>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color w:val="auto"/>
                <w:w w:val="89"/>
              </w:rPr>
              <w:t>March 31,</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Borders>
              <w:top w:val="single" w:sz="8" w:color="auto"/>
            </w:tcBorders>
            <w:gridSpan w:val="5"/>
          </w:tcPr>
          <w:p>
            <w:pPr>
              <w:jc w:val="center"/>
              <w:ind w:left="492"/>
              <w:spacing w:after="0"/>
              <w:rPr>
                <w:sz w:val="20"/>
                <w:szCs w:val="20"/>
                <w:color w:val="auto"/>
              </w:rPr>
            </w:pPr>
            <w:r>
              <w:rPr>
                <w:rFonts w:ascii="Arial" w:cs="Arial" w:eastAsia="Arial" w:hAnsi="Arial"/>
                <w:sz w:val="18"/>
                <w:szCs w:val="18"/>
                <w:i w:val="1"/>
                <w:iCs w:val="1"/>
                <w:color w:val="auto"/>
                <w:w w:val="90"/>
              </w:rPr>
              <w:t>(Dollars in Thousands)</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80" w:type="dxa"/>
            <w:vAlign w:val="bottom"/>
            <w:gridSpan w:val="4"/>
          </w:tcPr>
          <w:p>
            <w:pPr>
              <w:jc w:val="center"/>
              <w:ind w:right="380"/>
              <w:spacing w:after="0"/>
              <w:rPr>
                <w:sz w:val="20"/>
                <w:szCs w:val="20"/>
                <w:color w:val="auto"/>
              </w:rPr>
            </w:pPr>
            <w:r>
              <w:rPr>
                <w:rFonts w:ascii="Arial" w:cs="Arial" w:eastAsia="Arial" w:hAnsi="Arial"/>
                <w:sz w:val="18"/>
                <w:szCs w:val="18"/>
                <w:i w:val="1"/>
                <w:iCs w:val="1"/>
                <w:color w:val="auto"/>
                <w:w w:val="89"/>
              </w:rPr>
              <w:t>(Unaudited)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Consolidated net earnings (loss)</w:t>
            </w:r>
          </w:p>
        </w:tc>
        <w:tc>
          <w:tcPr>
            <w:tcW w:w="232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6,159</w:t>
            </w:r>
          </w:p>
        </w:tc>
        <w:tc>
          <w:tcPr>
            <w:tcW w:w="140" w:type="dxa"/>
            <w:vAlign w:val="bottom"/>
          </w:tcPr>
          <w:p>
            <w:pPr>
              <w:spacing w:after="0"/>
              <w:rPr>
                <w:sz w:val="19"/>
                <w:szCs w:val="19"/>
                <w:color w:val="auto"/>
              </w:rPr>
            </w:pPr>
          </w:p>
        </w:tc>
        <w:tc>
          <w:tcPr>
            <w:tcW w:w="10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(23,153)</w:t>
            </w:r>
          </w:p>
        </w:tc>
        <w:tc>
          <w:tcPr>
            <w:tcW w:w="0" w:type="dxa"/>
            <w:vAlign w:val="bottom"/>
          </w:tcPr>
          <w:p>
            <w:pPr>
              <w:spacing w:after="0"/>
              <w:rPr>
                <w:sz w:val="1"/>
                <w:szCs w:val="1"/>
                <w:color w:val="auto"/>
              </w:rPr>
            </w:pP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(loss) to net cash</w:t>
            </w:r>
          </w:p>
        </w:tc>
        <w:tc>
          <w:tcPr>
            <w:tcW w:w="1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provided by operating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Gains on divestitures and sales of assets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 transactions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items, 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380"/>
              <w:spacing w:after="0"/>
              <w:rPr>
                <w:sz w:val="20"/>
                <w:szCs w:val="20"/>
                <w:color w:val="auto"/>
              </w:rPr>
            </w:pPr>
            <w:r>
              <w:rPr>
                <w:rFonts w:ascii="Arial" w:cs="Arial" w:eastAsia="Arial" w:hAnsi="Arial"/>
                <w:sz w:val="18"/>
                <w:szCs w:val="18"/>
                <w:color w:val="auto"/>
              </w:rPr>
              <w:t>and divestitures: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80"/>
              <w:spacing w:after="0"/>
              <w:rPr>
                <w:sz w:val="20"/>
                <w:szCs w:val="20"/>
                <w:color w:val="auto"/>
              </w:rPr>
            </w:pPr>
            <w:r>
              <w:rPr>
                <w:rFonts w:ascii="Arial" w:cs="Arial" w:eastAsia="Arial" w:hAnsi="Arial"/>
                <w:sz w:val="18"/>
                <w:szCs w:val="18"/>
                <w:color w:val="auto"/>
              </w:rPr>
              <w:t>Inventories, net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(19,071)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(20,328)</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23"/>
        </w:trPr>
        <w:tc>
          <w:tcPr>
            <w:tcW w:w="6620" w:type="dxa"/>
            <w:vAlign w:val="bottom"/>
          </w:tcPr>
          <w:p>
            <w:pPr>
              <w:ind w:left="480"/>
              <w:spacing w:after="0"/>
              <w:rPr>
                <w:sz w:val="20"/>
                <w:szCs w:val="20"/>
                <w:color w:val="auto"/>
              </w:rPr>
            </w:pPr>
            <w:r>
              <w:rPr>
                <w:rFonts w:ascii="Arial" w:cs="Arial" w:eastAsia="Arial" w:hAnsi="Arial"/>
                <w:sz w:val="18"/>
                <w:szCs w:val="18"/>
                <w:color w:val="auto"/>
              </w:rPr>
              <w:t>Other assets and liabilities, net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(69,097)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(56,085)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(36,913)</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(10,589)</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from affiliate</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(63,391)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(35,562)</w:t>
            </w:r>
          </w:p>
        </w:tc>
        <w:tc>
          <w:tcPr>
            <w:tcW w:w="0" w:type="dxa"/>
            <w:vAlign w:val="bottom"/>
          </w:tcPr>
          <w:p>
            <w:pPr>
              <w:spacing w:after="0"/>
              <w:rPr>
                <w:sz w:val="1"/>
                <w:szCs w:val="1"/>
                <w:color w:val="auto"/>
              </w:rPr>
            </w:pPr>
          </w:p>
        </w:tc>
      </w:tr>
      <w:tr>
        <w:trPr>
          <w:trHeight w:val="217"/>
        </w:trPr>
        <w:tc>
          <w:tcPr>
            <w:tcW w:w="66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of long-term debt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Repayments of long-term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(4,738)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(23,125)</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Change in bank overdraft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(28,354)</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(18,604)</w:t>
            </w: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Issuances of common stock</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benefits from stock-based compensation transactions</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(Used for) Provided by Financing Activities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(24,019)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(52,285)</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108,651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2320" w:type="dxa"/>
            <w:vAlign w:val="bottom"/>
            <w:gridSpan w:val="2"/>
            <w:shd w:val="clear" w:color="auto" w:fill="CFF0FC"/>
          </w:tcPr>
          <w:p>
            <w:pPr>
              <w:jc w:val="right"/>
              <w:ind w:right="7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56,366</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2320" w:type="dxa"/>
            <w:vAlign w:val="bottom"/>
            <w:gridSpan w:val="2"/>
            <w:shd w:val="clear" w:color="auto" w:fill="CFF0FC"/>
          </w:tcPr>
          <w:p>
            <w:pPr>
              <w:jc w:val="right"/>
              <w:ind w:right="7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11,417</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232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18,678</w:t>
            </w:r>
          </w:p>
        </w:tc>
        <w:tc>
          <w:tcPr>
            <w:tcW w:w="140" w:type="dxa"/>
            <w:vAlign w:val="bottom"/>
          </w:tcPr>
          <w:p>
            <w:pPr>
              <w:spacing w:after="0"/>
              <w:rPr>
                <w:sz w:val="19"/>
                <w:szCs w:val="19"/>
                <w:color w:val="auto"/>
              </w:rPr>
            </w:pPr>
          </w:p>
        </w:tc>
        <w:tc>
          <w:tcPr>
            <w:tcW w:w="10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49</w:t>
      </w:r>
    </w:p>
    <w:p>
      <w:pPr>
        <w:sectPr>
          <w:pgSz w:w="11900" w:h="16838" w:orient="portrait"/>
          <w:cols w:equalWidth="0" w:num="1">
            <w:col w:w="11420"/>
          </w:cols>
          <w:pgMar w:left="240" w:top="351" w:right="239" w:bottom="1440" w:gutter="0" w:footer="0" w:header="0"/>
        </w:sectPr>
      </w:pPr>
    </w:p>
    <w:bookmarkStart w:id="5" w:name="page6"/>
    <w:bookmarkEnd w:id="5"/>
    <w:p>
      <w:pPr>
        <w:jc w:val="center"/>
        <w:ind w:right="100"/>
        <w:spacing w:after="0" w:line="268" w:lineRule="auto"/>
        <w:rPr>
          <w:sz w:val="20"/>
          <w:szCs w:val="20"/>
          <w:color w:val="auto"/>
        </w:rPr>
      </w:pPr>
      <w:r>
        <w:rPr>
          <w:rFonts w:ascii="Arial" w:cs="Arial" w:eastAsia="Arial" w:hAnsi="Arial"/>
          <w:sz w:val="18"/>
          <w:szCs w:val="18"/>
          <w:color w:val="auto"/>
        </w:rPr>
        <w:t xml:space="preserve">MARTIN MARIETTA MATERIALS, INC. AND CONSOLIDATED SUBSIDIARIES CONSOLIDATED STATEMENT OF TOTAL EQUITY </w:t>
      </w: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Additional</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Common</w:t>
            </w:r>
          </w:p>
        </w:tc>
        <w:tc>
          <w:tcPr>
            <w:tcW w:w="86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Paid-</w:t>
            </w: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9"/>
              </w:rPr>
              <w:t>Accumulated Other</w:t>
            </w: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Retained</w:t>
            </w:r>
          </w:p>
        </w:tc>
        <w:tc>
          <w:tcPr>
            <w:tcW w:w="1120" w:type="dxa"/>
            <w:vAlign w:val="bottom"/>
            <w:gridSpan w:val="3"/>
          </w:tcPr>
          <w:p>
            <w:pPr>
              <w:spacing w:after="0"/>
              <w:rPr>
                <w:sz w:val="20"/>
                <w:szCs w:val="20"/>
                <w:color w:val="auto"/>
              </w:rPr>
            </w:pPr>
            <w:r>
              <w:rPr>
                <w:rFonts w:ascii="Arial" w:cs="Arial" w:eastAsia="Arial" w:hAnsi="Arial"/>
                <w:sz w:val="18"/>
                <w:szCs w:val="18"/>
                <w:color w:val="auto"/>
                <w:w w:val="99"/>
              </w:rPr>
              <w:t>Shareholders'</w:t>
            </w:r>
          </w:p>
        </w:tc>
        <w:tc>
          <w:tcPr>
            <w:tcW w:w="148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23"/>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 Capital</w:t>
            </w:r>
          </w:p>
        </w:tc>
        <w:tc>
          <w:tcPr>
            <w:tcW w:w="20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Comprehensive Loss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Earnings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2"/>
              </w:rPr>
              <w:t>Interests</w:t>
            </w:r>
          </w:p>
        </w:tc>
        <w:tc>
          <w:tcPr>
            <w:tcW w:w="400" w:type="dxa"/>
            <w:vAlign w:val="bottom"/>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19"/>
                <w:szCs w:val="19"/>
                <w:color w:val="auto"/>
              </w:rPr>
            </w:pPr>
          </w:p>
        </w:tc>
      </w:tr>
      <w:tr>
        <w:trPr>
          <w:trHeight w:val="217"/>
        </w:trPr>
        <w:tc>
          <w:tcPr>
            <w:tcW w:w="2500" w:type="dxa"/>
            <w:vAlign w:val="bottom"/>
            <w:gridSpan w:val="2"/>
          </w:tcPr>
          <w:p>
            <w:pPr>
              <w:spacing w:after="0"/>
              <w:rPr>
                <w:sz w:val="20"/>
                <w:szCs w:val="20"/>
                <w:color w:val="auto"/>
              </w:rPr>
            </w:pPr>
            <w:r>
              <w:rPr>
                <w:rFonts w:ascii="Arial" w:cs="Arial" w:eastAsia="Arial" w:hAnsi="Arial"/>
                <w:sz w:val="18"/>
                <w:szCs w:val="18"/>
                <w:color w:val="auto"/>
                <w:w w:val="99"/>
              </w:rPr>
              <w:t>Balance at December 31, 2014</w:t>
            </w:r>
          </w:p>
        </w:tc>
        <w:tc>
          <w:tcPr>
            <w:tcW w:w="660" w:type="dxa"/>
            <w:vAlign w:val="bottom"/>
          </w:tcPr>
          <w:p>
            <w:pPr>
              <w:jc w:val="right"/>
              <w:spacing w:after="0"/>
              <w:rPr>
                <w:sz w:val="20"/>
                <w:szCs w:val="20"/>
                <w:color w:val="auto"/>
              </w:rPr>
            </w:pPr>
            <w:r>
              <w:rPr>
                <w:rFonts w:ascii="Arial" w:cs="Arial" w:eastAsia="Arial" w:hAnsi="Arial"/>
                <w:sz w:val="18"/>
                <w:szCs w:val="18"/>
                <w:color w:val="auto"/>
              </w:rPr>
              <w:t>67,293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$ 3,243,619</w:t>
            </w:r>
          </w:p>
        </w:tc>
        <w:tc>
          <w:tcPr>
            <w:tcW w:w="2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(106,159)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$ 1,213,035</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4,351,166</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4"/>
              </w:rPr>
              <w:t>$ 4,352,748</w:t>
            </w:r>
          </w:p>
        </w:tc>
        <w:tc>
          <w:tcPr>
            <w:tcW w:w="80" w:type="dxa"/>
            <w:vAlign w:val="bottom"/>
          </w:tcPr>
          <w:p>
            <w:pPr>
              <w:spacing w:after="0"/>
              <w:rPr>
                <w:sz w:val="18"/>
                <w:szCs w:val="18"/>
                <w:color w:val="auto"/>
              </w:rPr>
            </w:pPr>
          </w:p>
        </w:tc>
      </w:tr>
      <w:tr>
        <w:trPr>
          <w:trHeight w:val="224"/>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 earnings</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w:t>
            </w:r>
          </w:p>
        </w:tc>
        <w:tc>
          <w:tcPr>
            <w:tcW w:w="80" w:type="dxa"/>
            <w:vAlign w:val="bottom"/>
            <w:shd w:val="clear" w:color="auto" w:fill="CFF0FC"/>
          </w:tcPr>
          <w:p>
            <w:pPr>
              <w:spacing w:after="0"/>
              <w:rPr>
                <w:sz w:val="19"/>
                <w:szCs w:val="19"/>
                <w:color w:val="auto"/>
              </w:rPr>
            </w:pPr>
          </w:p>
        </w:tc>
      </w:tr>
      <w:tr>
        <w:trPr>
          <w:trHeight w:val="211"/>
        </w:trPr>
        <w:tc>
          <w:tcPr>
            <w:tcW w:w="250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50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r>
      <w:tr>
        <w:trPr>
          <w:trHeight w:val="224"/>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(28,354)</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(28,354)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(28,354)</w:t>
            </w:r>
          </w:p>
        </w:tc>
      </w:tr>
      <w:tr>
        <w:trPr>
          <w:trHeight w:val="211"/>
        </w:trPr>
        <w:tc>
          <w:tcPr>
            <w:tcW w:w="2500" w:type="dxa"/>
            <w:vAlign w:val="bottom"/>
            <w:gridSpan w:val="2"/>
          </w:tcPr>
          <w:p>
            <w:pPr>
              <w:ind w:left="240"/>
              <w:spacing w:after="0"/>
              <w:rPr>
                <w:sz w:val="20"/>
                <w:szCs w:val="20"/>
                <w:color w:val="auto"/>
              </w:rPr>
            </w:pPr>
            <w:r>
              <w:rPr>
                <w:rFonts w:ascii="Arial" w:cs="Arial" w:eastAsia="Arial" w:hAnsi="Arial"/>
                <w:sz w:val="18"/>
                <w:szCs w:val="18"/>
                <w:color w:val="auto"/>
              </w:rPr>
              <w:t>Issuances of common stock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500" w:type="dxa"/>
            <w:vAlign w:val="bottom"/>
            <w:gridSpan w:val="2"/>
          </w:tcPr>
          <w:p>
            <w:pPr>
              <w:ind w:left="240"/>
              <w:spacing w:after="0"/>
              <w:rPr>
                <w:sz w:val="20"/>
                <w:szCs w:val="20"/>
                <w:color w:val="auto"/>
              </w:rPr>
            </w:pPr>
            <w:r>
              <w:rPr>
                <w:rFonts w:ascii="Arial" w:cs="Arial" w:eastAsia="Arial" w:hAnsi="Arial"/>
                <w:sz w:val="18"/>
                <w:szCs w:val="18"/>
                <w:color w:val="auto"/>
              </w:rPr>
              <w:t>for stock award plans</w:t>
            </w: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9,286</w:t>
            </w:r>
          </w:p>
        </w:tc>
        <w:tc>
          <w:tcPr>
            <w:tcW w:w="80" w:type="dxa"/>
            <w:vAlign w:val="bottom"/>
          </w:tcPr>
          <w:p>
            <w:pPr>
              <w:spacing w:after="0"/>
              <w:rPr>
                <w:sz w:val="19"/>
                <w:szCs w:val="19"/>
                <w:color w:val="auto"/>
              </w:rPr>
            </w:pPr>
          </w:p>
        </w:tc>
      </w:tr>
      <w:tr>
        <w:trPr>
          <w:trHeight w:val="212"/>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3"/>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expense</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80" w:type="dxa"/>
            <w:vAlign w:val="bottom"/>
            <w:shd w:val="clear" w:color="auto" w:fill="CFF0FC"/>
          </w:tcPr>
          <w:p>
            <w:pPr>
              <w:spacing w:after="0"/>
              <w:rPr>
                <w:sz w:val="19"/>
                <w:szCs w:val="19"/>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Balance at March 31, 2015</w:t>
            </w:r>
          </w:p>
        </w:tc>
        <w:tc>
          <w:tcPr>
            <w:tcW w:w="660" w:type="dxa"/>
            <w:vAlign w:val="bottom"/>
          </w:tcPr>
          <w:p>
            <w:pPr>
              <w:jc w:val="right"/>
              <w:spacing w:after="0"/>
              <w:rPr>
                <w:sz w:val="20"/>
                <w:szCs w:val="20"/>
                <w:color w:val="auto"/>
              </w:rPr>
            </w:pPr>
            <w:r>
              <w:rPr>
                <w:rFonts w:ascii="Arial" w:cs="Arial" w:eastAsia="Arial" w:hAnsi="Arial"/>
                <w:sz w:val="18"/>
                <w:szCs w:val="18"/>
                <w:color w:val="auto"/>
              </w:rPr>
              <w:t>67,475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$ 3,255,809</w:t>
            </w:r>
          </w:p>
        </w:tc>
        <w:tc>
          <w:tcPr>
            <w:tcW w:w="2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(106,723)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$ 1,190,807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4,340,566</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4"/>
              </w:rPr>
              <w:t>$ 4,342,183</w:t>
            </w:r>
          </w:p>
        </w:tc>
        <w:tc>
          <w:tcPr>
            <w:tcW w:w="8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 of 49</w:t>
      </w:r>
    </w:p>
    <w:p>
      <w:pPr>
        <w:sectPr>
          <w:pgSz w:w="11900" w:h="16838" w:orient="portrait"/>
          <w:cols w:equalWidth="0" w:num="1">
            <w:col w:w="11420"/>
          </w:cols>
          <w:pgMar w:left="240" w:top="3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36" w:lineRule="exact"/>
        <w:rPr>
          <w:sz w:val="20"/>
          <w:szCs w:val="20"/>
          <w:color w:val="auto"/>
        </w:rPr>
      </w:pPr>
    </w:p>
    <w:p>
      <w:pPr>
        <w:ind w:left="380" w:right="8480" w:hanging="375"/>
        <w:spacing w:after="0" w:line="364" w:lineRule="auto"/>
        <w:tabs>
          <w:tab w:leader="none" w:pos="381"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Organization</w:t>
      </w:r>
    </w:p>
    <w:p>
      <w:pPr>
        <w:jc w:val="both"/>
        <w:ind w:left="380"/>
        <w:spacing w:after="0" w:line="265" w:lineRule="auto"/>
        <w:rPr>
          <w:rFonts w:ascii="Arial" w:cs="Arial" w:eastAsia="Arial" w:hAnsi="Arial"/>
          <w:sz w:val="19"/>
          <w:szCs w:val="19"/>
          <w:b w:val="1"/>
          <w:bCs w:val="1"/>
          <w:color w:val="auto"/>
        </w:rPr>
      </w:pPr>
      <w:r>
        <w:rPr>
          <w:rFonts w:ascii="Arial" w:cs="Arial" w:eastAsia="Arial" w:hAnsi="Arial"/>
          <w:sz w:val="18"/>
          <w:szCs w:val="18"/>
          <w:color w:val="auto"/>
        </w:rPr>
        <w:t>Martin Marietta Materials, Inc. (the “Corporation” or “Martin Marietta”) is engaged principally in the construction aggregates business. The aggregates product line accounted for 58% of 2014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which accounted for 25% of 2014 consolidated net sales and include asphalt products, ready mixed concrete and road paving construction services, are sold and shipped from a network of more than 400 quarries, distribution facilities and plants to customers in 32 states, Canada, the Bahamas and the Caribbean Islands. The aggregates and aggregates-related downstream product lines are reported collectively as the “Aggregates business”.</w:t>
      </w:r>
    </w:p>
    <w:p>
      <w:pPr>
        <w:spacing w:after="0" w:line="171" w:lineRule="exact"/>
        <w:rPr>
          <w:rFonts w:ascii="Arial" w:cs="Arial" w:eastAsia="Arial" w:hAnsi="Arial"/>
          <w:sz w:val="19"/>
          <w:szCs w:val="19"/>
          <w:b w:val="1"/>
          <w:bCs w:val="1"/>
          <w:color w:val="auto"/>
        </w:rPr>
      </w:pPr>
    </w:p>
    <w:p>
      <w:pPr>
        <w:ind w:left="380" w:right="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Corporation currently conducts the Aggregates business through three reportable segments: the Mid-America Group, the Southeast Group and the West Group.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AGGREGATES BUSINESS</w:t>
      </w:r>
    </w:p>
    <w:p>
      <w:pPr>
        <w:spacing w:after="0" w:line="28"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Reportable Segments</w:t>
            </w:r>
          </w:p>
        </w:tc>
        <w:tc>
          <w:tcPr>
            <w:tcW w:w="30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9"/>
                <w:szCs w:val="19"/>
                <w:color w:val="auto"/>
                <w:w w:val="95"/>
              </w:rPr>
              <w:t>Mid-America Group</w:t>
            </w:r>
          </w:p>
        </w:tc>
        <w:tc>
          <w:tcPr>
            <w:tcW w:w="2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9"/>
                <w:szCs w:val="19"/>
                <w:color w:val="auto"/>
                <w:w w:val="90"/>
              </w:rPr>
              <w:t>Southeast Group</w:t>
            </w: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West Group</w:t>
            </w:r>
          </w:p>
        </w:tc>
      </w:tr>
      <w:tr>
        <w:trPr>
          <w:trHeight w:val="200"/>
        </w:trPr>
        <w:tc>
          <w:tcPr>
            <w:tcW w:w="202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color w:val="auto"/>
              </w:rPr>
              <w:t>Operating Locations</w:t>
            </w:r>
          </w:p>
        </w:tc>
        <w:tc>
          <w:tcPr>
            <w:tcW w:w="140" w:type="dxa"/>
            <w:vAlign w:val="bottom"/>
          </w:tcPr>
          <w:p>
            <w:pPr>
              <w:spacing w:after="0"/>
              <w:rPr>
                <w:sz w:val="17"/>
                <w:szCs w:val="17"/>
                <w:color w:val="auto"/>
              </w:rPr>
            </w:pPr>
          </w:p>
        </w:tc>
        <w:tc>
          <w:tcPr>
            <w:tcW w:w="28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Indiana, Iowa,</w:t>
            </w:r>
          </w:p>
        </w:tc>
        <w:tc>
          <w:tcPr>
            <w:tcW w:w="14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3"/>
              </w:rPr>
              <w:t>Alabama, Florida, Georgia,</w:t>
            </w:r>
          </w:p>
        </w:tc>
        <w:tc>
          <w:tcPr>
            <w:tcW w:w="120" w:type="dxa"/>
            <w:vAlign w:val="bottom"/>
          </w:tcPr>
          <w:p>
            <w:pPr>
              <w:spacing w:after="0"/>
              <w:rPr>
                <w:sz w:val="17"/>
                <w:szCs w:val="17"/>
                <w:color w:val="auto"/>
              </w:rPr>
            </w:pPr>
          </w:p>
        </w:tc>
        <w:tc>
          <w:tcPr>
            <w:tcW w:w="26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0"/>
              </w:rPr>
              <w:t>Arkansas, Colorado, southern</w:t>
            </w: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1"/>
              </w:rPr>
              <w:t>northern Kansas, Kentucky,</w:t>
            </w:r>
          </w:p>
        </w:tc>
        <w:tc>
          <w:tcPr>
            <w:tcW w:w="2620" w:type="dxa"/>
            <w:vAlign w:val="bottom"/>
            <w:gridSpan w:val="2"/>
          </w:tcPr>
          <w:p>
            <w:pPr>
              <w:jc w:val="center"/>
              <w:ind w:right="140"/>
              <w:spacing w:after="0"/>
              <w:rPr>
                <w:sz w:val="20"/>
                <w:szCs w:val="20"/>
                <w:color w:val="auto"/>
              </w:rPr>
            </w:pPr>
            <w:r>
              <w:rPr>
                <w:rFonts w:ascii="Arial" w:cs="Arial" w:eastAsia="Arial" w:hAnsi="Arial"/>
                <w:sz w:val="19"/>
                <w:szCs w:val="19"/>
                <w:color w:val="auto"/>
                <w:w w:val="90"/>
              </w:rPr>
              <w:t>Mississippi, Tennessee, Nova</w:t>
            </w:r>
          </w:p>
        </w:tc>
        <w:tc>
          <w:tcPr>
            <w:tcW w:w="2680" w:type="dxa"/>
            <w:vAlign w:val="bottom"/>
          </w:tcPr>
          <w:p>
            <w:pPr>
              <w:jc w:val="center"/>
              <w:spacing w:after="0"/>
              <w:rPr>
                <w:sz w:val="20"/>
                <w:szCs w:val="20"/>
                <w:color w:val="auto"/>
              </w:rPr>
            </w:pPr>
            <w:r>
              <w:rPr>
                <w:rFonts w:ascii="Arial" w:cs="Arial" w:eastAsia="Arial" w:hAnsi="Arial"/>
                <w:sz w:val="19"/>
                <w:szCs w:val="19"/>
                <w:color w:val="auto"/>
                <w:w w:val="87"/>
              </w:rPr>
              <w:t>Kansas,</w:t>
            </w: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5"/>
              </w:rPr>
              <w:t>Maryland, Minnesota, Missouri,</w:t>
            </w:r>
          </w:p>
        </w:tc>
        <w:tc>
          <w:tcPr>
            <w:tcW w:w="2620" w:type="dxa"/>
            <w:vAlign w:val="bottom"/>
            <w:gridSpan w:val="2"/>
          </w:tcPr>
          <w:p>
            <w:pPr>
              <w:jc w:val="center"/>
              <w:ind w:right="140"/>
              <w:spacing w:after="0"/>
              <w:rPr>
                <w:sz w:val="20"/>
                <w:szCs w:val="20"/>
                <w:color w:val="auto"/>
              </w:rPr>
            </w:pPr>
            <w:r>
              <w:rPr>
                <w:rFonts w:ascii="Arial" w:cs="Arial" w:eastAsia="Arial" w:hAnsi="Arial"/>
                <w:sz w:val="19"/>
                <w:szCs w:val="19"/>
                <w:color w:val="auto"/>
                <w:w w:val="88"/>
              </w:rPr>
              <w:t>Scotia and the Bahamas</w:t>
            </w:r>
          </w:p>
        </w:tc>
        <w:tc>
          <w:tcPr>
            <w:tcW w:w="2680" w:type="dxa"/>
            <w:vAlign w:val="bottom"/>
          </w:tcPr>
          <w:p>
            <w:pPr>
              <w:jc w:val="center"/>
              <w:spacing w:after="0"/>
              <w:rPr>
                <w:sz w:val="20"/>
                <w:szCs w:val="20"/>
                <w:color w:val="auto"/>
              </w:rPr>
            </w:pPr>
            <w:r>
              <w:rPr>
                <w:rFonts w:ascii="Arial" w:cs="Arial" w:eastAsia="Arial" w:hAnsi="Arial"/>
                <w:sz w:val="19"/>
                <w:szCs w:val="19"/>
                <w:color w:val="auto"/>
                <w:w w:val="91"/>
              </w:rPr>
              <w:t>Louisiana, western Nebraska,</w:t>
            </w: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0"/>
              </w:rPr>
              <w:t>eastern Nebraska, North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9"/>
                <w:szCs w:val="19"/>
                <w:color w:val="auto"/>
                <w:w w:val="91"/>
              </w:rPr>
              <w:t>Nevada, Oklahoma, Texas, Utah</w:t>
            </w: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2"/>
              </w:rPr>
              <w:t>Ohio,</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9"/>
                <w:szCs w:val="19"/>
                <w:color w:val="auto"/>
                <w:w w:val="92"/>
              </w:rPr>
              <w:t>and Wyoming</w:t>
            </w: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3"/>
              </w:rPr>
              <w:t>South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24"/>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3"/>
              </w:rPr>
              <w:t>Virginia, Washington and</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46"/>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9"/>
                <w:szCs w:val="19"/>
                <w:color w:val="auto"/>
                <w:w w:val="94"/>
              </w:rPr>
              <w:t>West Virginia</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spacing w:after="0" w:line="188" w:lineRule="exact"/>
        <w:rPr>
          <w:sz w:val="20"/>
          <w:szCs w:val="20"/>
          <w:color w:val="auto"/>
        </w:rPr>
      </w:pPr>
    </w:p>
    <w:p>
      <w:pPr>
        <w:jc w:val="both"/>
        <w:ind w:left="380"/>
        <w:spacing w:after="0" w:line="250" w:lineRule="auto"/>
        <w:rPr>
          <w:sz w:val="20"/>
          <w:szCs w:val="20"/>
          <w:color w:val="auto"/>
        </w:rPr>
      </w:pPr>
      <w:r>
        <w:rPr>
          <w:rFonts w:ascii="Arial" w:cs="Arial" w:eastAsia="Arial" w:hAnsi="Arial"/>
          <w:sz w:val="19"/>
          <w:szCs w:val="19"/>
          <w:color w:val="auto"/>
        </w:rPr>
        <w:t>The Corporation has a Cement segment, which was acquired July 1, 2014 and accounted for 8% of 2014 consolidated net sales, with production facilities located in Midlothian, Texas, south of Dallas/Fort Worth; Hunter Texas, south of San Antonio; and Oro Grande, near Los Angeles, California. 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limestone reserves used as a raw material are a part of owned property adjacent to each of the plants. The Corporation also operates cement terminals, a packaging facility and cement grinding facility at the Crestmore plant near Riverside, California.</w:t>
      </w:r>
    </w:p>
    <w:p>
      <w:pPr>
        <w:spacing w:after="0" w:line="183" w:lineRule="exact"/>
        <w:rPr>
          <w:sz w:val="20"/>
          <w:szCs w:val="20"/>
          <w:color w:val="auto"/>
        </w:rPr>
      </w:pPr>
    </w:p>
    <w:p>
      <w:pPr>
        <w:jc w:val="both"/>
        <w:ind w:left="380"/>
        <w:spacing w:after="0" w:line="281"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9% of 2014 consolidated net sales,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7 of 49</w:t>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right="7500" w:hanging="375"/>
        <w:spacing w:after="0" w:line="364" w:lineRule="auto"/>
        <w:tabs>
          <w:tab w:leader="none" w:pos="381"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(continued) Basis of Presentation</w:t>
      </w:r>
    </w:p>
    <w:p>
      <w:pPr>
        <w:jc w:val="both"/>
        <w:ind w:left="380"/>
        <w:spacing w:after="0" w:line="263" w:lineRule="auto"/>
        <w:rPr>
          <w:rFonts w:ascii="Arial" w:cs="Arial" w:eastAsia="Arial" w:hAnsi="Arial"/>
          <w:sz w:val="19"/>
          <w:szCs w:val="19"/>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2014. In the opinion of management, the interim consolidated financial information provided herein reflects all adjustments, consisting of normal recurring accruals, necessary for a fair presentation of the results of operations, financial position and cash flows for the interim periods. The consolidated results of operations for the three months ended March 31, 2015 are not indicative of the results expected for other interim periods or the full year. The consolidated balance sheet at December 31, 2014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Corporation’s Annual Report on Form 10-K for the year ended December 31, 2014.</w:t>
      </w:r>
    </w:p>
    <w:p>
      <w:pPr>
        <w:spacing w:after="0" w:line="169"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Revenue Recognition Standard</w:t>
      </w:r>
    </w:p>
    <w:p>
      <w:pPr>
        <w:spacing w:after="0" w:line="116" w:lineRule="exact"/>
        <w:rPr>
          <w:rFonts w:ascii="Arial" w:cs="Arial" w:eastAsia="Arial" w:hAnsi="Arial"/>
          <w:sz w:val="19"/>
          <w:szCs w:val="19"/>
          <w:b w:val="1"/>
          <w:bCs w:val="1"/>
          <w:color w:val="auto"/>
        </w:rPr>
      </w:pPr>
    </w:p>
    <w:p>
      <w:pPr>
        <w:jc w:val="both"/>
        <w:ind w:left="380"/>
        <w:spacing w:after="0" w:line="270" w:lineRule="auto"/>
        <w:rPr>
          <w:rFonts w:ascii="Arial" w:cs="Arial" w:eastAsia="Arial" w:hAnsi="Arial"/>
          <w:sz w:val="19"/>
          <w:szCs w:val="19"/>
          <w:b w:val="1"/>
          <w:bCs w:val="1"/>
          <w:color w:val="auto"/>
        </w:rPr>
      </w:pPr>
      <w:r>
        <w:rPr>
          <w:rFonts w:ascii="Arial" w:cs="Arial" w:eastAsia="Arial" w:hAnsi="Arial"/>
          <w:sz w:val="18"/>
          <w:szCs w:val="18"/>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for interim and annual reporting periods beginning after December 15, 2016 and can be applied on a full retrospective or modified retrospective approach. The Corporation is currently evaluating the impact of the provisions of the new standard, and at this time does not expect the impact to be material to its results of operations.</w:t>
      </w:r>
    </w:p>
    <w:p>
      <w:pPr>
        <w:spacing w:after="0" w:line="158"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Consolidated Comprehensive Earnings/Loss and Accumulated Other Comprehensive Loss</w:t>
      </w:r>
    </w:p>
    <w:p>
      <w:pPr>
        <w:spacing w:after="0" w:line="116" w:lineRule="exact"/>
        <w:rPr>
          <w:rFonts w:ascii="Arial" w:cs="Arial" w:eastAsia="Arial" w:hAnsi="Arial"/>
          <w:sz w:val="19"/>
          <w:szCs w:val="19"/>
          <w:b w:val="1"/>
          <w:bCs w:val="1"/>
          <w:color w:val="auto"/>
        </w:rPr>
      </w:pPr>
    </w:p>
    <w:p>
      <w:pPr>
        <w:jc w:val="both"/>
        <w:ind w:left="380"/>
        <w:spacing w:after="0" w:line="255" w:lineRule="auto"/>
        <w:rPr>
          <w:rFonts w:ascii="Arial" w:cs="Arial" w:eastAsia="Arial" w:hAnsi="Arial"/>
          <w:sz w:val="19"/>
          <w:szCs w:val="19"/>
          <w:b w:val="1"/>
          <w:bCs w:val="1"/>
          <w:color w:val="auto"/>
        </w:rPr>
      </w:pPr>
      <w:r>
        <w:rPr>
          <w:rFonts w:ascii="Arial" w:cs="Arial" w:eastAsia="Arial" w:hAnsi="Arial"/>
          <w:sz w:val="19"/>
          <w:szCs w:val="19"/>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71"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Comprehensive earnings attributable to Martin Marietta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40" w:type="dxa"/>
            <w:vAlign w:val="bottom"/>
            <w:gridSpan w:val="5"/>
          </w:tcPr>
          <w:p>
            <w:pPr>
              <w:jc w:val="center"/>
              <w:ind w:left="564"/>
              <w:spacing w:after="0"/>
              <w:rPr>
                <w:sz w:val="20"/>
                <w:szCs w:val="20"/>
                <w:color w:val="auto"/>
              </w:rPr>
            </w:pPr>
            <w:r>
              <w:rPr>
                <w:rFonts w:ascii="Arial" w:cs="Arial" w:eastAsia="Arial" w:hAnsi="Arial"/>
                <w:sz w:val="19"/>
                <w:szCs w:val="19"/>
                <w:color w:val="auto"/>
                <w:w w:val="91"/>
              </w:rPr>
              <w:t>Three Months Ended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6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85"/>
              <w:spacing w:after="0"/>
              <w:rPr>
                <w:sz w:val="20"/>
                <w:szCs w:val="20"/>
                <w:color w:val="auto"/>
              </w:rPr>
            </w:pPr>
            <w:r>
              <w:rPr>
                <w:rFonts w:ascii="Arial" w:cs="Arial" w:eastAsia="Arial" w:hAnsi="Arial"/>
                <w:sz w:val="19"/>
                <w:szCs w:val="19"/>
                <w:color w:val="auto"/>
                <w:w w:val="94"/>
              </w:rPr>
              <w:t>March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r>
      <w:tr>
        <w:trPr>
          <w:trHeight w:val="226"/>
        </w:trPr>
        <w:tc>
          <w:tcPr>
            <w:tcW w:w="6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40" w:type="dxa"/>
            <w:vAlign w:val="bottom"/>
            <w:gridSpan w:val="5"/>
          </w:tcPr>
          <w:p>
            <w:pPr>
              <w:jc w:val="center"/>
              <w:ind w:left="584"/>
              <w:spacing w:after="0"/>
              <w:rPr>
                <w:sz w:val="20"/>
                <w:szCs w:val="20"/>
                <w:color w:val="auto"/>
              </w:rPr>
            </w:pPr>
            <w:r>
              <w:rPr>
                <w:rFonts w:ascii="Arial" w:cs="Arial" w:eastAsia="Arial" w:hAnsi="Arial"/>
                <w:sz w:val="19"/>
                <w:szCs w:val="19"/>
                <w:i w:val="1"/>
                <w:iCs w:val="1"/>
                <w:color w:val="auto"/>
                <w:w w:val="94"/>
              </w:rPr>
              <w:t>(Dollars in Thousands)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0"/>
        </w:trPr>
        <w:tc>
          <w:tcPr>
            <w:tcW w:w="6960" w:type="dxa"/>
            <w:vAlign w:val="bottom"/>
          </w:tcPr>
          <w:p>
            <w:pPr>
              <w:spacing w:after="0"/>
              <w:rPr>
                <w:sz w:val="20"/>
                <w:szCs w:val="20"/>
                <w:color w:val="auto"/>
              </w:rPr>
            </w:pPr>
            <w:r>
              <w:rPr>
                <w:rFonts w:ascii="Arial" w:cs="Arial" w:eastAsia="Arial" w:hAnsi="Arial"/>
                <w:sz w:val="19"/>
                <w:szCs w:val="19"/>
                <w:color w:val="auto"/>
              </w:rPr>
              <w:t>Net earnings (loss) attributable to Martin Marietta Materials, Inc.</w:t>
            </w:r>
          </w:p>
        </w:tc>
        <w:tc>
          <w:tcPr>
            <w:tcW w:w="2060" w:type="dxa"/>
            <w:vAlign w:val="bottom"/>
            <w:gridSpan w:val="2"/>
          </w:tcPr>
          <w:p>
            <w:pPr>
              <w:jc w:val="right"/>
              <w:ind w:right="844"/>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6,126</w:t>
            </w:r>
          </w:p>
        </w:tc>
        <w:tc>
          <w:tcPr>
            <w:tcW w:w="220" w:type="dxa"/>
            <w:vAlign w:val="bottom"/>
          </w:tcPr>
          <w:p>
            <w:pPr>
              <w:spacing w:after="0"/>
              <w:rPr>
                <w:sz w:val="20"/>
                <w:szCs w:val="20"/>
                <w:color w:val="auto"/>
              </w:rPr>
            </w:pPr>
          </w:p>
        </w:tc>
        <w:tc>
          <w:tcPr>
            <w:tcW w:w="880" w:type="dxa"/>
            <w:vAlign w:val="bottom"/>
            <w:gridSpan w:val="2"/>
          </w:tcPr>
          <w:p>
            <w:pPr>
              <w:jc w:val="right"/>
              <w:ind w:right="705"/>
              <w:spacing w:after="0"/>
              <w:rPr>
                <w:sz w:val="20"/>
                <w:szCs w:val="20"/>
                <w:color w:val="auto"/>
              </w:rPr>
            </w:pPr>
            <w:r>
              <w:rPr>
                <w:rFonts w:ascii="Arial" w:cs="Arial" w:eastAsia="Arial" w:hAnsi="Arial"/>
                <w:sz w:val="19"/>
                <w:szCs w:val="19"/>
                <w:color w:val="auto"/>
                <w:w w:val="75"/>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(21,618)</w:t>
            </w:r>
          </w:p>
        </w:tc>
      </w:tr>
      <w:tr>
        <w:trPr>
          <w:trHeight w:val="237"/>
        </w:trPr>
        <w:tc>
          <w:tcPr>
            <w:tcW w:w="6960" w:type="dxa"/>
            <w:vAlign w:val="bottom"/>
            <w:shd w:val="clear" w:color="auto" w:fill="CFF0FC"/>
          </w:tcPr>
          <w:p>
            <w:pPr>
              <w:spacing w:after="0"/>
              <w:rPr>
                <w:sz w:val="20"/>
                <w:szCs w:val="20"/>
                <w:color w:val="auto"/>
              </w:rPr>
            </w:pPr>
            <w:r>
              <w:rPr>
                <w:rFonts w:ascii="Arial" w:cs="Arial" w:eastAsia="Arial" w:hAnsi="Arial"/>
                <w:sz w:val="19"/>
                <w:szCs w:val="19"/>
                <w:color w:val="auto"/>
              </w:rPr>
              <w:t>Other comprehensive (loss) earnings, net of tax</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(564)</w:t>
            </w:r>
          </w:p>
        </w:tc>
        <w:tc>
          <w:tcPr>
            <w:tcW w:w="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1,370</w:t>
            </w:r>
          </w:p>
        </w:tc>
        <w:tc>
          <w:tcPr>
            <w:tcW w:w="120" w:type="dxa"/>
            <w:vAlign w:val="bottom"/>
            <w:shd w:val="clear" w:color="auto" w:fill="CFF0FC"/>
          </w:tcPr>
          <w:p>
            <w:pPr>
              <w:spacing w:after="0"/>
              <w:rPr>
                <w:sz w:val="20"/>
                <w:szCs w:val="20"/>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9"/>
                <w:szCs w:val="19"/>
                <w:color w:val="auto"/>
              </w:rPr>
              <w:t>Comprehensive earnings (loss) attributable to Martin Marietta Materials, Inc.</w:t>
            </w:r>
          </w:p>
        </w:tc>
        <w:tc>
          <w:tcPr>
            <w:tcW w:w="10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5,562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3"/>
              </w:rPr>
              <w:t>(20,248)</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8 of 49</w:t>
      </w:r>
    </w:p>
    <w:p>
      <w:pPr>
        <w:sectPr>
          <w:pgSz w:w="11900" w:h="16838" w:orient="portrait"/>
          <w:cols w:equalWidth="0" w:num="1">
            <w:col w:w="11420"/>
          </w:cols>
          <w:pgMar w:left="240" w:top="121" w:right="2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(continued)</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Consolidated Comprehensive Earnings/Loss and Accumulated Other Comprehensive Loss (continued)</w:t>
      </w:r>
    </w:p>
    <w:p>
      <w:pPr>
        <w:spacing w:after="0" w:line="116" w:lineRule="exact"/>
        <w:rPr>
          <w:sz w:val="20"/>
          <w:szCs w:val="20"/>
          <w:color w:val="auto"/>
        </w:rPr>
      </w:pPr>
    </w:p>
    <w:p>
      <w:pPr>
        <w:jc w:val="both"/>
        <w:ind w:left="380" w:right="100"/>
        <w:spacing w:after="0" w:line="275" w:lineRule="auto"/>
        <w:rPr>
          <w:sz w:val="20"/>
          <w:szCs w:val="20"/>
          <w:color w:val="auto"/>
        </w:rPr>
      </w:pPr>
      <w:r>
        <w:rPr>
          <w:rFonts w:ascii="Arial" w:cs="Arial" w:eastAsia="Arial" w:hAnsi="Arial"/>
          <w:sz w:val="19"/>
          <w:szCs w:val="19"/>
          <w:color w:val="auto"/>
        </w:rPr>
        <w:t>Comprehensive earnings (loss) attributable to noncontrolling interests, consisting of net earnings or loss and adjustments for the funded status of pension and postretirement benefit plans,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gridSpan w:val="5"/>
          </w:tcPr>
          <w:p>
            <w:pPr>
              <w:jc w:val="center"/>
              <w:ind w:left="424"/>
              <w:spacing w:after="0"/>
              <w:rPr>
                <w:sz w:val="20"/>
                <w:szCs w:val="20"/>
                <w:color w:val="auto"/>
              </w:rPr>
            </w:pPr>
            <w:r>
              <w:rPr>
                <w:rFonts w:ascii="Arial" w:cs="Arial" w:eastAsia="Arial" w:hAnsi="Arial"/>
                <w:sz w:val="19"/>
                <w:szCs w:val="19"/>
                <w:color w:val="auto"/>
                <w:w w:val="91"/>
              </w:rPr>
              <w:t>Three Months Ended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6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9"/>
                <w:szCs w:val="19"/>
                <w:color w:val="auto"/>
                <w:w w:val="94"/>
              </w:rPr>
              <w:t>March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2015</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2014</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6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780" w:type="dxa"/>
            <w:vAlign w:val="bottom"/>
            <w:gridSpan w:val="5"/>
          </w:tcPr>
          <w:p>
            <w:pPr>
              <w:jc w:val="center"/>
              <w:ind w:left="444"/>
              <w:spacing w:after="0"/>
              <w:rPr>
                <w:sz w:val="20"/>
                <w:szCs w:val="20"/>
                <w:color w:val="auto"/>
              </w:rPr>
            </w:pPr>
            <w:r>
              <w:rPr>
                <w:rFonts w:ascii="Arial" w:cs="Arial" w:eastAsia="Arial" w:hAnsi="Arial"/>
                <w:sz w:val="19"/>
                <w:szCs w:val="19"/>
                <w:i w:val="1"/>
                <w:iCs w:val="1"/>
                <w:color w:val="auto"/>
                <w:w w:val="94"/>
              </w:rPr>
              <w:t>(Dollars in Thousands)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0"/>
        </w:trPr>
        <w:tc>
          <w:tcPr>
            <w:tcW w:w="6680" w:type="dxa"/>
            <w:vAlign w:val="bottom"/>
          </w:tcPr>
          <w:p>
            <w:pPr>
              <w:spacing w:after="0"/>
              <w:rPr>
                <w:sz w:val="20"/>
                <w:szCs w:val="20"/>
                <w:color w:val="auto"/>
              </w:rPr>
            </w:pPr>
            <w:r>
              <w:rPr>
                <w:rFonts w:ascii="Arial" w:cs="Arial" w:eastAsia="Arial" w:hAnsi="Arial"/>
                <w:sz w:val="19"/>
                <w:szCs w:val="19"/>
                <w:color w:val="auto"/>
              </w:rPr>
              <w:t>Net earnings (loss) attributable to noncontrolling interests</w:t>
            </w:r>
          </w:p>
        </w:tc>
        <w:tc>
          <w:tcPr>
            <w:tcW w:w="2400" w:type="dxa"/>
            <w:vAlign w:val="bottom"/>
            <w:gridSpan w:val="2"/>
          </w:tcPr>
          <w:p>
            <w:pPr>
              <w:jc w:val="right"/>
              <w:ind w:right="904"/>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33</w:t>
            </w:r>
          </w:p>
        </w:tc>
        <w:tc>
          <w:tcPr>
            <w:tcW w:w="220" w:type="dxa"/>
            <w:vAlign w:val="bottom"/>
          </w:tcPr>
          <w:p>
            <w:pPr>
              <w:spacing w:after="0"/>
              <w:rPr>
                <w:sz w:val="20"/>
                <w:szCs w:val="20"/>
                <w:color w:val="auto"/>
              </w:rPr>
            </w:pPr>
          </w:p>
        </w:tc>
        <w:tc>
          <w:tcPr>
            <w:tcW w:w="1020" w:type="dxa"/>
            <w:vAlign w:val="bottom"/>
            <w:gridSpan w:val="2"/>
          </w:tcPr>
          <w:p>
            <w:pPr>
              <w:jc w:val="right"/>
              <w:ind w:right="845"/>
              <w:spacing w:after="0"/>
              <w:rPr>
                <w:sz w:val="20"/>
                <w:szCs w:val="20"/>
                <w:color w:val="auto"/>
              </w:rPr>
            </w:pPr>
            <w:r>
              <w:rPr>
                <w:rFonts w:ascii="Arial" w:cs="Arial" w:eastAsia="Arial" w:hAnsi="Arial"/>
                <w:sz w:val="19"/>
                <w:szCs w:val="19"/>
                <w:color w:val="auto"/>
                <w:w w:val="75"/>
              </w:rPr>
              <w:t>$</w:t>
            </w: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w w:val="96"/>
              </w:rPr>
              <w:t>(1,535)</w:t>
            </w:r>
          </w:p>
        </w:tc>
      </w:tr>
      <w:tr>
        <w:trPr>
          <w:trHeight w:val="237"/>
        </w:trPr>
        <w:tc>
          <w:tcPr>
            <w:tcW w:w="6680" w:type="dxa"/>
            <w:vAlign w:val="bottom"/>
            <w:shd w:val="clear" w:color="auto" w:fill="CFF0FC"/>
          </w:tcPr>
          <w:p>
            <w:pPr>
              <w:spacing w:after="0"/>
              <w:rPr>
                <w:sz w:val="20"/>
                <w:szCs w:val="20"/>
                <w:color w:val="auto"/>
              </w:rPr>
            </w:pPr>
            <w:r>
              <w:rPr>
                <w:rFonts w:ascii="Arial" w:cs="Arial" w:eastAsia="Arial" w:hAnsi="Arial"/>
                <w:sz w:val="19"/>
                <w:szCs w:val="19"/>
                <w:color w:val="auto"/>
              </w:rPr>
              <w:t>Other comprehensive earnings, net of tax</w:t>
            </w:r>
          </w:p>
        </w:tc>
        <w:tc>
          <w:tcPr>
            <w:tcW w:w="1300" w:type="dxa"/>
            <w:vAlign w:val="bottom"/>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w:t>
            </w: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9"/>
                <w:szCs w:val="19"/>
                <w:color w:val="auto"/>
              </w:rPr>
              <w:t>Comprehensive earnings (loss) attributable to noncontrolling interests</w:t>
            </w:r>
          </w:p>
        </w:tc>
        <w:tc>
          <w:tcPr>
            <w:tcW w:w="1300" w:type="dxa"/>
            <w:vAlign w:val="bottom"/>
          </w:tcPr>
          <w:p>
            <w:pPr>
              <w:spacing w:after="0"/>
              <w:rPr>
                <w:sz w:val="19"/>
                <w:szCs w:val="19"/>
                <w:color w:val="auto"/>
              </w:rPr>
            </w:pPr>
          </w:p>
        </w:tc>
        <w:tc>
          <w:tcPr>
            <w:tcW w:w="1100" w:type="dxa"/>
            <w:vAlign w:val="bottom"/>
            <w:tcBorders>
              <w:bottom w:val="single" w:sz="8" w:color="auto"/>
            </w:tcBorders>
          </w:tcPr>
          <w:p>
            <w:pPr>
              <w:jc w:val="right"/>
              <w:ind w:right="904"/>
              <w:spacing w:after="0"/>
              <w:rPr>
                <w:sz w:val="20"/>
                <w:szCs w:val="20"/>
                <w:color w:val="auto"/>
              </w:rPr>
            </w:pPr>
            <w:r>
              <w:rPr>
                <w:rFonts w:ascii="Arial" w:cs="Arial" w:eastAsia="Arial" w:hAnsi="Arial"/>
                <w:sz w:val="19"/>
                <w:szCs w:val="19"/>
                <w:color w:val="auto"/>
                <w:w w:val="75"/>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6"/>
              </w:rPr>
              <w:t>(1,534)</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80" w:right="100"/>
        <w:spacing w:after="0" w:line="305" w:lineRule="auto"/>
        <w:rPr>
          <w:sz w:val="20"/>
          <w:szCs w:val="20"/>
          <w:color w:val="auto"/>
        </w:rPr>
      </w:pPr>
      <w:r>
        <w:rPr>
          <w:rFonts w:ascii="Arial" w:cs="Arial" w:eastAsia="Arial" w:hAnsi="Arial"/>
          <w:sz w:val="17"/>
          <w:szCs w:val="17"/>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 Changes in accumulated other comprehensive loss, net of tax,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9"/>
                <w:szCs w:val="19"/>
                <w:i w:val="1"/>
                <w:iCs w:val="1"/>
                <w:color w:val="auto"/>
                <w:w w:val="94"/>
              </w:rPr>
              <w:t>(Dollars in Thousands)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9"/>
                <w:szCs w:val="19"/>
                <w:color w:val="auto"/>
                <w:w w:val="92"/>
              </w:rPr>
              <w:t>Unamortized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9"/>
                <w:szCs w:val="19"/>
                <w:color w:val="auto"/>
                <w:w w:val="91"/>
              </w:rPr>
              <w:t>Value of</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9"/>
                <w:szCs w:val="19"/>
                <w:color w:val="auto"/>
                <w:w w:val="91"/>
              </w:rPr>
              <w:t>Terminated</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2"/>
              </w:rPr>
              <w:t>Accumulated</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9"/>
                <w:szCs w:val="19"/>
                <w:color w:val="auto"/>
                <w:w w:val="88"/>
              </w:rPr>
              <w:t>Pension and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9"/>
                <w:szCs w:val="19"/>
                <w:color w:val="auto"/>
                <w:w w:val="93"/>
              </w:rPr>
              <w:t>Forward Starting</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9"/>
                <w:szCs w:val="19"/>
                <w:color w:val="auto"/>
                <w:w w:val="92"/>
              </w:rPr>
              <w:t>Postretirement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9"/>
                <w:szCs w:val="19"/>
                <w:color w:val="auto"/>
                <w:w w:val="93"/>
              </w:rPr>
              <w:t>Foreign</w:t>
            </w:r>
          </w:p>
        </w:tc>
        <w:tc>
          <w:tcPr>
            <w:tcW w:w="10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9"/>
                <w:szCs w:val="19"/>
                <w:color w:val="auto"/>
                <w:w w:val="90"/>
              </w:rPr>
              <w:t>Interest Rate</w:t>
            </w:r>
          </w:p>
        </w:tc>
        <w:tc>
          <w:tcPr>
            <w:tcW w:w="1120" w:type="dxa"/>
            <w:vAlign w:val="bottom"/>
            <w:gridSpan w:val="2"/>
          </w:tcPr>
          <w:p>
            <w:pPr>
              <w:spacing w:after="0"/>
              <w:rPr>
                <w:sz w:val="20"/>
                <w:szCs w:val="20"/>
                <w:color w:val="auto"/>
              </w:rPr>
            </w:pPr>
            <w:r>
              <w:rPr>
                <w:rFonts w:ascii="Arial" w:cs="Arial" w:eastAsia="Arial" w:hAnsi="Arial"/>
                <w:sz w:val="19"/>
                <w:szCs w:val="19"/>
                <w:color w:val="auto"/>
                <w:w w:val="89"/>
              </w:rPr>
              <w:t>Comprehensiv</w:t>
            </w: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9"/>
                <w:szCs w:val="19"/>
                <w:color w:val="auto"/>
                <w:w w:val="91"/>
              </w:rPr>
              <w:t>Benefit Plans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9"/>
                <w:szCs w:val="19"/>
                <w:color w:val="auto"/>
                <w:w w:val="93"/>
              </w:rPr>
              <w:t>Currency</w:t>
            </w: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9"/>
                <w:szCs w:val="19"/>
                <w:color w:val="auto"/>
                <w:w w:val="92"/>
              </w:rPr>
              <w:t>Swap</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Loss</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9"/>
                <w:szCs w:val="19"/>
                <w:color w:val="auto"/>
                <w:w w:val="92"/>
              </w:rPr>
              <w:t>Three Months Ended March 31, 2015</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gridSpan w:val="2"/>
          </w:tcPr>
          <w:p>
            <w:pPr>
              <w:jc w:val="right"/>
              <w:ind w:right="20"/>
              <w:spacing w:after="0"/>
              <w:rPr>
                <w:sz w:val="20"/>
                <w:szCs w:val="20"/>
                <w:color w:val="auto"/>
              </w:rPr>
            </w:pPr>
            <w:r>
              <w:rPr>
                <w:rFonts w:ascii="Arial" w:cs="Arial" w:eastAsia="Arial" w:hAnsi="Arial"/>
                <w:sz w:val="19"/>
                <w:szCs w:val="19"/>
                <w:color w:val="auto"/>
              </w:rPr>
              <w:t>(106,688)</w:t>
            </w:r>
          </w:p>
        </w:tc>
        <w:tc>
          <w:tcPr>
            <w:tcW w:w="260" w:type="dxa"/>
            <w:vAlign w:val="bottom"/>
            <w:gridSpan w:val="2"/>
          </w:tcPr>
          <w:p>
            <w:pPr>
              <w:jc w:val="right"/>
              <w:ind w:right="5"/>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3,278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60" w:type="dxa"/>
            <w:vAlign w:val="bottom"/>
            <w:gridSpan w:val="2"/>
          </w:tcPr>
          <w:p>
            <w:pPr>
              <w:jc w:val="right"/>
              <w:ind w:right="100"/>
              <w:spacing w:after="0"/>
              <w:rPr>
                <w:sz w:val="20"/>
                <w:szCs w:val="20"/>
                <w:color w:val="auto"/>
              </w:rPr>
            </w:pPr>
            <w:r>
              <w:rPr>
                <w:rFonts w:ascii="Arial" w:cs="Arial" w:eastAsia="Arial" w:hAnsi="Arial"/>
                <w:sz w:val="19"/>
                <w:szCs w:val="19"/>
                <w:color w:val="auto"/>
              </w:rPr>
              <w:t>(2,749)</w:t>
            </w: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(106,15</w:t>
            </w:r>
          </w:p>
        </w:tc>
        <w:tc>
          <w:tcPr>
            <w:tcW w:w="0" w:type="dxa"/>
            <w:vAlign w:val="bottom"/>
          </w:tcPr>
          <w:p>
            <w:pPr>
              <w:spacing w:after="0"/>
              <w:rPr>
                <w:sz w:val="1"/>
                <w:szCs w:val="1"/>
                <w:color w:val="auto"/>
              </w:rPr>
            </w:pPr>
          </w:p>
        </w:tc>
      </w:tr>
      <w:tr>
        <w:trPr>
          <w:trHeight w:val="230"/>
        </w:trPr>
        <w:tc>
          <w:tcPr>
            <w:tcW w:w="56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loss before reclassifications, net of tax</w:t>
            </w:r>
          </w:p>
        </w:tc>
        <w:tc>
          <w:tcPr>
            <w:tcW w:w="120" w:type="dxa"/>
            <w:vAlign w:val="bottom"/>
            <w:tcBorders>
              <w:top w:val="single" w:sz="8" w:color="auto"/>
            </w:tcBorders>
            <w:shd w:val="clear" w:color="auto" w:fill="CFF2FA"/>
          </w:tcPr>
          <w:p>
            <w:pPr>
              <w:spacing w:after="0"/>
              <w:rPr>
                <w:sz w:val="19"/>
                <w:szCs w:val="19"/>
                <w:color w:val="auto"/>
              </w:rPr>
            </w:pPr>
          </w:p>
        </w:tc>
        <w:tc>
          <w:tcPr>
            <w:tcW w:w="13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tcBorders>
            <w:shd w:val="clear" w:color="auto" w:fill="CFF2FA"/>
          </w:tcPr>
          <w:p>
            <w:pPr>
              <w:spacing w:after="0"/>
              <w:rPr>
                <w:sz w:val="19"/>
                <w:szCs w:val="19"/>
                <w:color w:val="auto"/>
              </w:rPr>
            </w:pPr>
          </w:p>
        </w:tc>
        <w:tc>
          <w:tcPr>
            <w:tcW w:w="10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(2,288)</w:t>
            </w:r>
          </w:p>
        </w:tc>
        <w:tc>
          <w:tcPr>
            <w:tcW w:w="1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spacing w:after="0"/>
              <w:rPr>
                <w:sz w:val="19"/>
                <w:szCs w:val="19"/>
                <w:color w:val="auto"/>
              </w:rPr>
            </w:pPr>
          </w:p>
        </w:tc>
        <w:tc>
          <w:tcPr>
            <w:tcW w:w="14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spacing w:after="0"/>
              <w:rPr>
                <w:sz w:val="19"/>
                <w:szCs w:val="19"/>
                <w:color w:val="auto"/>
              </w:rPr>
            </w:pPr>
          </w:p>
        </w:tc>
        <w:tc>
          <w:tcPr>
            <w:tcW w:w="10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9"/>
                <w:szCs w:val="19"/>
                <w:color w:val="auto"/>
                <w:w w:val="95"/>
              </w:rPr>
              <w:t>Amounts reclassified from accumulated other comprehensive loss, net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r>
              <w:rPr>
                <w:rFonts w:ascii="Arial" w:cs="Arial" w:eastAsia="Arial" w:hAnsi="Arial"/>
                <w:sz w:val="19"/>
                <w:szCs w:val="19"/>
                <w:color w:val="auto"/>
              </w:rPr>
              <w:t>of tax</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1,537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1,72</w:t>
            </w:r>
          </w:p>
        </w:tc>
        <w:tc>
          <w:tcPr>
            <w:tcW w:w="0" w:type="dxa"/>
            <w:vAlign w:val="bottom"/>
          </w:tcPr>
          <w:p>
            <w:pPr>
              <w:spacing w:after="0"/>
              <w:rPr>
                <w:sz w:val="1"/>
                <w:szCs w:val="1"/>
                <w:color w:val="auto"/>
              </w:rPr>
            </w:pPr>
          </w:p>
        </w:tc>
      </w:tr>
      <w:tr>
        <w:trPr>
          <w:trHeight w:val="230"/>
        </w:trPr>
        <w:tc>
          <w:tcPr>
            <w:tcW w:w="56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1,537</w:t>
            </w: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spacing w:after="0"/>
              <w:rPr>
                <w:sz w:val="19"/>
                <w:szCs w:val="19"/>
                <w:color w:val="auto"/>
              </w:rPr>
            </w:pPr>
          </w:p>
        </w:tc>
        <w:tc>
          <w:tcPr>
            <w:tcW w:w="10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(2,288)</w:t>
            </w:r>
          </w:p>
        </w:tc>
        <w:tc>
          <w:tcPr>
            <w:tcW w:w="1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4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187</w:t>
            </w:r>
          </w:p>
        </w:tc>
        <w:tc>
          <w:tcPr>
            <w:tcW w:w="1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0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(105,151)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990</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(106,72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9"/>
                <w:szCs w:val="19"/>
                <w:color w:val="auto"/>
                <w:w w:val="92"/>
              </w:rPr>
              <w:t>Three Months Ended March 31, 2014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9"/>
                <w:szCs w:val="19"/>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(44,549)</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(3,467)</w:t>
            </w:r>
          </w:p>
        </w:tc>
        <w:tc>
          <w:tcPr>
            <w:tcW w:w="100" w:type="dxa"/>
            <w:vAlign w:val="bottom"/>
            <w:shd w:val="clear" w:color="auto" w:fill="CFF0FC"/>
          </w:tcPr>
          <w:p>
            <w:pPr>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(44,11</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9"/>
                <w:szCs w:val="19"/>
                <w:color w:val="auto"/>
              </w:rPr>
              <w:t>Other comprehensive earnings before reclassifications, net of tax</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914</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20"/>
        </w:trPr>
        <w:tc>
          <w:tcPr>
            <w:tcW w:w="5680" w:type="dxa"/>
            <w:vAlign w:val="bottom"/>
            <w:shd w:val="clear" w:color="auto" w:fill="CFF0FC"/>
          </w:tcPr>
          <w:p>
            <w:pPr>
              <w:spacing w:after="0"/>
              <w:rPr>
                <w:sz w:val="20"/>
                <w:szCs w:val="20"/>
                <w:color w:val="auto"/>
              </w:rPr>
            </w:pPr>
            <w:r>
              <w:rPr>
                <w:rFonts w:ascii="Arial" w:cs="Arial" w:eastAsia="Arial" w:hAnsi="Arial"/>
                <w:sz w:val="19"/>
                <w:szCs w:val="19"/>
                <w:color w:val="auto"/>
                <w:w w:val="95"/>
              </w:rPr>
              <w:t>Amounts reclassified from accumulated other comprehensive loss, net</w:t>
            </w:r>
          </w:p>
        </w:tc>
        <w:tc>
          <w:tcPr>
            <w:tcW w:w="120" w:type="dxa"/>
            <w:vAlign w:val="bottom"/>
            <w:shd w:val="clear" w:color="auto" w:fill="CFF0FC"/>
          </w:tcPr>
          <w:p>
            <w:pPr>
              <w:spacing w:after="0"/>
              <w:rPr>
                <w:sz w:val="19"/>
                <w:szCs w:val="19"/>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282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19"/>
                <w:szCs w:val="19"/>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127"/>
        </w:trPr>
        <w:tc>
          <w:tcPr>
            <w:tcW w:w="5680" w:type="dxa"/>
            <w:vAlign w:val="bottom"/>
            <w:vMerge w:val="restart"/>
            <w:shd w:val="clear" w:color="auto" w:fill="CFF0FC"/>
          </w:tcPr>
          <w:p>
            <w:pPr>
              <w:spacing w:after="0"/>
              <w:rPr>
                <w:sz w:val="20"/>
                <w:szCs w:val="20"/>
                <w:color w:val="auto"/>
              </w:rPr>
            </w:pPr>
            <w:r>
              <w:rPr>
                <w:rFonts w:ascii="Arial" w:cs="Arial" w:eastAsia="Arial" w:hAnsi="Arial"/>
                <w:sz w:val="19"/>
                <w:szCs w:val="19"/>
                <w:color w:val="auto"/>
              </w:rPr>
              <w:t>of tax</w:t>
            </w:r>
          </w:p>
        </w:tc>
        <w:tc>
          <w:tcPr>
            <w:tcW w:w="120" w:type="dxa"/>
            <w:vAlign w:val="bottom"/>
            <w:shd w:val="clear" w:color="auto" w:fill="CFF0FC"/>
          </w:tcPr>
          <w:p>
            <w:pPr>
              <w:spacing w:after="0"/>
              <w:rPr>
                <w:sz w:val="11"/>
                <w:szCs w:val="11"/>
                <w:color w:val="auto"/>
              </w:rPr>
            </w:pPr>
          </w:p>
        </w:tc>
        <w:tc>
          <w:tcPr>
            <w:tcW w:w="13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680" w:type="dxa"/>
            <w:vAlign w:val="bottom"/>
            <w:vMerge w:val="continue"/>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1320" w:type="dxa"/>
            <w:vAlign w:val="bottom"/>
            <w:tcBorders>
              <w:bottom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1480" w:type="dxa"/>
            <w:vAlign w:val="bottom"/>
            <w:tcBorders>
              <w:bottom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comprehensive earnings, net of tax</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282</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Balance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(44,267)</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4,816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(3,293)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(42,74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Page 9 of 49</w:t>
      </w:r>
    </w:p>
    <w:p>
      <w:pPr>
        <w:sectPr>
          <w:pgSz w:w="11900" w:h="16838" w:orient="portrait"/>
          <w:cols w:equalWidth="0" w:num="1">
            <w:col w:w="11520"/>
          </w:cols>
          <w:pgMar w:left="240" w:top="121" w:right="13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(continued)</w:t>
      </w:r>
    </w:p>
    <w:p>
      <w:pPr>
        <w:spacing w:after="0" w:line="110"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Consolidated Comprehensive Earnings/Loss and Accumulated Other Comprehensive Loss (continued)</w:t>
      </w:r>
    </w:p>
    <w:p>
      <w:pPr>
        <w:spacing w:after="0" w:line="116"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Changes in net noncurrent deferred tax assets recorded in accumulated other comprehensive loss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6"/>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9"/>
                <w:szCs w:val="19"/>
                <w:color w:val="auto"/>
                <w:w w:val="92"/>
              </w:rPr>
              <w:t>Unamortized</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9"/>
                <w:szCs w:val="19"/>
                <w:color w:val="auto"/>
                <w:w w:val="91"/>
              </w:rPr>
              <w:t>Value of</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9"/>
                <w:szCs w:val="19"/>
                <w:color w:val="auto"/>
                <w:w w:val="94"/>
              </w:rPr>
              <w:t>Net</w:t>
            </w:r>
          </w:p>
        </w:tc>
      </w:tr>
      <w:tr>
        <w:trPr>
          <w:trHeight w:val="237"/>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9"/>
                <w:szCs w:val="19"/>
                <w:color w:val="auto"/>
                <w:w w:val="88"/>
              </w:rPr>
              <w:t>Pension and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9"/>
                <w:szCs w:val="19"/>
                <w:color w:val="auto"/>
                <w:w w:val="91"/>
              </w:rPr>
              <w:t>Terminated</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Noncurrent</w:t>
            </w:r>
          </w:p>
        </w:tc>
      </w:tr>
      <w:tr>
        <w:trPr>
          <w:trHeight w:val="237"/>
        </w:trPr>
        <w:tc>
          <w:tcPr>
            <w:tcW w:w="68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9"/>
                <w:szCs w:val="19"/>
                <w:color w:val="auto"/>
                <w:w w:val="90"/>
              </w:rPr>
              <w:t>Postretirement</w:t>
            </w:r>
          </w:p>
        </w:tc>
        <w:tc>
          <w:tcPr>
            <w:tcW w:w="14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9"/>
                <w:szCs w:val="19"/>
                <w:color w:val="auto"/>
                <w:w w:val="93"/>
              </w:rPr>
              <w:t>Forward Starting</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9"/>
                <w:szCs w:val="19"/>
                <w:color w:val="auto"/>
                <w:w w:val="90"/>
              </w:rPr>
              <w:t>Deferred Tax</w:t>
            </w:r>
          </w:p>
        </w:tc>
      </w:tr>
      <w:tr>
        <w:trPr>
          <w:trHeight w:val="240"/>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9"/>
                <w:szCs w:val="19"/>
                <w:color w:val="auto"/>
                <w:w w:val="92"/>
              </w:rPr>
              <w:t>Benefit Plans</w:t>
            </w:r>
          </w:p>
        </w:tc>
        <w:tc>
          <w:tcPr>
            <w:tcW w:w="14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9"/>
                <w:szCs w:val="19"/>
                <w:color w:val="auto"/>
                <w:w w:val="90"/>
              </w:rPr>
              <w:t>Interest Rate Swap</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Assets</w:t>
            </w:r>
          </w:p>
        </w:tc>
      </w:tr>
      <w:tr>
        <w:trPr>
          <w:trHeight w:val="230"/>
        </w:trPr>
        <w:tc>
          <w:tcPr>
            <w:tcW w:w="6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0" w:type="dxa"/>
            <w:vAlign w:val="bottom"/>
            <w:tcBorders>
              <w:top w:val="single" w:sz="8" w:color="auto"/>
              <w:bottom w:val="single" w:sz="8" w:color="auto"/>
            </w:tcBorders>
            <w:gridSpan w:val="8"/>
          </w:tcPr>
          <w:p>
            <w:pPr>
              <w:jc w:val="center"/>
              <w:ind w:right="4"/>
              <w:spacing w:after="0"/>
              <w:rPr>
                <w:sz w:val="20"/>
                <w:szCs w:val="20"/>
                <w:color w:val="auto"/>
              </w:rPr>
            </w:pPr>
            <w:r>
              <w:rPr>
                <w:rFonts w:ascii="Arial" w:cs="Arial" w:eastAsia="Arial" w:hAnsi="Arial"/>
                <w:sz w:val="19"/>
                <w:szCs w:val="19"/>
                <w:color w:val="auto"/>
                <w:w w:val="92"/>
              </w:rPr>
              <w:t>Three Months Ended March 31, 2015</w:t>
            </w:r>
          </w:p>
        </w:tc>
        <w:tc>
          <w:tcPr>
            <w:tcW w:w="120" w:type="dxa"/>
            <w:vAlign w:val="bottom"/>
            <w:tcBorders>
              <w:bottom w:val="single" w:sz="8" w:color="CFF0FC"/>
            </w:tcBorders>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68,568</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70,367</w:t>
            </w:r>
          </w:p>
        </w:tc>
        <w:tc>
          <w:tcPr>
            <w:tcW w:w="120" w:type="dxa"/>
            <w:vAlign w:val="bottom"/>
            <w:shd w:val="clear" w:color="auto" w:fill="CFF0FC"/>
          </w:tcPr>
          <w:p>
            <w:pPr>
              <w:spacing w:after="0"/>
              <w:rPr>
                <w:sz w:val="19"/>
                <w:szCs w:val="19"/>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9"/>
                <w:szCs w:val="19"/>
                <w:color w:val="auto"/>
              </w:rPr>
              <w:t>Tax effect of other comprehensive earnings</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(1,016)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9"/>
                <w:szCs w:val="19"/>
                <w:color w:val="auto"/>
              </w:rPr>
              <w:t>(120)</w:t>
            </w: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9"/>
                <w:szCs w:val="19"/>
                <w:color w:val="auto"/>
              </w:rPr>
              <w:t>(1,136)</w:t>
            </w:r>
          </w:p>
        </w:tc>
      </w:tr>
      <w:tr>
        <w:trPr>
          <w:trHeight w:val="230"/>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67,552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69,231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9"/>
          </w:tcPr>
          <w:p>
            <w:pPr>
              <w:jc w:val="center"/>
              <w:ind w:right="220"/>
              <w:spacing w:after="0"/>
              <w:rPr>
                <w:sz w:val="20"/>
                <w:szCs w:val="20"/>
                <w:color w:val="auto"/>
              </w:rPr>
            </w:pPr>
            <w:r>
              <w:rPr>
                <w:rFonts w:ascii="Arial" w:cs="Arial" w:eastAsia="Arial" w:hAnsi="Arial"/>
                <w:sz w:val="19"/>
                <w:szCs w:val="19"/>
                <w:color w:val="auto"/>
                <w:w w:val="92"/>
              </w:rPr>
              <w:t>Three Months Ended March 31, 2014</w:t>
            </w:r>
          </w:p>
        </w:tc>
      </w:tr>
      <w:tr>
        <w:trPr>
          <w:trHeight w:val="230"/>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Balance at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29,198</w:t>
            </w:r>
          </w:p>
        </w:tc>
        <w:tc>
          <w:tcPr>
            <w:tcW w:w="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2,269</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31,467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9"/>
                <w:szCs w:val="19"/>
                <w:color w:val="auto"/>
              </w:rPr>
              <w:t>Tax effect of other comprehensive earnings</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9"/>
                <w:szCs w:val="19"/>
                <w:color w:val="auto"/>
              </w:rPr>
              <w:t>(114)</w:t>
            </w: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9"/>
                <w:szCs w:val="19"/>
                <w:color w:val="auto"/>
              </w:rPr>
              <w:t>(296)</w:t>
            </w:r>
          </w:p>
        </w:tc>
      </w:tr>
      <w:tr>
        <w:trPr>
          <w:trHeight w:val="230"/>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29,016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31,171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Reclassifications out of accumulated other comprehensive loss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4"/>
          </w:tcPr>
          <w:p>
            <w:pPr>
              <w:jc w:val="center"/>
              <w:ind w:left="64"/>
              <w:spacing w:after="0"/>
              <w:rPr>
                <w:sz w:val="20"/>
                <w:szCs w:val="20"/>
                <w:color w:val="auto"/>
              </w:rPr>
            </w:pPr>
            <w:r>
              <w:rPr>
                <w:rFonts w:ascii="Arial" w:cs="Arial" w:eastAsia="Arial" w:hAnsi="Arial"/>
                <w:sz w:val="19"/>
                <w:szCs w:val="19"/>
                <w:color w:val="auto"/>
                <w:w w:val="91"/>
              </w:rPr>
              <w:t>Three Months Ended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ind w:right="24"/>
              <w:spacing w:after="0"/>
              <w:rPr>
                <w:sz w:val="20"/>
                <w:szCs w:val="20"/>
                <w:color w:val="auto"/>
              </w:rPr>
            </w:pPr>
            <w:r>
              <w:rPr>
                <w:rFonts w:ascii="Arial" w:cs="Arial" w:eastAsia="Arial" w:hAnsi="Arial"/>
                <w:sz w:val="19"/>
                <w:szCs w:val="19"/>
                <w:color w:val="auto"/>
              </w:rPr>
              <w:t>Affected line items in the</w:t>
            </w:r>
          </w:p>
        </w:tc>
        <w:tc>
          <w:tcPr>
            <w:tcW w:w="0" w:type="dxa"/>
            <w:vAlign w:val="bottom"/>
          </w:tcPr>
          <w:p>
            <w:pPr>
              <w:spacing w:after="0"/>
              <w:rPr>
                <w:sz w:val="1"/>
                <w:szCs w:val="1"/>
                <w:color w:val="auto"/>
              </w:rPr>
            </w:pPr>
          </w:p>
        </w:tc>
      </w:tr>
      <w:tr>
        <w:trPr>
          <w:trHeight w:val="240"/>
        </w:trPr>
        <w:tc>
          <w:tcPr>
            <w:tcW w:w="6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left="64"/>
              <w:spacing w:after="0"/>
              <w:rPr>
                <w:sz w:val="20"/>
                <w:szCs w:val="20"/>
                <w:color w:val="auto"/>
              </w:rPr>
            </w:pPr>
            <w:r>
              <w:rPr>
                <w:rFonts w:ascii="Arial" w:cs="Arial" w:eastAsia="Arial" w:hAnsi="Arial"/>
                <w:sz w:val="19"/>
                <w:szCs w:val="19"/>
                <w:color w:val="auto"/>
                <w:w w:val="92"/>
              </w:rPr>
              <w:t>March 31,</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9"/>
                <w:szCs w:val="19"/>
                <w:color w:val="auto"/>
                <w:w w:val="91"/>
              </w:rPr>
              <w:t>consolidated statements of earni</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9"/>
                <w:szCs w:val="19"/>
                <w:color w:val="auto"/>
              </w:rPr>
              <w:t>2015</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2014</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and comprehensive earnings</w:t>
            </w:r>
          </w:p>
        </w:tc>
        <w:tc>
          <w:tcPr>
            <w:tcW w:w="0" w:type="dxa"/>
            <w:vAlign w:val="bottom"/>
          </w:tcPr>
          <w:p>
            <w:pPr>
              <w:spacing w:after="0"/>
              <w:rPr>
                <w:sz w:val="1"/>
                <w:szCs w:val="1"/>
                <w:color w:val="auto"/>
              </w:rPr>
            </w:pPr>
          </w:p>
        </w:tc>
      </w:tr>
      <w:tr>
        <w:trPr>
          <w:trHeight w:val="239"/>
        </w:trPr>
        <w:tc>
          <w:tcPr>
            <w:tcW w:w="6000" w:type="dxa"/>
            <w:vAlign w:val="bottom"/>
            <w:vMerge w:val="restart"/>
          </w:tcPr>
          <w:p>
            <w:pPr>
              <w:spacing w:after="0"/>
              <w:rPr>
                <w:sz w:val="20"/>
                <w:szCs w:val="20"/>
                <w:color w:val="auto"/>
              </w:rPr>
            </w:pPr>
            <w:r>
              <w:rPr>
                <w:rFonts w:ascii="Arial" w:cs="Arial" w:eastAsia="Arial" w:hAnsi="Arial"/>
                <w:sz w:val="19"/>
                <w:szCs w:val="19"/>
                <w:color w:val="auto"/>
              </w:rPr>
              <w:t>Pension and postretirement benefit plans</w:t>
            </w:r>
          </w:p>
        </w:tc>
        <w:tc>
          <w:tcPr>
            <w:tcW w:w="280" w:type="dxa"/>
            <w:vAlign w:val="bottom"/>
          </w:tcPr>
          <w:p>
            <w:pPr>
              <w:spacing w:after="0"/>
              <w:rPr>
                <w:sz w:val="20"/>
                <w:szCs w:val="20"/>
                <w:color w:val="auto"/>
              </w:rPr>
            </w:pPr>
          </w:p>
        </w:tc>
        <w:tc>
          <w:tcPr>
            <w:tcW w:w="2060" w:type="dxa"/>
            <w:vAlign w:val="bottom"/>
            <w:gridSpan w:val="4"/>
          </w:tcPr>
          <w:p>
            <w:pPr>
              <w:jc w:val="center"/>
              <w:ind w:left="84"/>
              <w:spacing w:after="0"/>
              <w:rPr>
                <w:sz w:val="20"/>
                <w:szCs w:val="20"/>
                <w:color w:val="auto"/>
              </w:rPr>
            </w:pPr>
            <w:r>
              <w:rPr>
                <w:rFonts w:ascii="Arial" w:cs="Arial" w:eastAsia="Arial" w:hAnsi="Arial"/>
                <w:sz w:val="19"/>
                <w:szCs w:val="19"/>
                <w:i w:val="1"/>
                <w:iCs w:val="1"/>
                <w:color w:val="auto"/>
                <w:w w:val="94"/>
              </w:rPr>
              <w:t>(Dollars 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Amortization of:</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480"/>
              <w:spacing w:after="0"/>
              <w:rPr>
                <w:sz w:val="20"/>
                <w:szCs w:val="20"/>
                <w:color w:val="auto"/>
              </w:rPr>
            </w:pPr>
            <w:r>
              <w:rPr>
                <w:rFonts w:ascii="Arial" w:cs="Arial" w:eastAsia="Arial" w:hAnsi="Arial"/>
                <w:sz w:val="19"/>
                <w:szCs w:val="19"/>
                <w:color w:val="auto"/>
              </w:rPr>
              <w:t>Prior service credit</w:t>
            </w:r>
          </w:p>
        </w:tc>
        <w:tc>
          <w:tcPr>
            <w:tcW w:w="280" w:type="dxa"/>
            <w:vAlign w:val="bottom"/>
          </w:tcPr>
          <w:p>
            <w:pPr>
              <w:jc w:val="right"/>
              <w:ind w:right="84"/>
              <w:spacing w:after="0"/>
              <w:rPr>
                <w:sz w:val="20"/>
                <w:szCs w:val="20"/>
                <w:color w:val="auto"/>
              </w:rPr>
            </w:pPr>
            <w:r>
              <w:rPr>
                <w:rFonts w:ascii="Arial" w:cs="Arial" w:eastAsia="Arial" w:hAnsi="Arial"/>
                <w:sz w:val="19"/>
                <w:szCs w:val="19"/>
                <w:color w:val="auto"/>
                <w:w w:val="75"/>
              </w:rPr>
              <w:t>$</w:t>
            </w:r>
          </w:p>
        </w:tc>
        <w:tc>
          <w:tcPr>
            <w:tcW w:w="1240" w:type="dxa"/>
            <w:vAlign w:val="bottom"/>
            <w:gridSpan w:val="2"/>
          </w:tcPr>
          <w:p>
            <w:pPr>
              <w:jc w:val="right"/>
              <w:ind w:right="160"/>
              <w:spacing w:after="0"/>
              <w:rPr>
                <w:sz w:val="20"/>
                <w:szCs w:val="20"/>
                <w:color w:val="auto"/>
              </w:rPr>
            </w:pPr>
            <w:r>
              <w:rPr>
                <w:rFonts w:ascii="Arial" w:cs="Arial" w:eastAsia="Arial" w:hAnsi="Arial"/>
                <w:sz w:val="19"/>
                <w:szCs w:val="19"/>
                <w:color w:val="auto"/>
              </w:rPr>
              <w:t>(471)</w:t>
            </w:r>
          </w:p>
        </w:tc>
        <w:tc>
          <w:tcPr>
            <w:tcW w:w="820" w:type="dxa"/>
            <w:vAlign w:val="bottom"/>
            <w:gridSpan w:val="2"/>
          </w:tcPr>
          <w:p>
            <w:pPr>
              <w:jc w:val="right"/>
              <w:ind w:right="645"/>
              <w:spacing w:after="0"/>
              <w:rPr>
                <w:sz w:val="20"/>
                <w:szCs w:val="20"/>
                <w:color w:val="auto"/>
              </w:rPr>
            </w:pPr>
            <w:r>
              <w:rPr>
                <w:rFonts w:ascii="Arial" w:cs="Arial" w:eastAsia="Arial" w:hAnsi="Arial"/>
                <w:sz w:val="19"/>
                <w:szCs w:val="19"/>
                <w:color w:val="auto"/>
                <w:w w:val="75"/>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(703)</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Actuarial loss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3,026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8"/>
              </w:rPr>
              <w:t>1,167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ind w:left="80"/>
              <w:spacing w:after="0" w:line="214" w:lineRule="exact"/>
              <w:rPr>
                <w:sz w:val="20"/>
                <w:szCs w:val="20"/>
                <w:color w:val="auto"/>
              </w:rPr>
            </w:pPr>
            <w:r>
              <w:rPr>
                <w:rFonts w:ascii="Arial" w:cs="Arial" w:eastAsia="Arial" w:hAnsi="Arial"/>
                <w:sz w:val="19"/>
                <w:szCs w:val="19"/>
                <w:color w:val="auto"/>
                <w:w w:val="99"/>
              </w:rPr>
              <w:t>Cost of sales; Selling, general</w:t>
            </w:r>
          </w:p>
        </w:tc>
        <w:tc>
          <w:tcPr>
            <w:tcW w:w="0" w:type="dxa"/>
            <w:vAlign w:val="bottom"/>
          </w:tcPr>
          <w:p>
            <w:pPr>
              <w:spacing w:after="0"/>
              <w:rPr>
                <w:sz w:val="1"/>
                <w:szCs w:val="1"/>
                <w:color w:val="auto"/>
              </w:rPr>
            </w:pPr>
          </w:p>
        </w:tc>
      </w:tr>
      <w:tr>
        <w:trPr>
          <w:trHeight w:val="240"/>
        </w:trPr>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2,555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ind w:right="144"/>
              <w:spacing w:after="0"/>
              <w:rPr>
                <w:sz w:val="20"/>
                <w:szCs w:val="20"/>
                <w:color w:val="auto"/>
              </w:rPr>
            </w:pPr>
            <w:r>
              <w:rPr>
                <w:rFonts w:ascii="Arial" w:cs="Arial" w:eastAsia="Arial" w:hAnsi="Arial"/>
                <w:sz w:val="19"/>
                <w:szCs w:val="19"/>
                <w:color w:val="auto"/>
                <w:w w:val="93"/>
              </w:rPr>
              <w:t>and administrative expenses</w:t>
            </w: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(1,016)</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(182)</w:t>
            </w:r>
          </w:p>
        </w:tc>
        <w:tc>
          <w:tcPr>
            <w:tcW w:w="2600" w:type="dxa"/>
            <w:vAlign w:val="bottom"/>
            <w:gridSpan w:val="2"/>
            <w:shd w:val="clear" w:color="auto" w:fill="CFF0FC"/>
          </w:tcPr>
          <w:p>
            <w:pPr>
              <w:ind w:left="80"/>
              <w:spacing w:after="0"/>
              <w:rPr>
                <w:sz w:val="20"/>
                <w:szCs w:val="20"/>
                <w:color w:val="auto"/>
              </w:rPr>
            </w:pPr>
            <w:r>
              <w:rPr>
                <w:rFonts w:ascii="Arial" w:cs="Arial" w:eastAsia="Arial" w:hAnsi="Arial"/>
                <w:sz w:val="19"/>
                <w:szCs w:val="19"/>
                <w:color w:val="auto"/>
              </w:rPr>
              <w:t>Income tax benefit</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FF0FC"/>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1,539</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5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FF0FC"/>
          </w:tcPr>
          <w:p>
            <w:pPr>
              <w:spacing w:after="0" w:line="200" w:lineRule="exact"/>
              <w:rPr>
                <w:sz w:val="20"/>
                <w:szCs w:val="20"/>
                <w:color w:val="auto"/>
              </w:rPr>
            </w:pPr>
            <w:r>
              <w:rPr>
                <w:rFonts w:ascii="Arial" w:cs="Arial" w:eastAsia="Arial" w:hAnsi="Arial"/>
                <w:sz w:val="19"/>
                <w:szCs w:val="19"/>
                <w:color w:val="auto"/>
              </w:rPr>
              <w:t>Unamortized value of terminated forward starting interest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0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rate swap</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280" w:type="dxa"/>
            <w:vAlign w:val="bottom"/>
          </w:tcPr>
          <w:p>
            <w:pPr>
              <w:jc w:val="right"/>
              <w:ind w:right="84"/>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307</w:t>
            </w:r>
          </w:p>
        </w:tc>
        <w:tc>
          <w:tcPr>
            <w:tcW w:w="220" w:type="dxa"/>
            <w:vAlign w:val="bottom"/>
          </w:tcPr>
          <w:p>
            <w:pPr>
              <w:spacing w:after="0"/>
              <w:rPr>
                <w:sz w:val="20"/>
                <w:szCs w:val="20"/>
                <w:color w:val="auto"/>
              </w:rPr>
            </w:pPr>
          </w:p>
        </w:tc>
        <w:tc>
          <w:tcPr>
            <w:tcW w:w="820" w:type="dxa"/>
            <w:vAlign w:val="bottom"/>
            <w:gridSpan w:val="2"/>
          </w:tcPr>
          <w:p>
            <w:pPr>
              <w:jc w:val="right"/>
              <w:ind w:right="645"/>
              <w:spacing w:after="0"/>
              <w:rPr>
                <w:sz w:val="20"/>
                <w:szCs w:val="20"/>
                <w:color w:val="auto"/>
              </w:rPr>
            </w:pPr>
            <w:r>
              <w:rPr>
                <w:rFonts w:ascii="Arial" w:cs="Arial" w:eastAsia="Arial" w:hAnsi="Arial"/>
                <w:sz w:val="19"/>
                <w:szCs w:val="19"/>
                <w:color w:val="auto"/>
                <w:w w:val="75"/>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288</w:t>
            </w:r>
          </w:p>
        </w:tc>
        <w:tc>
          <w:tcPr>
            <w:tcW w:w="12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37"/>
        </w:trPr>
        <w:tc>
          <w:tcPr>
            <w:tcW w:w="6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(120)</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(114)</w:t>
            </w:r>
          </w:p>
        </w:tc>
        <w:tc>
          <w:tcPr>
            <w:tcW w:w="2600" w:type="dxa"/>
            <w:vAlign w:val="bottom"/>
            <w:gridSpan w:val="2"/>
            <w:shd w:val="clear" w:color="auto" w:fill="CFF0FC"/>
          </w:tcPr>
          <w:p>
            <w:pPr>
              <w:ind w:left="80"/>
              <w:spacing w:after="0"/>
              <w:rPr>
                <w:sz w:val="20"/>
                <w:szCs w:val="20"/>
                <w:color w:val="auto"/>
              </w:rPr>
            </w:pPr>
            <w:r>
              <w:rPr>
                <w:rFonts w:ascii="Arial" w:cs="Arial" w:eastAsia="Arial" w:hAnsi="Arial"/>
                <w:sz w:val="19"/>
                <w:szCs w:val="19"/>
                <w:color w:val="auto"/>
              </w:rPr>
              <w:t>Income tax benefit</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Page 10 of 49</w:t>
      </w:r>
    </w:p>
    <w:p>
      <w:pPr>
        <w:sectPr>
          <w:pgSz w:w="11900" w:h="16838" w:orient="portrait"/>
          <w:cols w:equalWidth="0" w:num="1">
            <w:col w:w="11520"/>
          </w:cols>
          <w:pgMar w:left="240" w:top="121" w:right="1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(continued)</w:t>
      </w:r>
    </w:p>
    <w:p>
      <w:pPr>
        <w:spacing w:after="0" w:line="215"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Earnings (Loss) per Common Share</w:t>
      </w:r>
    </w:p>
    <w:p>
      <w:pPr>
        <w:spacing w:after="0" w:line="116" w:lineRule="exact"/>
        <w:rPr>
          <w:rFonts w:ascii="Arial" w:cs="Arial" w:eastAsia="Arial" w:hAnsi="Arial"/>
          <w:sz w:val="19"/>
          <w:szCs w:val="19"/>
          <w:b w:val="1"/>
          <w:bCs w:val="1"/>
          <w:color w:val="auto"/>
        </w:rPr>
      </w:pPr>
    </w:p>
    <w:p>
      <w:pPr>
        <w:jc w:val="both"/>
        <w:ind w:left="38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The numerator for basic and diluted earnings (loss) per common share is net earnings/loss attributable to Martin Marietta reduced by dividends and undistributed earnings attributable to the Corporation’s unvested restricted stock awards and incentive stock awards.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months ended March 31, 2015, the diluted per-share computations reflect a change in the number of common shares outstanding to include the number of additional shares that would have been outstanding if the potentially dilutive common shares had been issued. For the three months ended March 31, 2014, all such awards were antidilutive given the net loss attributable to Martin Marietta.</w:t>
      </w:r>
    </w:p>
    <w:p>
      <w:pPr>
        <w:spacing w:after="0" w:line="307"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The following table reconciles the numerator and denominator for basic and diluted earnings (loss) per common share:</w:t>
      </w:r>
    </w:p>
    <w:p>
      <w:pPr>
        <w:spacing w:after="0" w:line="27" w:lineRule="exact"/>
        <w:rPr>
          <w:sz w:val="20"/>
          <w:szCs w:val="20"/>
          <w:color w:val="auto"/>
        </w:rPr>
      </w:pPr>
    </w:p>
    <w:p>
      <w:pPr>
        <w:jc w:val="center"/>
        <w:ind w:left="8120"/>
        <w:spacing w:after="0"/>
        <w:rPr>
          <w:sz w:val="20"/>
          <w:szCs w:val="20"/>
          <w:color w:val="auto"/>
        </w:rPr>
      </w:pPr>
      <w:r>
        <w:rPr>
          <w:rFonts w:ascii="Arial" w:cs="Arial" w:eastAsia="Arial" w:hAnsi="Arial"/>
          <w:sz w:val="19"/>
          <w:szCs w:val="19"/>
          <w:color w:val="auto"/>
        </w:rPr>
        <w:t>Three Months Ended</w:t>
      </w:r>
    </w:p>
    <w:p>
      <w:pPr>
        <w:spacing w:after="0" w:line="18" w:lineRule="exact"/>
        <w:rPr>
          <w:sz w:val="20"/>
          <w:szCs w:val="20"/>
          <w:color w:val="auto"/>
        </w:rPr>
      </w:pPr>
    </w:p>
    <w:p>
      <w:pPr>
        <w:jc w:val="center"/>
        <w:ind w:left="8120"/>
        <w:spacing w:after="0"/>
        <w:rPr>
          <w:sz w:val="20"/>
          <w:szCs w:val="20"/>
          <w:color w:val="auto"/>
        </w:rPr>
      </w:pPr>
      <w:r>
        <w:rPr>
          <w:rFonts w:ascii="Arial" w:cs="Arial" w:eastAsia="Arial" w:hAnsi="Arial"/>
          <w:sz w:val="19"/>
          <w:szCs w:val="19"/>
          <w:color w:val="auto"/>
        </w:rPr>
        <w:t>March 31,</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00" w:right="2800" w:hanging="288"/>
        <w:spacing w:after="0" w:line="257" w:lineRule="auto"/>
        <w:rPr>
          <w:sz w:val="20"/>
          <w:szCs w:val="20"/>
          <w:color w:val="auto"/>
        </w:rPr>
      </w:pPr>
      <w:r>
        <w:rPr>
          <w:rFonts w:ascii="Arial" w:cs="Arial" w:eastAsia="Arial" w:hAnsi="Arial"/>
          <w:sz w:val="19"/>
          <w:szCs w:val="19"/>
          <w:color w:val="auto"/>
        </w:rPr>
        <w:t>Net earnings (loss) from continuing operations attributable to 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0430" cy="15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Less: Distributed and undistributed earnings attributable to unvested awards</w:t>
      </w:r>
    </w:p>
    <w:p>
      <w:pPr>
        <w:spacing w:after="0" w:line="45" w:lineRule="exact"/>
        <w:rPr>
          <w:sz w:val="20"/>
          <w:szCs w:val="20"/>
          <w:color w:val="auto"/>
        </w:rPr>
      </w:pPr>
    </w:p>
    <w:p>
      <w:pPr>
        <w:ind w:left="300" w:right="1620" w:hanging="288"/>
        <w:spacing w:after="0" w:line="288" w:lineRule="auto"/>
        <w:rPr>
          <w:sz w:val="20"/>
          <w:szCs w:val="20"/>
          <w:color w:val="auto"/>
        </w:rPr>
      </w:pPr>
      <w:r>
        <w:rPr>
          <w:rFonts w:ascii="Arial" w:cs="Arial" w:eastAsia="Arial" w:hAnsi="Arial"/>
          <w:sz w:val="17"/>
          <w:szCs w:val="17"/>
          <w:color w:val="auto"/>
        </w:rPr>
        <w:t>Basic and diluted net earnings (loss) available to common shareholders from continuing operations attributable to 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250430" cy="292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2100"/>
                    </a:xfrm>
                    <a:prstGeom prst="rect">
                      <a:avLst/>
                    </a:prstGeom>
                    <a:noFill/>
                  </pic:spPr>
                </pic:pic>
              </a:graphicData>
            </a:graphic>
          </wp:anchor>
        </w:drawing>
      </w:r>
    </w:p>
    <w:p>
      <w:pPr>
        <w:ind w:left="300" w:right="2460" w:hanging="288"/>
        <w:spacing w:after="0" w:line="255" w:lineRule="auto"/>
        <w:rPr>
          <w:sz w:val="20"/>
          <w:szCs w:val="20"/>
          <w:color w:val="auto"/>
        </w:rPr>
      </w:pPr>
      <w:r>
        <w:rPr>
          <w:rFonts w:ascii="Arial" w:cs="Arial" w:eastAsia="Arial" w:hAnsi="Arial"/>
          <w:sz w:val="19"/>
          <w:szCs w:val="19"/>
          <w:color w:val="auto"/>
        </w:rPr>
        <w:t>Basic and diluted net loss available to common shareholders from discontinued operations</w:t>
      </w:r>
    </w:p>
    <w:p>
      <w:pPr>
        <w:ind w:left="300" w:right="2040" w:hanging="288"/>
        <w:spacing w:after="0" w:line="275" w:lineRule="auto"/>
        <w:rPr>
          <w:sz w:val="20"/>
          <w:szCs w:val="20"/>
          <w:color w:val="auto"/>
        </w:rPr>
      </w:pPr>
      <w:r>
        <w:rPr>
          <w:rFonts w:ascii="Arial" w:cs="Arial" w:eastAsia="Arial" w:hAnsi="Arial"/>
          <w:sz w:val="19"/>
          <w:szCs w:val="19"/>
          <w:color w:val="auto"/>
        </w:rPr>
        <w:t>Basic and diluted net earnings (loss) available to common shareholders attributable to 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0430"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6700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Basic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0430" cy="150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Effect of dilutive employee and director awards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9"/>
                <w:szCs w:val="19"/>
                <w:color w:val="auto"/>
              </w:rPr>
              <w:t>2015</w:t>
            </w: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9"/>
                <w:szCs w:val="19"/>
                <w:color w:val="auto"/>
                <w:w w:val="89"/>
              </w:rPr>
              <w:t>2014</w:t>
            </w:r>
          </w:p>
        </w:tc>
        <w:tc>
          <w:tcPr>
            <w:tcW w:w="60" w:type="dxa"/>
            <w:vAlign w:val="bottom"/>
          </w:tcPr>
          <w:p>
            <w:pPr>
              <w:spacing w:after="0"/>
              <w:rPr>
                <w:sz w:val="19"/>
                <w:szCs w:val="19"/>
                <w:color w:val="auto"/>
              </w:rPr>
            </w:pPr>
          </w:p>
        </w:tc>
      </w:tr>
      <w:tr>
        <w:trPr>
          <w:trHeight w:val="239"/>
        </w:trPr>
        <w:tc>
          <w:tcPr>
            <w:tcW w:w="300" w:type="dxa"/>
            <w:vAlign w:val="bottom"/>
          </w:tcPr>
          <w:p>
            <w:pPr>
              <w:spacing w:after="0"/>
              <w:rPr>
                <w:sz w:val="20"/>
                <w:szCs w:val="20"/>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9"/>
                <w:szCs w:val="19"/>
                <w:i w:val="1"/>
                <w:iCs w:val="1"/>
                <w:color w:val="auto"/>
              </w:rPr>
              <w:t>(In Thousands)</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6,126</w:t>
            </w:r>
          </w:p>
        </w:tc>
        <w:tc>
          <w:tcPr>
            <w:tcW w:w="72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(21,603)</w:t>
            </w:r>
          </w:p>
        </w:tc>
      </w:tr>
      <w:tr>
        <w:trPr>
          <w:trHeight w:val="350"/>
        </w:trPr>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1,369</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60" w:type="dxa"/>
            <w:vAlign w:val="bottom"/>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4,757</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(21,670)</w:t>
            </w:r>
          </w:p>
        </w:tc>
      </w:tr>
      <w:tr>
        <w:trPr>
          <w:trHeight w:val="455"/>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(15)</w:t>
            </w:r>
          </w:p>
        </w:tc>
      </w:tr>
      <w:tr>
        <w:trPr>
          <w:trHeight w:val="20"/>
        </w:trPr>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4"/>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4,757</w:t>
            </w:r>
          </w:p>
        </w:tc>
        <w:tc>
          <w:tcPr>
            <w:tcW w:w="72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(21,685)</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9"/>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67,411</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46,315</w:t>
            </w:r>
          </w:p>
        </w:tc>
        <w:tc>
          <w:tcPr>
            <w:tcW w:w="60" w:type="dxa"/>
            <w:vAlign w:val="bottom"/>
          </w:tcPr>
          <w:p>
            <w:pPr>
              <w:spacing w:after="0"/>
              <w:rPr>
                <w:sz w:val="24"/>
                <w:szCs w:val="24"/>
                <w:color w:val="auto"/>
              </w:rPr>
            </w:pPr>
          </w:p>
        </w:tc>
      </w:tr>
      <w:tr>
        <w:trPr>
          <w:trHeight w:val="240"/>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265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r>
      <w:tr>
        <w:trPr>
          <w:trHeight w:val="230"/>
        </w:trPr>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67,676</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46,315</w:t>
            </w:r>
          </w:p>
        </w:tc>
        <w:tc>
          <w:tcPr>
            <w:tcW w:w="6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3160"/>
          </w:cols>
          <w:pgMar w:left="240" w:top="122"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 of 49</w:t>
      </w:r>
    </w:p>
    <w:p>
      <w:pPr>
        <w:sectPr>
          <w:pgSz w:w="11900" w:h="16838" w:orient="portrait"/>
          <w:cols w:equalWidth="0" w:num="1">
            <w:col w:w="11420"/>
          </w:cols>
          <w:pgMar w:left="240" w:top="122"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Business Combinations and Assets Held for Sale</w:t>
      </w:r>
    </w:p>
    <w:p>
      <w:pPr>
        <w:spacing w:after="0" w:line="116" w:lineRule="exact"/>
        <w:rPr>
          <w:rFonts w:ascii="Arial" w:cs="Arial" w:eastAsia="Arial" w:hAnsi="Arial"/>
          <w:sz w:val="19"/>
          <w:szCs w:val="19"/>
          <w:b w:val="1"/>
          <w:bCs w:val="1"/>
          <w:color w:val="auto"/>
        </w:rPr>
      </w:pPr>
    </w:p>
    <w:p>
      <w:pPr>
        <w:jc w:val="both"/>
        <w:ind w:left="380"/>
        <w:spacing w:after="0" w:line="270" w:lineRule="auto"/>
        <w:rPr>
          <w:rFonts w:ascii="Arial" w:cs="Arial" w:eastAsia="Arial" w:hAnsi="Arial"/>
          <w:sz w:val="19"/>
          <w:szCs w:val="19"/>
          <w:b w:val="1"/>
          <w:bCs w:val="1"/>
          <w:color w:val="auto"/>
        </w:rPr>
      </w:pPr>
      <w:r>
        <w:rPr>
          <w:rFonts w:ascii="Arial" w:cs="Arial" w:eastAsia="Arial" w:hAnsi="Arial"/>
          <w:sz w:val="18"/>
          <w:szCs w:val="18"/>
          <w:color w:val="auto"/>
        </w:rPr>
        <w:t>The Corporation acquired Texas Industries, Inc. (“TXI”) on July 1, 2014. The Corporation has determined preliminary fair values of the assets acquired and liabilities assumed. Although initial accounting for the business combination has been recorded, certain amounts are subject to change based on the additional reviews performed, such as asset and liability verification. Specific accounts subject to ongoing purchase accounting adjustments include, but are not limited to, parts and supplies inventories; property, plant and equipment; other assets; goodwill; accounts payable; and deferred taxes. Therefore, the measurement period remains open as of March 31, 2015.</w:t>
      </w:r>
    </w:p>
    <w:p>
      <w:pPr>
        <w:spacing w:after="0" w:line="59" w:lineRule="exact"/>
        <w:rPr>
          <w:rFonts w:ascii="Arial" w:cs="Arial" w:eastAsia="Arial" w:hAnsi="Arial"/>
          <w:sz w:val="19"/>
          <w:szCs w:val="19"/>
          <w:b w:val="1"/>
          <w:bCs w:val="1"/>
          <w:color w:val="auto"/>
        </w:rPr>
      </w:pPr>
    </w:p>
    <w:p>
      <w:pPr>
        <w:ind w:left="3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Total revenues and earnings from operations included in the Corporation’s consolidated statement of earnings attributable to TXI operations as of March 31, 2015 are $224,059,000 and $9,314,000, respectively.</w:t>
      </w:r>
    </w:p>
    <w:p>
      <w:pPr>
        <w:spacing w:after="0" w:line="156"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Acquisition integration expenses related to the TXI acquisition were $1,451,000 for the three months ended March 31, 2015.</w:t>
      </w:r>
    </w:p>
    <w:p>
      <w:pPr>
        <w:spacing w:after="0" w:line="215"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u w:val="single" w:color="auto"/>
          <w:color w:val="auto"/>
        </w:rPr>
        <w:t>Unaudited Pro Forma Financial Information</w:t>
      </w:r>
    </w:p>
    <w:p>
      <w:pPr>
        <w:spacing w:after="0" w:line="110" w:lineRule="exact"/>
        <w:rPr>
          <w:rFonts w:ascii="Arial" w:cs="Arial" w:eastAsia="Arial" w:hAnsi="Arial"/>
          <w:sz w:val="19"/>
          <w:szCs w:val="19"/>
          <w:b w:val="1"/>
          <w:bCs w:val="1"/>
          <w:color w:val="auto"/>
        </w:rPr>
      </w:pPr>
    </w:p>
    <w:p>
      <w:pPr>
        <w:jc w:val="both"/>
        <w:ind w:left="380"/>
        <w:spacing w:after="0" w:line="250" w:lineRule="auto"/>
        <w:rPr>
          <w:rFonts w:ascii="Arial" w:cs="Arial" w:eastAsia="Arial" w:hAnsi="Arial"/>
          <w:sz w:val="19"/>
          <w:szCs w:val="19"/>
          <w:b w:val="1"/>
          <w:bCs w:val="1"/>
          <w:color w:val="auto"/>
        </w:rPr>
      </w:pPr>
      <w:r>
        <w:rPr>
          <w:rFonts w:ascii="Arial" w:cs="Arial" w:eastAsia="Arial" w:hAnsi="Arial"/>
          <w:sz w:val="19"/>
          <w:szCs w:val="19"/>
          <w:color w:val="auto"/>
        </w:rPr>
        <w:t>The unaudited pro forma financial information in the table below summarizes the combined consolidated results of operations for the Corporation and TXI as though the companies were combined as of January 1, 2014. Transactions between Martin Marietta and TXI during the periods presented in the pro forma financial statements have been eliminated as if Martin Marietta and TXI were consolidated affiliates during the periods. Financial information for periods prior to the July 1, 2014 acquisition date included in the pro forma earnings does not reflect any cost savings or associated costs to achieve such savings from operating efficiencies, synergies, debt refinancing, utilization of TXI net operating loss carryforwards or other restructuring that result from the combination. These amounts are reflected in the pro forma earnings for the quarter ended March 31, 2014.</w:t>
      </w:r>
    </w:p>
    <w:p>
      <w:pPr>
        <w:spacing w:after="0" w:line="182" w:lineRule="exact"/>
        <w:rPr>
          <w:rFonts w:ascii="Arial" w:cs="Arial" w:eastAsia="Arial" w:hAnsi="Arial"/>
          <w:sz w:val="19"/>
          <w:szCs w:val="19"/>
          <w:b w:val="1"/>
          <w:bCs w:val="1"/>
          <w:color w:val="auto"/>
        </w:rPr>
      </w:pPr>
    </w:p>
    <w:p>
      <w:pPr>
        <w:ind w:left="3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unaudited pro forma financial information for the three months ended March 31, 2014 includes TXI’s historical operating results for the three months ended February 28, 2014 (due to a difference in TXI’s historical reporting periods).</w:t>
      </w:r>
    </w:p>
    <w:p>
      <w:pPr>
        <w:spacing w:after="0" w:line="51"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9"/>
          <w:szCs w:val="19"/>
          <w:color w:val="auto"/>
        </w:rPr>
        <w:t>The pro forma financial statements do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acquisitions had taken place at the beginning of fiscal year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2"/>
          </w:tcPr>
          <w:p>
            <w:pPr>
              <w:jc w:val="center"/>
              <w:ind w:right="360"/>
              <w:spacing w:after="0"/>
              <w:rPr>
                <w:sz w:val="20"/>
                <w:szCs w:val="20"/>
                <w:color w:val="auto"/>
              </w:rPr>
            </w:pPr>
            <w:r>
              <w:rPr>
                <w:rFonts w:ascii="Arial" w:cs="Arial" w:eastAsia="Arial" w:hAnsi="Arial"/>
                <w:sz w:val="19"/>
                <w:szCs w:val="19"/>
                <w:color w:val="auto"/>
                <w:w w:val="91"/>
              </w:rPr>
              <w:t>Three Months Ended</w:t>
            </w:r>
          </w:p>
        </w:tc>
      </w:tr>
      <w:tr>
        <w:trPr>
          <w:trHeight w:val="240"/>
        </w:trPr>
        <w:tc>
          <w:tcPr>
            <w:tcW w:w="5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2"/>
          </w:tcPr>
          <w:p>
            <w:pPr>
              <w:jc w:val="center"/>
              <w:ind w:right="360"/>
              <w:spacing w:after="0"/>
              <w:rPr>
                <w:sz w:val="20"/>
                <w:szCs w:val="20"/>
                <w:color w:val="auto"/>
              </w:rPr>
            </w:pPr>
            <w:r>
              <w:rPr>
                <w:rFonts w:ascii="Arial" w:cs="Arial" w:eastAsia="Arial" w:hAnsi="Arial"/>
                <w:sz w:val="19"/>
                <w:szCs w:val="19"/>
                <w:color w:val="auto"/>
                <w:w w:val="92"/>
              </w:rPr>
              <w:t>March 31, 2014</w:t>
            </w:r>
          </w:p>
        </w:tc>
      </w:tr>
      <w:tr>
        <w:trPr>
          <w:trHeight w:val="230"/>
        </w:trPr>
        <w:tc>
          <w:tcPr>
            <w:tcW w:w="5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jc w:val="center"/>
              <w:ind w:right="16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19"/>
                <w:szCs w:val="19"/>
                <w:color w:val="auto"/>
              </w:rPr>
            </w:pPr>
          </w:p>
        </w:tc>
      </w:tr>
      <w:tr>
        <w:trPr>
          <w:trHeight w:val="237"/>
        </w:trPr>
        <w:tc>
          <w:tcPr>
            <w:tcW w:w="5160" w:type="dxa"/>
            <w:vAlign w:val="bottom"/>
            <w:shd w:val="clear" w:color="auto" w:fill="CFF0FC"/>
          </w:tcPr>
          <w:p>
            <w:pPr>
              <w:spacing w:after="0"/>
              <w:rPr>
                <w:sz w:val="20"/>
                <w:szCs w:val="20"/>
                <w:color w:val="auto"/>
              </w:rPr>
            </w:pPr>
            <w:r>
              <w:rPr>
                <w:rFonts w:ascii="Arial" w:cs="Arial" w:eastAsia="Arial" w:hAnsi="Arial"/>
                <w:sz w:val="19"/>
                <w:szCs w:val="19"/>
                <w:color w:val="auto"/>
              </w:rPr>
              <w:t>Net sales</w:t>
            </w:r>
          </w:p>
        </w:tc>
        <w:tc>
          <w:tcPr>
            <w:tcW w:w="384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563,228</w:t>
            </w:r>
          </w:p>
        </w:tc>
        <w:tc>
          <w:tcPr>
            <w:tcW w:w="120" w:type="dxa"/>
            <w:vAlign w:val="bottom"/>
            <w:shd w:val="clear" w:color="auto" w:fill="CFF0FC"/>
          </w:tcPr>
          <w:p>
            <w:pPr>
              <w:spacing w:after="0"/>
              <w:rPr>
                <w:sz w:val="20"/>
                <w:szCs w:val="20"/>
                <w:color w:val="auto"/>
              </w:rPr>
            </w:pPr>
          </w:p>
        </w:tc>
      </w:tr>
      <w:tr>
        <w:trPr>
          <w:trHeight w:val="246"/>
        </w:trPr>
        <w:tc>
          <w:tcPr>
            <w:tcW w:w="5160" w:type="dxa"/>
            <w:vAlign w:val="bottom"/>
          </w:tcPr>
          <w:p>
            <w:pPr>
              <w:spacing w:after="0"/>
              <w:rPr>
                <w:sz w:val="20"/>
                <w:szCs w:val="20"/>
                <w:color w:val="auto"/>
              </w:rPr>
            </w:pPr>
            <w:r>
              <w:rPr>
                <w:rFonts w:ascii="Arial" w:cs="Arial" w:eastAsia="Arial" w:hAnsi="Arial"/>
                <w:sz w:val="19"/>
                <w:szCs w:val="19"/>
                <w:color w:val="auto"/>
                <w:w w:val="93"/>
              </w:rPr>
              <w:t>Loss from continuing operations attributable to controlling interest</w:t>
            </w:r>
          </w:p>
        </w:tc>
        <w:tc>
          <w:tcPr>
            <w:tcW w:w="38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420" w:type="dxa"/>
            <w:vAlign w:val="bottom"/>
            <w:gridSpan w:val="2"/>
          </w:tcPr>
          <w:p>
            <w:pPr>
              <w:jc w:val="right"/>
              <w:ind w:right="60"/>
              <w:spacing w:after="0"/>
              <w:rPr>
                <w:sz w:val="20"/>
                <w:szCs w:val="20"/>
                <w:color w:val="auto"/>
              </w:rPr>
            </w:pPr>
            <w:r>
              <w:rPr>
                <w:rFonts w:ascii="Arial" w:cs="Arial" w:eastAsia="Arial" w:hAnsi="Arial"/>
                <w:sz w:val="19"/>
                <w:szCs w:val="19"/>
                <w:color w:val="auto"/>
              </w:rPr>
              <w:t>(74,591)</w:t>
            </w:r>
          </w:p>
        </w:tc>
      </w:tr>
      <w:tr>
        <w:trPr>
          <w:trHeight w:val="641"/>
        </w:trPr>
        <w:tc>
          <w:tcPr>
            <w:tcW w:w="5160" w:type="dxa"/>
            <w:vAlign w:val="bottom"/>
          </w:tcPr>
          <w:p>
            <w:pPr>
              <w:spacing w:after="0"/>
              <w:rPr>
                <w:sz w:val="24"/>
                <w:szCs w:val="24"/>
                <w:color w:val="auto"/>
              </w:rPr>
            </w:pPr>
          </w:p>
        </w:tc>
        <w:tc>
          <w:tcPr>
            <w:tcW w:w="3840" w:type="dxa"/>
            <w:vAlign w:val="bottom"/>
            <w:gridSpan w:val="2"/>
          </w:tcPr>
          <w:p>
            <w:pPr>
              <w:jc w:val="right"/>
              <w:ind w:right="2760"/>
              <w:spacing w:after="0"/>
              <w:rPr>
                <w:sz w:val="20"/>
                <w:szCs w:val="20"/>
                <w:color w:val="auto"/>
              </w:rPr>
            </w:pPr>
            <w:r>
              <w:rPr>
                <w:rFonts w:ascii="Arial" w:cs="Arial" w:eastAsia="Arial" w:hAnsi="Arial"/>
                <w:sz w:val="19"/>
                <w:szCs w:val="19"/>
                <w:color w:val="auto"/>
                <w:w w:val="89"/>
              </w:rPr>
              <w:t>Page 12 of 49</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Business Combinations and Assets Held for Sale (continued)</w:t>
      </w:r>
    </w:p>
    <w:p>
      <w:pPr>
        <w:spacing w:after="0" w:line="221"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u w:val="single" w:color="auto"/>
          <w:color w:val="auto"/>
        </w:rPr>
        <w:t>Assets Held for Sale</w:t>
      </w:r>
    </w:p>
    <w:p>
      <w:pPr>
        <w:spacing w:after="0" w:line="110" w:lineRule="exact"/>
        <w:rPr>
          <w:rFonts w:ascii="Arial" w:cs="Arial" w:eastAsia="Arial" w:hAnsi="Arial"/>
          <w:sz w:val="19"/>
          <w:szCs w:val="19"/>
          <w:b w:val="1"/>
          <w:bCs w:val="1"/>
          <w:color w:val="auto"/>
        </w:rPr>
      </w:pPr>
    </w:p>
    <w:p>
      <w:pPr>
        <w:ind w:left="380"/>
        <w:spacing w:after="0" w:line="372" w:lineRule="auto"/>
        <w:rPr>
          <w:rFonts w:ascii="Arial" w:cs="Arial" w:eastAsia="Arial" w:hAnsi="Arial"/>
          <w:sz w:val="19"/>
          <w:szCs w:val="19"/>
          <w:b w:val="1"/>
          <w:bCs w:val="1"/>
          <w:color w:val="auto"/>
        </w:rPr>
      </w:pPr>
      <w:r>
        <w:rPr>
          <w:rFonts w:ascii="Arial" w:cs="Arial" w:eastAsia="Arial" w:hAnsi="Arial"/>
          <w:sz w:val="16"/>
          <w:szCs w:val="16"/>
          <w:color w:val="auto"/>
        </w:rPr>
        <w:t>At March 31, 2015, the Corporation classified certain land at its Crestmore facility in California as assets held for sale. The land held for sale is included in other current assets on the consolidated balance sheet and has been reported as an asset within the Cement Group segment in Note 9.</w:t>
      </w:r>
    </w:p>
    <w:p>
      <w:pPr>
        <w:spacing w:after="0" w:line="318" w:lineRule="exact"/>
        <w:rPr>
          <w:rFonts w:ascii="Arial" w:cs="Arial" w:eastAsia="Arial" w:hAnsi="Arial"/>
          <w:sz w:val="19"/>
          <w:szCs w:val="19"/>
          <w:b w:val="1"/>
          <w:bCs w:val="1"/>
          <w:color w:val="auto"/>
        </w:rPr>
      </w:pPr>
    </w:p>
    <w:p>
      <w:pPr>
        <w:ind w:left="380" w:hanging="375"/>
        <w:spacing w:after="0"/>
        <w:tabs>
          <w:tab w:leader="none" w:pos="3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Inventories,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9"/>
                <w:szCs w:val="19"/>
                <w:color w:val="auto"/>
                <w:w w:val="92"/>
              </w:rPr>
              <w:t>March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9"/>
                <w:szCs w:val="19"/>
                <w:color w:val="auto"/>
                <w:w w:val="90"/>
              </w:rPr>
              <w:t>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9"/>
                <w:szCs w:val="19"/>
                <w:color w:val="auto"/>
                <w:w w:val="92"/>
              </w:rPr>
              <w:t>March 31,</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9"/>
                <w:szCs w:val="19"/>
                <w:color w:val="auto"/>
                <w:w w:val="89"/>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4"/>
              <w:spacing w:after="0"/>
              <w:rPr>
                <w:sz w:val="20"/>
                <w:szCs w:val="20"/>
                <w:color w:val="auto"/>
              </w:rPr>
            </w:pPr>
            <w:r>
              <w:rPr>
                <w:rFonts w:ascii="Arial" w:cs="Arial" w:eastAsia="Arial" w:hAnsi="Arial"/>
                <w:sz w:val="19"/>
                <w:szCs w:val="19"/>
                <w:color w:val="auto"/>
                <w:w w:val="89"/>
              </w:rPr>
              <w:t>2014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9"/>
                <w:szCs w:val="19"/>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8"/>
          </w:tcPr>
          <w:p>
            <w:pPr>
              <w:jc w:val="center"/>
              <w:ind w:left="864"/>
              <w:spacing w:after="0"/>
              <w:rPr>
                <w:sz w:val="20"/>
                <w:szCs w:val="20"/>
                <w:color w:val="auto"/>
              </w:rPr>
            </w:pPr>
            <w:r>
              <w:rPr>
                <w:rFonts w:ascii="Arial" w:cs="Arial" w:eastAsia="Arial" w:hAnsi="Arial"/>
                <w:sz w:val="19"/>
                <w:szCs w:val="19"/>
                <w:i w:val="1"/>
                <w:iCs w:val="1"/>
                <w:color w:val="auto"/>
                <w:w w:val="94"/>
              </w:rPr>
              <w:t>(Dollars in Thousands)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Finished products</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428,783</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413,766</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372,567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9"/>
                <w:szCs w:val="19"/>
                <w:color w:val="auto"/>
              </w:rPr>
              <w:t>Products in process and raw materials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70,558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65,250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16,478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Supplies and expendable parts</w:t>
            </w: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125,547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125,092</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64,093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624,888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604,108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453,138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Less: Allowances</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(119,841)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(119,189)</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(98,420)</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9"/>
                <w:szCs w:val="19"/>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505,047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484,919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354,718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9"/>
                <w:szCs w:val="19"/>
                <w:b w:val="1"/>
                <w:bCs w:val="1"/>
                <w:color w:val="auto"/>
              </w:rPr>
              <w:t>4.   Long-Term Debt</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6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9"/>
                <w:szCs w:val="19"/>
                <w:color w:val="auto"/>
                <w:w w:val="92"/>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9"/>
                <w:szCs w:val="19"/>
                <w:color w:val="auto"/>
                <w:w w:val="90"/>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9"/>
                <w:szCs w:val="19"/>
                <w:color w:val="auto"/>
                <w:w w:val="92"/>
              </w:rPr>
              <w:t>March 31,</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9"/>
                <w:szCs w:val="19"/>
                <w:color w:val="auto"/>
                <w:w w:val="89"/>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4"/>
              <w:spacing w:after="0"/>
              <w:rPr>
                <w:sz w:val="20"/>
                <w:szCs w:val="20"/>
                <w:color w:val="auto"/>
              </w:rPr>
            </w:pPr>
            <w:r>
              <w:rPr>
                <w:rFonts w:ascii="Arial" w:cs="Arial" w:eastAsia="Arial" w:hAnsi="Arial"/>
                <w:sz w:val="19"/>
                <w:szCs w:val="19"/>
                <w:color w:val="auto"/>
                <w:w w:val="89"/>
              </w:rPr>
              <w:t>2014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9"/>
                <w:szCs w:val="19"/>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8"/>
          </w:tcPr>
          <w:p>
            <w:pPr>
              <w:jc w:val="center"/>
              <w:ind w:left="864"/>
              <w:spacing w:after="0"/>
              <w:rPr>
                <w:sz w:val="20"/>
                <w:szCs w:val="20"/>
                <w:color w:val="auto"/>
              </w:rPr>
            </w:pPr>
            <w:r>
              <w:rPr>
                <w:rFonts w:ascii="Arial" w:cs="Arial" w:eastAsia="Arial" w:hAnsi="Arial"/>
                <w:sz w:val="19"/>
                <w:szCs w:val="19"/>
                <w:i w:val="1"/>
                <w:iCs w:val="1"/>
                <w:color w:val="auto"/>
                <w:w w:val="94"/>
              </w:rPr>
              <w:t>(Dollars in Thousands)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6.6% Senior Notes, due 2018</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299,182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299,123</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298,949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9"/>
                <w:szCs w:val="19"/>
                <w:color w:val="auto"/>
              </w:rPr>
              <w:t>7% Debentures, due 2025</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124,508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124,500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124,478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6.25% Senior Notes, due 2037</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228,194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228,184</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228,157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9"/>
                <w:szCs w:val="19"/>
                <w:color w:val="auto"/>
              </w:rPr>
              <w:t>4.25% Senior Notes, due 2024</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395,410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395,309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0"/>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Floating Rate Notes, due 2017, interest rate of 1.36% and</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9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1.33% at March 31, 2015 and December 31, 2014, respectively</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298,980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298,869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9"/>
                <w:szCs w:val="19"/>
                <w:color w:val="auto"/>
              </w:rPr>
              <w:t>Term Loan Facility, due 2018, interest rate of 1.67% at March 31,</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920" w:type="dxa"/>
            <w:vAlign w:val="bottom"/>
          </w:tcPr>
          <w:p>
            <w:pPr>
              <w:ind w:left="240"/>
              <w:spacing w:after="0"/>
              <w:rPr>
                <w:sz w:val="20"/>
                <w:szCs w:val="20"/>
                <w:color w:val="auto"/>
              </w:rPr>
            </w:pPr>
            <w:r>
              <w:rPr>
                <w:rFonts w:ascii="Arial" w:cs="Arial" w:eastAsia="Arial" w:hAnsi="Arial"/>
                <w:sz w:val="19"/>
                <w:szCs w:val="19"/>
                <w:color w:val="auto"/>
              </w:rPr>
              <w:t>2015 and December 31, 2014; and 1.65% at March 31, 2014</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233,213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236,258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245,395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Revolving Facility, interest rate of 1.89% at March 31, 2014</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9"/>
                <w:szCs w:val="19"/>
                <w:color w:val="auto"/>
              </w:rPr>
              <w:t>Trade Receivable Facility, interest rate of 0.75% at March 31, 2014</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Other notes</w:t>
            </w: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1,536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3,152</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965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9"/>
                <w:szCs w:val="19"/>
                <w:color w:val="auto"/>
              </w:rPr>
              <w:t>Total debt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1,581,023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1,585,395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1,067,944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9"/>
                <w:szCs w:val="19"/>
                <w:color w:val="auto"/>
              </w:rPr>
              <w:t>Less: Current maturities</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(14,406)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(14,336)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(12,403)</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9"/>
                <w:szCs w:val="19"/>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1,566,617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1,571,059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1,055,541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13 of 49</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Long-Term Debt (continued)</w:t>
      </w:r>
    </w:p>
    <w:p>
      <w:pPr>
        <w:spacing w:after="0" w:line="116" w:lineRule="exact"/>
        <w:rPr>
          <w:rFonts w:ascii="Arial" w:cs="Arial" w:eastAsia="Arial" w:hAnsi="Arial"/>
          <w:sz w:val="19"/>
          <w:szCs w:val="19"/>
          <w:b w:val="1"/>
          <w:bCs w:val="1"/>
          <w:color w:val="auto"/>
        </w:rPr>
      </w:pPr>
    </w:p>
    <w:p>
      <w:pPr>
        <w:jc w:val="both"/>
        <w:ind w:left="380"/>
        <w:spacing w:after="0" w:line="264" w:lineRule="auto"/>
        <w:rPr>
          <w:rFonts w:ascii="Arial" w:cs="Arial" w:eastAsia="Arial" w:hAnsi="Arial"/>
          <w:sz w:val="19"/>
          <w:szCs w:val="19"/>
          <w:b w:val="1"/>
          <w:bCs w:val="1"/>
          <w:color w:val="auto"/>
        </w:rPr>
      </w:pPr>
      <w:r>
        <w:rPr>
          <w:rFonts w:ascii="Arial" w:cs="Arial" w:eastAsia="Arial" w:hAnsi="Arial"/>
          <w:sz w:val="18"/>
          <w:szCs w:val="18"/>
          <w:color w:val="auto"/>
        </w:rPr>
        <w:t>The Corporation, through a wholly-owned special purpose subsidiary, has a $250,000,000 trade receivable securitization facility (the “Trade Receivable Facility”), which matures on September 30, 2016. The Trade Receivable Facility, with SunTrust Bank, Regions Bank, PNC Bank, National Association and certain other lenders that may become a party to the facility from time to time, is backed by eligible trade receivables, as defined, of $339,086,000, $369,575,000 and $232,566,000 at March 31, 2015, December 31, 2014 and March 31, 2014, respectively. These receivables are originated by the Corporation and then sold to the wholly-owned special purpose subsidiary by the Corporation. The Corporation continues to be responsible for the servicing and administration of the receivables purchased by the wholly-owned special purpose subsidiary. Borrowings under the Trade Receivable Facility bear interest at a rate equal to one-month LIBOR plus 0.7% and are limited to the lesser of the facility limit or the borrowing base, as defined, of $280,101,000, $313,428,000 and $177,233,000 at March 31, 2015, December 31, 2014 and March 31, 2014, respectively. The Trade Receivable Facility contains a cross-default provision to the Corporation’s other debt agreements.</w:t>
      </w:r>
    </w:p>
    <w:p>
      <w:pPr>
        <w:spacing w:after="0" w:line="130" w:lineRule="exact"/>
        <w:rPr>
          <w:rFonts w:ascii="Arial" w:cs="Arial" w:eastAsia="Arial" w:hAnsi="Arial"/>
          <w:sz w:val="19"/>
          <w:szCs w:val="19"/>
          <w:b w:val="1"/>
          <w:bCs w:val="1"/>
          <w:color w:val="auto"/>
        </w:rPr>
      </w:pPr>
    </w:p>
    <w:p>
      <w:pPr>
        <w:jc w:val="both"/>
        <w:ind w:left="38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The Corporation’s Credit Agreement, which provides a $250,000,000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 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162" w:lineRule="exact"/>
        <w:rPr>
          <w:rFonts w:ascii="Arial" w:cs="Arial" w:eastAsia="Arial" w:hAnsi="Arial"/>
          <w:sz w:val="19"/>
          <w:szCs w:val="19"/>
          <w:b w:val="1"/>
          <w:bCs w:val="1"/>
          <w:color w:val="auto"/>
        </w:rPr>
      </w:pPr>
    </w:p>
    <w:p>
      <w:pPr>
        <w:jc w:val="both"/>
        <w:ind w:left="380"/>
        <w:spacing w:after="0" w:line="286" w:lineRule="auto"/>
        <w:rPr>
          <w:rFonts w:ascii="Arial" w:cs="Arial" w:eastAsia="Arial" w:hAnsi="Arial"/>
          <w:sz w:val="19"/>
          <w:szCs w:val="19"/>
          <w:b w:val="1"/>
          <w:bCs w:val="1"/>
          <w:color w:val="auto"/>
        </w:rPr>
      </w:pPr>
      <w:r>
        <w:rPr>
          <w:rFonts w:ascii="Arial" w:cs="Arial" w:eastAsia="Arial" w:hAnsi="Arial"/>
          <w:sz w:val="17"/>
          <w:szCs w:val="17"/>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 The Corporation was in compliance with this Ratio at March 31, 2015.</w:t>
      </w:r>
    </w:p>
    <w:p>
      <w:pPr>
        <w:spacing w:after="0" w:line="115"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9"/>
          <w:szCs w:val="19"/>
          <w:color w:val="auto"/>
        </w:rPr>
        <w:t>Available borrowings under the Revolving Facility are reduced by any outstanding letters of credit issued by the Corporation under the Revolving Facility. At March 31, 2015, December 31, 2014 and March 31, 2014, the Corporation had $2,507,000 of outstanding letters of credit issued under the Revolving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14 of 49</w:t>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378"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Long-Term Debt (continued)</w:t>
      </w:r>
    </w:p>
    <w:p>
      <w:pPr>
        <w:spacing w:after="0" w:line="182" w:lineRule="exact"/>
        <w:rPr>
          <w:rFonts w:ascii="Arial" w:cs="Arial" w:eastAsia="Arial" w:hAnsi="Arial"/>
          <w:sz w:val="19"/>
          <w:szCs w:val="19"/>
          <w:b w:val="1"/>
          <w:bCs w:val="1"/>
          <w:color w:val="auto"/>
        </w:rPr>
      </w:pPr>
    </w:p>
    <w:p>
      <w:pPr>
        <w:jc w:val="both"/>
        <w:ind w:left="380"/>
        <w:spacing w:after="0" w:line="253" w:lineRule="auto"/>
        <w:rPr>
          <w:rFonts w:ascii="Arial" w:cs="Arial" w:eastAsia="Arial" w:hAnsi="Arial"/>
          <w:sz w:val="19"/>
          <w:szCs w:val="19"/>
          <w:b w:val="1"/>
          <w:bCs w:val="1"/>
          <w:color w:val="auto"/>
        </w:rPr>
      </w:pPr>
      <w:r>
        <w:rPr>
          <w:rFonts w:ascii="Arial" w:cs="Arial" w:eastAsia="Arial" w:hAnsi="Arial"/>
          <w:sz w:val="19"/>
          <w:szCs w:val="19"/>
          <w:color w:val="auto"/>
        </w:rPr>
        <w:t>Accumulated other comprehensive loss includes the unamortized value of terminated forward starting interest rate swap agreements. For the three months ended March 31, 2015, the Corporation recognized $307,000 as additional interest expense. For the three months ended March 31, 2014, the Corporation recognized $288,000 as additional interest expense. The ongoing amortization of the terminated value of the forward starting interest rate swap agreements will increase annual interest expense by approximately $1,200,000 until the maturity of the 6.6% Senior Notes in 2018.</w:t>
      </w:r>
    </w:p>
    <w:p>
      <w:pPr>
        <w:spacing w:after="0" w:line="170" w:lineRule="exact"/>
        <w:rPr>
          <w:rFonts w:ascii="Arial" w:cs="Arial" w:eastAsia="Arial" w:hAnsi="Arial"/>
          <w:sz w:val="19"/>
          <w:szCs w:val="19"/>
          <w:b w:val="1"/>
          <w:bCs w:val="1"/>
          <w:color w:val="auto"/>
        </w:rPr>
      </w:pPr>
    </w:p>
    <w:p>
      <w:pPr>
        <w:ind w:left="380" w:hanging="375"/>
        <w:spacing w:after="0"/>
        <w:tabs>
          <w:tab w:leader="none" w:pos="3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Instruments</w:t>
      </w:r>
    </w:p>
    <w:p>
      <w:pPr>
        <w:spacing w:after="0" w:line="116" w:lineRule="exact"/>
        <w:rPr>
          <w:rFonts w:ascii="Arial" w:cs="Arial" w:eastAsia="Arial" w:hAnsi="Arial"/>
          <w:sz w:val="19"/>
          <w:szCs w:val="19"/>
          <w:b w:val="1"/>
          <w:bCs w:val="1"/>
          <w:color w:val="auto"/>
        </w:rPr>
      </w:pPr>
    </w:p>
    <w:p>
      <w:pPr>
        <w:ind w:left="3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Corporation’s financial instruments include cash equivalents, accounts receivable, notes receivable, bank overdraft, accounts payable, publicly-registered long-term notes, debentures and other long-term debt.</w:t>
      </w:r>
    </w:p>
    <w:p>
      <w:pPr>
        <w:spacing w:after="0" w:line="156"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9"/>
          <w:szCs w:val="19"/>
          <w:color w:val="auto"/>
        </w:rPr>
        <w:t>Cash equivalents are placed primarily in money market funds, money market demand deposit accounts and Eurodollar time deposits. The Corporation’s cash equivalents have maturities of less than three months. Due to the short maturity of these investments, they are carried on the consolidated balance sheets at cost, which approximates fair value.</w:t>
      </w:r>
    </w:p>
    <w:p>
      <w:pPr>
        <w:spacing w:after="0" w:line="171" w:lineRule="exact"/>
        <w:rPr>
          <w:rFonts w:ascii="Arial" w:cs="Arial" w:eastAsia="Arial" w:hAnsi="Arial"/>
          <w:sz w:val="19"/>
          <w:szCs w:val="19"/>
          <w:b w:val="1"/>
          <w:bCs w:val="1"/>
          <w:color w:val="auto"/>
        </w:rPr>
      </w:pPr>
    </w:p>
    <w:p>
      <w:pPr>
        <w:jc w:val="both"/>
        <w:ind w:left="380"/>
        <w:spacing w:after="0" w:line="255" w:lineRule="auto"/>
        <w:rPr>
          <w:rFonts w:ascii="Arial" w:cs="Arial" w:eastAsia="Arial" w:hAnsi="Arial"/>
          <w:sz w:val="19"/>
          <w:szCs w:val="19"/>
          <w:b w:val="1"/>
          <w:bCs w:val="1"/>
          <w:color w:val="auto"/>
        </w:rPr>
      </w:pPr>
      <w:r>
        <w:rPr>
          <w:rFonts w:ascii="Arial" w:cs="Arial" w:eastAsia="Arial" w:hAnsi="Arial"/>
          <w:sz w:val="19"/>
          <w:szCs w:val="19"/>
          <w:color w:val="auto"/>
        </w:rPr>
        <w:t>Accounts receivables are due from a large number of customers, primarily in the construction industry, and are dispersed across wide geographic and economic regions. However, accounts receivables are more heavily concentrated in certain states (namely, Texas, Colorado, North Carolina, Iowa and Georgia). The estimated fair values of accounts receivables approximate their carrying amounts due to the short-term nature of the receivables.</w:t>
      </w:r>
    </w:p>
    <w:p>
      <w:pPr>
        <w:spacing w:after="0" w:line="176"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9"/>
          <w:szCs w:val="19"/>
          <w:color w:val="auto"/>
        </w:rPr>
        <w:t>Notes receivables are primarily promissory notes with customers and are not publicly traded. Management estimates that the fair value of notes receivables approximates the carrying amount. The estimated fair values of notes receivables approximate their carrying amounts due to the short-term nature of the receivables.</w:t>
      </w:r>
    </w:p>
    <w:p>
      <w:pPr>
        <w:spacing w:after="0" w:line="171"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9"/>
          <w:szCs w:val="19"/>
          <w:color w:val="auto"/>
        </w:rPr>
        <w:t>The bank overdraft represents amounts to be funded to financial institutions for checks that have cleared the bank. The estimated fair value of the bank overdraft approximates its carrying value. The estimated fair value of the bank overdraft approximates its carrying amount due to the short-term nature of the overdraft.</w:t>
      </w:r>
    </w:p>
    <w:p>
      <w:pPr>
        <w:spacing w:after="0" w:line="171" w:lineRule="exact"/>
        <w:rPr>
          <w:rFonts w:ascii="Arial" w:cs="Arial" w:eastAsia="Arial" w:hAnsi="Arial"/>
          <w:sz w:val="19"/>
          <w:szCs w:val="19"/>
          <w:b w:val="1"/>
          <w:bCs w:val="1"/>
          <w:color w:val="auto"/>
        </w:rPr>
      </w:pPr>
    </w:p>
    <w:p>
      <w:pPr>
        <w:ind w:left="3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Accounts payable represent amounts owed to suppliers and vendors. The estimated fair value of accounts payable approximates its carrying amounts due to the short-term nature of the payables.</w:t>
      </w:r>
    </w:p>
    <w:p>
      <w:pPr>
        <w:spacing w:after="0" w:line="156" w:lineRule="exact"/>
        <w:rPr>
          <w:rFonts w:ascii="Arial" w:cs="Arial" w:eastAsia="Arial" w:hAnsi="Arial"/>
          <w:sz w:val="19"/>
          <w:szCs w:val="19"/>
          <w:b w:val="1"/>
          <w:bCs w:val="1"/>
          <w:color w:val="auto"/>
        </w:rPr>
      </w:pPr>
    </w:p>
    <w:p>
      <w:pPr>
        <w:jc w:val="both"/>
        <w:ind w:left="380"/>
        <w:spacing w:after="0" w:line="251" w:lineRule="auto"/>
        <w:rPr>
          <w:rFonts w:ascii="Arial" w:cs="Arial" w:eastAsia="Arial" w:hAnsi="Arial"/>
          <w:sz w:val="19"/>
          <w:szCs w:val="19"/>
          <w:b w:val="1"/>
          <w:bCs w:val="1"/>
          <w:color w:val="auto"/>
        </w:rPr>
      </w:pPr>
      <w:r>
        <w:rPr>
          <w:rFonts w:ascii="Arial" w:cs="Arial" w:eastAsia="Arial" w:hAnsi="Arial"/>
          <w:sz w:val="19"/>
          <w:szCs w:val="19"/>
          <w:color w:val="auto"/>
        </w:rPr>
        <w:t>The carrying values and fair values of the Corporation’s long-term debt were $1,581,023,000 and $1,691,478,000, respectively, at March 31, 2015; $1,585,395,000 and $1,680,584,000, respectively, at December 31, 2014; and $1,067,944,000 and $1,127,149,000, respectively, at March 31, 2014. The estimated fair value of the publicly-registered long-term notes was estimated based on Level 1 of the fair value hierarchy using quoted market prices. The fair value of the Notes was based on Level 2 of the fair value hierarchy using quoted market prices for similar debt instruments. The estimated fair value of other borrowings, which primarily represents variable-rate debt, approximates its carrying amount as the interest rates reset periodically.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15 of 49</w:t>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7" w:lineRule="exact"/>
        <w:rPr>
          <w:sz w:val="20"/>
          <w:szCs w:val="20"/>
          <w:color w:val="auto"/>
        </w:rPr>
      </w:pPr>
    </w:p>
    <w:p>
      <w:pPr>
        <w:ind w:left="380" w:hanging="375"/>
        <w:spacing w:after="0"/>
        <w:tabs>
          <w:tab w:leader="none" w:pos="38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Income Taxes</w:t>
      </w:r>
    </w:p>
    <w:p>
      <w:pPr>
        <w:spacing w:after="0" w:line="261" w:lineRule="exact"/>
        <w:rPr>
          <w:sz w:val="20"/>
          <w:szCs w:val="20"/>
          <w:color w:val="auto"/>
        </w:rPr>
      </w:pPr>
    </w:p>
    <w:p>
      <w:pPr>
        <w:ind w:left="8240"/>
        <w:spacing w:after="0"/>
        <w:rPr>
          <w:sz w:val="20"/>
          <w:szCs w:val="20"/>
          <w:color w:val="auto"/>
        </w:rPr>
      </w:pPr>
      <w:r>
        <w:rPr>
          <w:rFonts w:ascii="Arial" w:cs="Arial" w:eastAsia="Arial" w:hAnsi="Arial"/>
          <w:sz w:val="19"/>
          <w:szCs w:val="19"/>
          <w:color w:val="auto"/>
        </w:rPr>
        <w:t>Three Months Ended March 31,</w:t>
      </w:r>
    </w:p>
    <w:p>
      <w:pPr>
        <w:spacing w:after="0" w:line="2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9"/>
                <w:szCs w:val="19"/>
                <w:color w:val="auto"/>
              </w:rPr>
              <w:t>2015</w:t>
            </w: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200" w:type="dxa"/>
            <w:vAlign w:val="bottom"/>
            <w:tcBorders>
              <w:top w:val="single" w:sz="8" w:color="auto"/>
            </w:tcBorders>
          </w:tcPr>
          <w:p>
            <w:pPr>
              <w:spacing w:after="0"/>
              <w:rPr>
                <w:sz w:val="19"/>
                <w:szCs w:val="19"/>
                <w:color w:val="auto"/>
              </w:rPr>
            </w:pPr>
          </w:p>
        </w:tc>
      </w:tr>
      <w:tr>
        <w:trPr>
          <w:trHeight w:val="248"/>
        </w:trPr>
        <w:tc>
          <w:tcPr>
            <w:tcW w:w="8700" w:type="dxa"/>
            <w:vAlign w:val="bottom"/>
            <w:gridSpan w:val="2"/>
          </w:tcPr>
          <w:p>
            <w:pPr>
              <w:spacing w:after="0"/>
              <w:rPr>
                <w:sz w:val="20"/>
                <w:szCs w:val="20"/>
                <w:color w:val="auto"/>
              </w:rPr>
            </w:pPr>
            <w:r>
              <w:rPr>
                <w:rFonts w:ascii="Arial" w:cs="Arial" w:eastAsia="Arial" w:hAnsi="Arial"/>
                <w:sz w:val="19"/>
                <w:szCs w:val="19"/>
                <w:color w:val="auto"/>
              </w:rPr>
              <w:t>Estimated effective income tax rate:</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65"/>
        </w:trPr>
        <w:tc>
          <w:tcPr>
            <w:tcW w:w="7640" w:type="dxa"/>
            <w:vAlign w:val="bottom"/>
          </w:tcPr>
          <w:p>
            <w:pPr>
              <w:ind w:left="240"/>
              <w:spacing w:after="0"/>
              <w:rPr>
                <w:sz w:val="20"/>
                <w:szCs w:val="20"/>
                <w:color w:val="auto"/>
              </w:rPr>
            </w:pPr>
            <w:r>
              <w:rPr>
                <w:rFonts w:ascii="Arial" w:cs="Arial" w:eastAsia="Arial" w:hAnsi="Arial"/>
                <w:sz w:val="19"/>
                <w:szCs w:val="19"/>
                <w:color w:val="auto"/>
              </w:rPr>
              <w:t>Continuing operations</w:t>
            </w:r>
          </w:p>
        </w:tc>
        <w:tc>
          <w:tcPr>
            <w:tcW w:w="106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color w:val="auto"/>
              </w:rPr>
              <w:t>(15.2)%</w:t>
            </w:r>
          </w:p>
        </w:tc>
        <w:tc>
          <w:tcPr>
            <w:tcW w:w="1780" w:type="dxa"/>
            <w:vAlign w:val="bottom"/>
            <w:gridSpan w:val="2"/>
          </w:tcPr>
          <w:p>
            <w:pPr>
              <w:jc w:val="right"/>
              <w:ind w:right="40"/>
              <w:spacing w:after="0"/>
              <w:rPr>
                <w:sz w:val="20"/>
                <w:szCs w:val="20"/>
                <w:color w:val="auto"/>
              </w:rPr>
            </w:pPr>
            <w:r>
              <w:rPr>
                <w:rFonts w:ascii="Arial" w:cs="Arial" w:eastAsia="Arial" w:hAnsi="Arial"/>
                <w:sz w:val="19"/>
                <w:szCs w:val="19"/>
                <w:color w:val="auto"/>
              </w:rPr>
              <w:t>26.7%</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229"/>
        </w:trPr>
        <w:tc>
          <w:tcPr>
            <w:tcW w:w="76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Discontinued operations</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9"/>
                <w:szCs w:val="19"/>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6.3%</w:t>
            </w:r>
          </w:p>
        </w:tc>
      </w:tr>
      <w:tr>
        <w:trPr>
          <w:trHeight w:val="20"/>
        </w:trPr>
        <w:tc>
          <w:tcPr>
            <w:tcW w:w="76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229"/>
        </w:trPr>
        <w:tc>
          <w:tcPr>
            <w:tcW w:w="8700" w:type="dxa"/>
            <w:vAlign w:val="bottom"/>
            <w:gridSpan w:val="2"/>
          </w:tcPr>
          <w:p>
            <w:pPr>
              <w:ind w:left="240"/>
              <w:spacing w:after="0"/>
              <w:rPr>
                <w:sz w:val="20"/>
                <w:szCs w:val="20"/>
                <w:color w:val="auto"/>
              </w:rPr>
            </w:pPr>
            <w:r>
              <w:rPr>
                <w:rFonts w:ascii="Arial" w:cs="Arial" w:eastAsia="Arial" w:hAnsi="Arial"/>
                <w:sz w:val="19"/>
                <w:szCs w:val="19"/>
                <w:color w:val="auto"/>
              </w:rPr>
              <w:t>Consolidated overall</w:t>
            </w:r>
          </w:p>
        </w:tc>
        <w:tc>
          <w:tcPr>
            <w:tcW w:w="760" w:type="dxa"/>
            <w:vAlign w:val="bottom"/>
            <w:gridSpan w:val="2"/>
          </w:tcPr>
          <w:p>
            <w:pPr>
              <w:jc w:val="right"/>
              <w:ind w:right="20"/>
              <w:spacing w:after="0"/>
              <w:rPr>
                <w:sz w:val="20"/>
                <w:szCs w:val="20"/>
                <w:color w:val="auto"/>
              </w:rPr>
            </w:pPr>
            <w:r>
              <w:rPr>
                <w:rFonts w:ascii="Arial" w:cs="Arial" w:eastAsia="Arial" w:hAnsi="Arial"/>
                <w:sz w:val="19"/>
                <w:szCs w:val="19"/>
                <w:color w:val="auto"/>
              </w:rPr>
              <w:t>(15.2)%</w:t>
            </w:r>
          </w:p>
        </w:tc>
        <w:tc>
          <w:tcPr>
            <w:tcW w:w="1780" w:type="dxa"/>
            <w:vAlign w:val="bottom"/>
            <w:gridSpan w:val="2"/>
          </w:tcPr>
          <w:p>
            <w:pPr>
              <w:jc w:val="right"/>
              <w:ind w:right="40"/>
              <w:spacing w:after="0"/>
              <w:rPr>
                <w:sz w:val="20"/>
                <w:szCs w:val="20"/>
                <w:color w:val="auto"/>
              </w:rPr>
            </w:pPr>
            <w:r>
              <w:rPr>
                <w:rFonts w:ascii="Arial" w:cs="Arial" w:eastAsia="Arial" w:hAnsi="Arial"/>
                <w:sz w:val="19"/>
                <w:szCs w:val="19"/>
                <w:color w:val="auto"/>
              </w:rPr>
              <w:t>26.7%</w:t>
            </w:r>
          </w:p>
        </w:tc>
      </w:tr>
      <w:tr>
        <w:trPr>
          <w:trHeight w:val="20"/>
        </w:trPr>
        <w:tc>
          <w:tcPr>
            <w:tcW w:w="7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Corporation’s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The effective income tax rates for discontinued operations reflect the tax effects of individual operations’ transactions and are not indicative of the Corporation’s overall effective income tax rate.</w:t>
      </w:r>
    </w:p>
    <w:p>
      <w:pPr>
        <w:spacing w:after="0" w:line="176" w:lineRule="exact"/>
        <w:rPr>
          <w:sz w:val="20"/>
          <w:szCs w:val="20"/>
          <w:color w:val="auto"/>
        </w:rPr>
      </w:pPr>
    </w:p>
    <w:p>
      <w:pPr>
        <w:jc w:val="both"/>
        <w:ind w:left="380"/>
        <w:spacing w:after="0" w:line="281" w:lineRule="auto"/>
        <w:rPr>
          <w:sz w:val="20"/>
          <w:szCs w:val="20"/>
          <w:color w:val="auto"/>
        </w:rPr>
      </w:pPr>
      <w:r>
        <w:rPr>
          <w:rFonts w:ascii="Arial" w:cs="Arial" w:eastAsia="Arial" w:hAnsi="Arial"/>
          <w:sz w:val="18"/>
          <w:szCs w:val="18"/>
          <w:color w:val="auto"/>
        </w:rPr>
        <w:t>The decrease in the effective income tax rate is attributable to discrete events, which include the exercise of converted stock awards issued to former TXI personnel. Excluding discrete items, the estimated effective income tax rate would have been 31%, in line with annual guidance. For the year, the Corporation expects to utilize net operating loss, or NOL, carryforwards acquired with TXI.</w:t>
      </w:r>
    </w:p>
    <w:p>
      <w:pPr>
        <w:spacing w:after="0" w:line="154" w:lineRule="exact"/>
        <w:rPr>
          <w:sz w:val="20"/>
          <w:szCs w:val="20"/>
          <w:color w:val="auto"/>
        </w:rPr>
      </w:pPr>
    </w:p>
    <w:p>
      <w:pPr>
        <w:jc w:val="both"/>
        <w:ind w:left="380"/>
        <w:spacing w:after="0" w:line="275" w:lineRule="auto"/>
        <w:rPr>
          <w:sz w:val="20"/>
          <w:szCs w:val="20"/>
          <w:color w:val="auto"/>
        </w:rPr>
      </w:pPr>
      <w:r>
        <w:rPr>
          <w:rFonts w:ascii="Arial" w:cs="Arial" w:eastAsia="Arial" w:hAnsi="Arial"/>
          <w:sz w:val="19"/>
          <w:szCs w:val="19"/>
          <w:color w:val="auto"/>
        </w:rPr>
        <w:t>The Corporation records interest accrued in relation to unrecognized tax benefits as income tax expense. Penalties, if incurred, are recorded as operating expenses in the consolidated statements of earnings and comprehensive earnings.</w:t>
      </w:r>
    </w:p>
    <w:p>
      <w:pPr>
        <w:spacing w:after="0" w:line="283"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Pension and Postretirement Benefits</w:t>
      </w:r>
    </w:p>
    <w:p>
      <w:pPr>
        <w:spacing w:after="0" w:line="116"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9"/>
                <w:szCs w:val="19"/>
                <w:color w:val="auto"/>
                <w:w w:val="93"/>
              </w:rPr>
              <w:t>Three Months Ended March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9"/>
                <w:szCs w:val="19"/>
                <w:color w:val="auto"/>
              </w:rPr>
              <w:t>Pension</w:t>
            </w:r>
          </w:p>
        </w:tc>
        <w:tc>
          <w:tcPr>
            <w:tcW w:w="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9"/>
                <w:szCs w:val="19"/>
                <w:color w:val="auto"/>
                <w:w w:val="98"/>
              </w:rPr>
              <w:t>Postretirement Benefits</w:t>
            </w:r>
          </w:p>
        </w:tc>
        <w:tc>
          <w:tcPr>
            <w:tcW w:w="120" w:type="dxa"/>
            <w:vAlign w:val="bottom"/>
          </w:tcPr>
          <w:p>
            <w:pPr>
              <w:spacing w:after="0"/>
              <w:rPr>
                <w:sz w:val="19"/>
                <w:szCs w:val="19"/>
                <w:color w:val="auto"/>
              </w:rPr>
            </w:pPr>
          </w:p>
        </w:tc>
      </w:tr>
      <w:tr>
        <w:trPr>
          <w:trHeight w:val="230"/>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9"/>
                <w:szCs w:val="19"/>
                <w:color w:val="auto"/>
              </w:rPr>
              <w:t>2015</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2014</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9"/>
                <w:szCs w:val="19"/>
                <w:color w:val="auto"/>
              </w:rPr>
              <w:t>2015</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r>
      <w:tr>
        <w:trPr>
          <w:trHeight w:val="226"/>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6"/>
          </w:tcPr>
          <w:p>
            <w:pPr>
              <w:ind w:left="80"/>
              <w:spacing w:after="0"/>
              <w:rPr>
                <w:sz w:val="20"/>
                <w:szCs w:val="20"/>
                <w:color w:val="auto"/>
              </w:rPr>
            </w:pPr>
            <w:r>
              <w:rPr>
                <w:rFonts w:ascii="Arial" w:cs="Arial" w:eastAsia="Arial" w:hAnsi="Arial"/>
                <w:sz w:val="19"/>
                <w:szCs w:val="19"/>
                <w:i w:val="1"/>
                <w:iCs w:val="1"/>
                <w:color w:val="auto"/>
              </w:rPr>
              <w:t>(Dollars 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9"/>
                <w:szCs w:val="19"/>
                <w:color w:val="auto"/>
              </w:rPr>
              <w:t>Service cost</w:t>
            </w:r>
          </w:p>
        </w:tc>
        <w:tc>
          <w:tcPr>
            <w:tcW w:w="240" w:type="dxa"/>
            <w:vAlign w:val="bottom"/>
          </w:tcPr>
          <w:p>
            <w:pPr>
              <w:jc w:val="right"/>
              <w:ind w:right="44"/>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6,290</w:t>
            </w:r>
          </w:p>
        </w:tc>
        <w:tc>
          <w:tcPr>
            <w:tcW w:w="140" w:type="dxa"/>
            <w:vAlign w:val="bottom"/>
          </w:tcPr>
          <w:p>
            <w:pPr>
              <w:spacing w:after="0"/>
              <w:rPr>
                <w:sz w:val="20"/>
                <w:szCs w:val="20"/>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3,730</w:t>
            </w:r>
          </w:p>
        </w:tc>
        <w:tc>
          <w:tcPr>
            <w:tcW w:w="140" w:type="dxa"/>
            <w:vAlign w:val="bottom"/>
          </w:tcPr>
          <w:p>
            <w:pPr>
              <w:spacing w:after="0"/>
              <w:rPr>
                <w:sz w:val="20"/>
                <w:szCs w:val="20"/>
                <w:color w:val="auto"/>
              </w:rPr>
            </w:pPr>
          </w:p>
        </w:tc>
        <w:tc>
          <w:tcPr>
            <w:tcW w:w="300" w:type="dxa"/>
            <w:vAlign w:val="bottom"/>
            <w:gridSpan w:val="2"/>
          </w:tcPr>
          <w:p>
            <w:pPr>
              <w:jc w:val="right"/>
              <w:ind w:right="44"/>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39</w:t>
            </w:r>
          </w:p>
        </w:tc>
        <w:tc>
          <w:tcPr>
            <w:tcW w:w="200" w:type="dxa"/>
            <w:vAlign w:val="bottom"/>
          </w:tcPr>
          <w:p>
            <w:pPr>
              <w:spacing w:after="0"/>
              <w:rPr>
                <w:sz w:val="20"/>
                <w:szCs w:val="20"/>
                <w:color w:val="auto"/>
              </w:rPr>
            </w:pPr>
          </w:p>
        </w:tc>
        <w:tc>
          <w:tcPr>
            <w:tcW w:w="260" w:type="dxa"/>
            <w:vAlign w:val="bottom"/>
          </w:tcPr>
          <w:p>
            <w:pPr>
              <w:jc w:val="right"/>
              <w:ind w:right="64"/>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55</w:t>
            </w:r>
          </w:p>
        </w:tc>
        <w:tc>
          <w:tcPr>
            <w:tcW w:w="120" w:type="dxa"/>
            <w:vAlign w:val="bottom"/>
          </w:tcPr>
          <w:p>
            <w:pPr>
              <w:spacing w:after="0"/>
              <w:rPr>
                <w:sz w:val="20"/>
                <w:szCs w:val="20"/>
                <w:color w:val="auto"/>
              </w:rPr>
            </w:pPr>
          </w:p>
        </w:tc>
      </w:tr>
      <w:tr>
        <w:trPr>
          <w:trHeight w:val="237"/>
        </w:trPr>
        <w:tc>
          <w:tcPr>
            <w:tcW w:w="5960" w:type="dxa"/>
            <w:vAlign w:val="bottom"/>
            <w:shd w:val="clear" w:color="auto" w:fill="CFF0FC"/>
          </w:tcPr>
          <w:p>
            <w:pPr>
              <w:spacing w:after="0"/>
              <w:rPr>
                <w:sz w:val="20"/>
                <w:szCs w:val="20"/>
                <w:color w:val="auto"/>
              </w:rPr>
            </w:pPr>
            <w:r>
              <w:rPr>
                <w:rFonts w:ascii="Arial" w:cs="Arial" w:eastAsia="Arial" w:hAnsi="Arial"/>
                <w:sz w:val="19"/>
                <w:szCs w:val="19"/>
                <w:color w:val="auto"/>
              </w:rPr>
              <w:t>Interest cost</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8,112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6,590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230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290</w:t>
            </w:r>
          </w:p>
        </w:tc>
        <w:tc>
          <w:tcPr>
            <w:tcW w:w="120" w:type="dxa"/>
            <w:vAlign w:val="bottom"/>
            <w:shd w:val="clear" w:color="auto" w:fill="CFF0FC"/>
          </w:tcPr>
          <w:p>
            <w:pPr>
              <w:spacing w:after="0"/>
              <w:rPr>
                <w:sz w:val="20"/>
                <w:szCs w:val="20"/>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9"/>
                <w:szCs w:val="19"/>
                <w:color w:val="auto"/>
              </w:rPr>
              <w:t>Expected return on assets</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9"/>
                <w:szCs w:val="19"/>
                <w:color w:val="auto"/>
              </w:rPr>
              <w:t>(9,104)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9"/>
                <w:szCs w:val="19"/>
                <w:color w:val="auto"/>
              </w:rPr>
              <w:t>(7,698)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7"/>
        </w:trPr>
        <w:tc>
          <w:tcPr>
            <w:tcW w:w="5960" w:type="dxa"/>
            <w:vAlign w:val="bottom"/>
            <w:shd w:val="clear" w:color="auto" w:fill="CFF0FC"/>
          </w:tcPr>
          <w:p>
            <w:pPr>
              <w:spacing w:after="0"/>
              <w:rPr>
                <w:sz w:val="20"/>
                <w:szCs w:val="20"/>
                <w:color w:val="auto"/>
              </w:rPr>
            </w:pPr>
            <w:r>
              <w:rPr>
                <w:rFonts w:ascii="Arial" w:cs="Arial" w:eastAsia="Arial" w:hAnsi="Arial"/>
                <w:sz w:val="19"/>
                <w:szCs w:val="19"/>
                <w:color w:val="auto"/>
              </w:rPr>
              <w:t>Amortization of:</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960" w:type="dxa"/>
            <w:vAlign w:val="bottom"/>
          </w:tcPr>
          <w:p>
            <w:pPr>
              <w:ind w:left="240"/>
              <w:spacing w:after="0"/>
              <w:rPr>
                <w:sz w:val="20"/>
                <w:szCs w:val="20"/>
                <w:color w:val="auto"/>
              </w:rPr>
            </w:pPr>
            <w:r>
              <w:rPr>
                <w:rFonts w:ascii="Arial" w:cs="Arial" w:eastAsia="Arial" w:hAnsi="Arial"/>
                <w:sz w:val="19"/>
                <w:szCs w:val="19"/>
                <w:color w:val="auto"/>
              </w:rPr>
              <w:t>Prior service cost (credit)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9"/>
                <w:szCs w:val="19"/>
                <w:color w:val="auto"/>
              </w:rPr>
              <w:t>(576)</w:t>
            </w: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9"/>
                <w:szCs w:val="19"/>
                <w:color w:val="auto"/>
              </w:rPr>
              <w:t>(814)</w:t>
            </w:r>
          </w:p>
        </w:tc>
      </w:tr>
      <w:tr>
        <w:trPr>
          <w:trHeight w:val="237"/>
        </w:trPr>
        <w:tc>
          <w:tcPr>
            <w:tcW w:w="596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Actuarial loss (gain)</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3,108</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1,202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(82)</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(35)</w:t>
            </w:r>
          </w:p>
        </w:tc>
      </w:tr>
      <w:tr>
        <w:trPr>
          <w:trHeight w:val="237"/>
        </w:trPr>
        <w:tc>
          <w:tcPr>
            <w:tcW w:w="5960" w:type="dxa"/>
            <w:vAlign w:val="bottom"/>
          </w:tcPr>
          <w:p>
            <w:pPr>
              <w:spacing w:after="0"/>
              <w:rPr>
                <w:sz w:val="20"/>
                <w:szCs w:val="20"/>
                <w:color w:val="auto"/>
              </w:rPr>
            </w:pPr>
            <w:r>
              <w:rPr>
                <w:rFonts w:ascii="Arial" w:cs="Arial" w:eastAsia="Arial" w:hAnsi="Arial"/>
                <w:sz w:val="19"/>
                <w:szCs w:val="19"/>
                <w:color w:val="auto"/>
              </w:rPr>
              <w:t>Termination benefit charge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Net periodic benefit cost (credit)</w:t>
            </w:r>
          </w:p>
        </w:tc>
        <w:tc>
          <w:tcPr>
            <w:tcW w:w="2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8,767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3,935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16 of 49</w:t>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right="8080" w:hanging="375"/>
        <w:spacing w:after="0" w:line="407" w:lineRule="auto"/>
        <w:tabs>
          <w:tab w:leader="none" w:pos="381"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Legal and Administrative Proceedings</w:t>
      </w:r>
    </w:p>
    <w:p>
      <w:pPr>
        <w:jc w:val="both"/>
        <w:ind w:left="380"/>
        <w:spacing w:after="0" w:line="255" w:lineRule="auto"/>
        <w:rPr>
          <w:rFonts w:ascii="Arial" w:cs="Arial" w:eastAsia="Arial" w:hAnsi="Arial"/>
          <w:sz w:val="17"/>
          <w:szCs w:val="17"/>
          <w:b w:val="1"/>
          <w:bCs w:val="1"/>
          <w:color w:val="auto"/>
        </w:rPr>
      </w:pPr>
      <w:r>
        <w:rPr>
          <w:rFonts w:ascii="Arial" w:cs="Arial" w:eastAsia="Arial" w:hAnsi="Arial"/>
          <w:sz w:val="19"/>
          <w:szCs w:val="19"/>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76"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9"/>
          <w:szCs w:val="19"/>
          <w:u w:val="single" w:color="auto"/>
          <w:color w:val="auto"/>
        </w:rPr>
        <w:t>Borrowing Arrangements with Affiliate</w:t>
      </w:r>
    </w:p>
    <w:p>
      <w:pPr>
        <w:spacing w:after="0" w:line="110" w:lineRule="exact"/>
        <w:rPr>
          <w:rFonts w:ascii="Arial" w:cs="Arial" w:eastAsia="Arial" w:hAnsi="Arial"/>
          <w:sz w:val="17"/>
          <w:szCs w:val="17"/>
          <w:b w:val="1"/>
          <w:bCs w:val="1"/>
          <w:color w:val="auto"/>
        </w:rPr>
      </w:pPr>
    </w:p>
    <w:p>
      <w:pPr>
        <w:jc w:val="both"/>
        <w:ind w:left="380"/>
        <w:spacing w:after="0" w:line="255" w:lineRule="auto"/>
        <w:rPr>
          <w:rFonts w:ascii="Arial" w:cs="Arial" w:eastAsia="Arial" w:hAnsi="Arial"/>
          <w:sz w:val="17"/>
          <w:szCs w:val="17"/>
          <w:b w:val="1"/>
          <w:bCs w:val="1"/>
          <w:color w:val="auto"/>
        </w:rPr>
      </w:pPr>
      <w:r>
        <w:rPr>
          <w:rFonts w:ascii="Arial" w:cs="Arial" w:eastAsia="Arial" w:hAnsi="Arial"/>
          <w:sz w:val="19"/>
          <w:szCs w:val="19"/>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71" w:lineRule="exact"/>
        <w:rPr>
          <w:rFonts w:ascii="Arial" w:cs="Arial" w:eastAsia="Arial" w:hAnsi="Arial"/>
          <w:sz w:val="17"/>
          <w:szCs w:val="17"/>
          <w:b w:val="1"/>
          <w:bCs w:val="1"/>
          <w:color w:val="auto"/>
        </w:rPr>
      </w:pPr>
    </w:p>
    <w:p>
      <w:pPr>
        <w:jc w:val="both"/>
        <w:ind w:left="380"/>
        <w:spacing w:after="0" w:line="255" w:lineRule="auto"/>
        <w:rPr>
          <w:rFonts w:ascii="Arial" w:cs="Arial" w:eastAsia="Arial" w:hAnsi="Arial"/>
          <w:sz w:val="17"/>
          <w:szCs w:val="17"/>
          <w:b w:val="1"/>
          <w:bCs w:val="1"/>
          <w:color w:val="auto"/>
        </w:rPr>
      </w:pPr>
      <w:r>
        <w:rPr>
          <w:rFonts w:ascii="Arial" w:cs="Arial" w:eastAsia="Arial" w:hAnsi="Arial"/>
          <w:sz w:val="19"/>
          <w:szCs w:val="19"/>
          <w:color w:val="auto"/>
        </w:rPr>
        <w:t>The Corporation had loaned $3,402,000 to this unconsolidated affiliate to repay in full the outstanding balance of the affiliate’s loan with Bank of America, N.A. in 2013 and entered into a loan agreement with the affiliate for monthly repayment of principal and interest of that loan amount. The loan was repaid in full during the quarter ended March 31, 2015. As of December 31, 2014 and March 31, 2014, the amount due from the affiliate related to this loan was $1,808,000 and $2,773,000, respectively.</w:t>
      </w:r>
    </w:p>
    <w:p>
      <w:pPr>
        <w:spacing w:after="0" w:line="71" w:lineRule="exact"/>
        <w:rPr>
          <w:rFonts w:ascii="Arial" w:cs="Arial" w:eastAsia="Arial" w:hAnsi="Arial"/>
          <w:sz w:val="17"/>
          <w:szCs w:val="17"/>
          <w:b w:val="1"/>
          <w:bCs w:val="1"/>
          <w:color w:val="auto"/>
        </w:rPr>
      </w:pPr>
    </w:p>
    <w:p>
      <w:pPr>
        <w:ind w:left="380"/>
        <w:spacing w:after="0" w:line="275" w:lineRule="auto"/>
        <w:rPr>
          <w:rFonts w:ascii="Arial" w:cs="Arial" w:eastAsia="Arial" w:hAnsi="Arial"/>
          <w:sz w:val="17"/>
          <w:szCs w:val="17"/>
          <w:b w:val="1"/>
          <w:bCs w:val="1"/>
          <w:color w:val="auto"/>
        </w:rPr>
      </w:pPr>
      <w:r>
        <w:rPr>
          <w:rFonts w:ascii="Arial" w:cs="Arial" w:eastAsia="Arial" w:hAnsi="Arial"/>
          <w:sz w:val="19"/>
          <w:szCs w:val="19"/>
          <w:color w:val="auto"/>
        </w:rPr>
        <w:t>In addition, the Corporation has a $6,000,000 outstanding loan due from this unconsolidated affiliate as of March 31, 2015, December 31, 2014 and March 31, 2014.</w:t>
      </w:r>
    </w:p>
    <w:p>
      <w:pPr>
        <w:spacing w:after="0" w:line="156"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9"/>
          <w:szCs w:val="19"/>
          <w:u w:val="single" w:color="auto"/>
          <w:color w:val="auto"/>
        </w:rPr>
        <w:t>Employees</w:t>
      </w:r>
    </w:p>
    <w:p>
      <w:pPr>
        <w:spacing w:after="0" w:line="110" w:lineRule="exact"/>
        <w:rPr>
          <w:rFonts w:ascii="Arial" w:cs="Arial" w:eastAsia="Arial" w:hAnsi="Arial"/>
          <w:sz w:val="17"/>
          <w:szCs w:val="17"/>
          <w:b w:val="1"/>
          <w:bCs w:val="1"/>
          <w:color w:val="auto"/>
        </w:rPr>
      </w:pPr>
    </w:p>
    <w:p>
      <w:pPr>
        <w:jc w:val="both"/>
        <w:ind w:left="380"/>
        <w:spacing w:after="0" w:line="249" w:lineRule="auto"/>
        <w:rPr>
          <w:rFonts w:ascii="Arial" w:cs="Arial" w:eastAsia="Arial" w:hAnsi="Arial"/>
          <w:sz w:val="17"/>
          <w:szCs w:val="17"/>
          <w:b w:val="1"/>
          <w:bCs w:val="1"/>
          <w:color w:val="auto"/>
        </w:rPr>
      </w:pPr>
      <w:r>
        <w:rPr>
          <w:rFonts w:ascii="Arial" w:cs="Arial" w:eastAsia="Arial" w:hAnsi="Arial"/>
          <w:sz w:val="19"/>
          <w:szCs w:val="19"/>
          <w:color w:val="auto"/>
        </w:rPr>
        <w:t>Approximately 13% of the Corporation’s employees are represented by a labor union. All such employees are hourly employees. The Corporation maintains collective bargaining agreements relating to the union employees with the Aggregates business and the Cement and Magnesia Specialties segments. For the Cement segment located in California and Texas, 100% of its hourly employees at the Oro Grande cement plant and Crestmore clinker grinding facility, both located in California, are represented by labor unions. The Oro Grande collective bargaining agreement expires June 2015, and management does not anticipate any difficulties renewing this labor contract. The Crestmore collective bargaining agreement expires in August 2016. For the Magnesia Specialties segment located in Manistee, Michigan and Woodville, Ohio, 100% of its hourly employees are represented by labor unions. The Manistee collective bargaining agreement expires in August 2015. Management does not anticipate any difficulties in renewing this labor contract. The Woodville collective bargaining agreement expires in May 2018.</w:t>
      </w:r>
    </w:p>
    <w:p>
      <w:pPr>
        <w:spacing w:after="0" w:line="282" w:lineRule="exact"/>
        <w:rPr>
          <w:rFonts w:ascii="Arial" w:cs="Arial" w:eastAsia="Arial" w:hAnsi="Arial"/>
          <w:sz w:val="17"/>
          <w:szCs w:val="17"/>
          <w:b w:val="1"/>
          <w:bCs w:val="1"/>
          <w:color w:val="auto"/>
        </w:rPr>
      </w:pPr>
    </w:p>
    <w:p>
      <w:pPr>
        <w:ind w:left="380" w:hanging="375"/>
        <w:spacing w:after="0"/>
        <w:tabs>
          <w:tab w:leader="none" w:pos="38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w:t>
      </w:r>
    </w:p>
    <w:p>
      <w:pPr>
        <w:spacing w:after="0" w:line="116" w:lineRule="exact"/>
        <w:rPr>
          <w:rFonts w:ascii="Arial" w:cs="Arial" w:eastAsia="Arial" w:hAnsi="Arial"/>
          <w:sz w:val="19"/>
          <w:szCs w:val="19"/>
          <w:b w:val="1"/>
          <w:bCs w:val="1"/>
          <w:color w:val="auto"/>
        </w:rPr>
      </w:pPr>
    </w:p>
    <w:p>
      <w:pPr>
        <w:jc w:val="both"/>
        <w:ind w:left="380"/>
        <w:spacing w:after="0" w:line="253" w:lineRule="auto"/>
        <w:rPr>
          <w:rFonts w:ascii="Arial" w:cs="Arial" w:eastAsia="Arial" w:hAnsi="Arial"/>
          <w:sz w:val="19"/>
          <w:szCs w:val="19"/>
          <w:b w:val="1"/>
          <w:bCs w:val="1"/>
          <w:color w:val="auto"/>
        </w:rPr>
      </w:pPr>
      <w:r>
        <w:rPr>
          <w:rFonts w:ascii="Arial" w:cs="Arial" w:eastAsia="Arial" w:hAnsi="Arial"/>
          <w:sz w:val="19"/>
          <w:szCs w:val="19"/>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17 of 49</w:t>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 (Continued)</w:t>
      </w:r>
    </w:p>
    <w:p>
      <w:pPr>
        <w:spacing w:after="0" w:line="116" w:lineRule="exact"/>
        <w:rPr>
          <w:rFonts w:ascii="Arial" w:cs="Arial" w:eastAsia="Arial" w:hAnsi="Arial"/>
          <w:sz w:val="19"/>
          <w:szCs w:val="19"/>
          <w:b w:val="1"/>
          <w:bCs w:val="1"/>
          <w:color w:val="auto"/>
        </w:rPr>
      </w:pPr>
    </w:p>
    <w:p>
      <w:pPr>
        <w:jc w:val="both"/>
        <w:ind w:left="380"/>
        <w:spacing w:after="0" w:line="253" w:lineRule="auto"/>
        <w:rPr>
          <w:rFonts w:ascii="Arial" w:cs="Arial" w:eastAsia="Arial" w:hAnsi="Arial"/>
          <w:sz w:val="19"/>
          <w:szCs w:val="19"/>
          <w:b w:val="1"/>
          <w:bCs w:val="1"/>
          <w:color w:val="auto"/>
        </w:rPr>
      </w:pPr>
      <w:r>
        <w:rPr>
          <w:rFonts w:ascii="Arial" w:cs="Arial" w:eastAsia="Arial" w:hAnsi="Arial"/>
          <w:sz w:val="19"/>
          <w:szCs w:val="19"/>
          <w:color w:val="auto"/>
        </w:rPr>
        <w:t>The following tables display selected financial data for continuing operations for the Corporation’s reportable business segments. Total revenues and net sales in the table below, as well as the consolidated statements of earnings and comprehensive earnings, do not include intersegment sales as these sales are eliminated.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6"/>
          </w:tcPr>
          <w:p>
            <w:pPr>
              <w:jc w:val="center"/>
              <w:ind w:right="48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684"/>
              <w:spacing w:after="0"/>
              <w:rPr>
                <w:sz w:val="20"/>
                <w:szCs w:val="20"/>
                <w:color w:val="auto"/>
              </w:rPr>
            </w:pPr>
            <w:r>
              <w:rPr>
                <w:rFonts w:ascii="Arial" w:cs="Arial" w:eastAsia="Arial" w:hAnsi="Arial"/>
                <w:sz w:val="19"/>
                <w:szCs w:val="19"/>
                <w:color w:val="auto"/>
                <w:w w:val="94"/>
              </w:rPr>
              <w:t>March 31,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60" w:type="dxa"/>
            <w:vAlign w:val="bottom"/>
            <w:gridSpan w:val="5"/>
            <w:vMerge w:val="restart"/>
          </w:tcPr>
          <w:p>
            <w:pPr>
              <w:spacing w:after="0"/>
              <w:rPr>
                <w:sz w:val="20"/>
                <w:szCs w:val="20"/>
                <w:color w:val="auto"/>
              </w:rPr>
            </w:pPr>
            <w:r>
              <w:rPr>
                <w:rFonts w:ascii="Arial" w:cs="Arial" w:eastAsia="Arial" w:hAnsi="Arial"/>
                <w:sz w:val="19"/>
                <w:szCs w:val="19"/>
                <w:color w:val="auto"/>
              </w:rPr>
              <w:t>Total revenues:</w:t>
            </w: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jc w:val="center"/>
              <w:ind w:right="24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260" w:type="dxa"/>
            <w:vAlign w:val="bottom"/>
            <w:gridSpan w:val="5"/>
            <w:vMerge w:val="continue"/>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Mid-America Group</w:t>
            </w:r>
          </w:p>
        </w:tc>
        <w:tc>
          <w:tcPr>
            <w:tcW w:w="3060" w:type="dxa"/>
            <w:vAlign w:val="bottom"/>
            <w:gridSpan w:val="2"/>
            <w:shd w:val="clear" w:color="auto" w:fill="CFF0FC"/>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140,834</w:t>
            </w:r>
          </w:p>
        </w:tc>
        <w:tc>
          <w:tcPr>
            <w:tcW w:w="22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115,708</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Arial" w:cs="Arial" w:eastAsia="Arial" w:hAnsi="Arial"/>
                <w:sz w:val="19"/>
                <w:szCs w:val="19"/>
                <w:color w:val="auto"/>
              </w:rPr>
              <w:t>Southeast Group</w:t>
            </w: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64,678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59,820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West Group</w:t>
            </w:r>
          </w:p>
        </w:tc>
        <w:tc>
          <w:tcPr>
            <w:tcW w:w="27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320,571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190,787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5"/>
          </w:tcPr>
          <w:p>
            <w:pPr>
              <w:spacing w:after="0"/>
              <w:rPr>
                <w:sz w:val="20"/>
                <w:szCs w:val="20"/>
                <w:color w:val="auto"/>
              </w:rPr>
            </w:pPr>
            <w:r>
              <w:rPr>
                <w:rFonts w:ascii="Arial" w:cs="Arial" w:eastAsia="Arial" w:hAnsi="Arial"/>
                <w:sz w:val="19"/>
                <w:szCs w:val="19"/>
                <w:color w:val="auto"/>
              </w:rPr>
              <w:t>Total Aggregates Business</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526,083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366,315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9"/>
                <w:szCs w:val="19"/>
                <w:color w:val="auto"/>
              </w:rPr>
              <w:t>Cement</w:t>
            </w:r>
          </w:p>
        </w:tc>
        <w:tc>
          <w:tcPr>
            <w:tcW w:w="27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102,100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Magnesia Specialties</w:t>
            </w:r>
          </w:p>
        </w:tc>
        <w:tc>
          <w:tcPr>
            <w:tcW w:w="2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63,164</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62,314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9"/>
                <w:szCs w:val="19"/>
                <w:color w:val="auto"/>
              </w:rPr>
              <w:t>Total</w:t>
            </w:r>
          </w:p>
        </w:tc>
        <w:tc>
          <w:tcPr>
            <w:tcW w:w="2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691,347</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428,629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40" w:type="dxa"/>
            <w:vAlign w:val="bottom"/>
            <w:gridSpan w:val="4"/>
            <w:shd w:val="clear" w:color="auto" w:fill="CFF0FC"/>
          </w:tcPr>
          <w:p>
            <w:pPr>
              <w:spacing w:after="0" w:line="197" w:lineRule="exact"/>
              <w:rPr>
                <w:sz w:val="20"/>
                <w:szCs w:val="20"/>
                <w:color w:val="auto"/>
              </w:rPr>
            </w:pPr>
            <w:r>
              <w:rPr>
                <w:rFonts w:ascii="Arial" w:cs="Arial" w:eastAsia="Arial" w:hAnsi="Arial"/>
                <w:sz w:val="19"/>
                <w:szCs w:val="19"/>
                <w:color w:val="auto"/>
              </w:rPr>
              <w:t>Net sales:</w:t>
            </w:r>
          </w:p>
        </w:tc>
        <w:tc>
          <w:tcPr>
            <w:tcW w:w="2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1360" w:type="dxa"/>
            <w:vAlign w:val="bottom"/>
            <w:shd w:val="clear" w:color="auto" w:fill="CFF0FC"/>
          </w:tcPr>
          <w:p>
            <w:pPr>
              <w:spacing w:after="0"/>
              <w:rPr>
                <w:sz w:val="3"/>
                <w:szCs w:val="3"/>
                <w:color w:val="auto"/>
              </w:rPr>
            </w:pPr>
          </w:p>
        </w:tc>
        <w:tc>
          <w:tcPr>
            <w:tcW w:w="2760" w:type="dxa"/>
            <w:vAlign w:val="bottom"/>
            <w:shd w:val="clear" w:color="auto" w:fill="CFF0FC"/>
          </w:tcPr>
          <w:p>
            <w:pPr>
              <w:spacing w:after="0"/>
              <w:rPr>
                <w:sz w:val="3"/>
                <w:szCs w:val="3"/>
                <w:color w:val="auto"/>
              </w:rPr>
            </w:pPr>
          </w:p>
        </w:tc>
        <w:tc>
          <w:tcPr>
            <w:tcW w:w="272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Arial" w:cs="Arial" w:eastAsia="Arial" w:hAnsi="Arial"/>
                <w:sz w:val="19"/>
                <w:szCs w:val="19"/>
                <w:color w:val="auto"/>
              </w:rPr>
              <w:t>Mid-America Group</w:t>
            </w:r>
          </w:p>
        </w:tc>
        <w:tc>
          <w:tcPr>
            <w:tcW w:w="3060" w:type="dxa"/>
            <w:vAlign w:val="bottom"/>
            <w:gridSpan w:val="2"/>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129,705</w:t>
            </w:r>
          </w:p>
        </w:tc>
        <w:tc>
          <w:tcPr>
            <w:tcW w:w="220" w:type="dxa"/>
            <w:vAlign w:val="bottom"/>
          </w:tcPr>
          <w:p>
            <w:pPr>
              <w:spacing w:after="0"/>
              <w:rPr>
                <w:sz w:val="20"/>
                <w:szCs w:val="20"/>
                <w:color w:val="auto"/>
              </w:rPr>
            </w:pPr>
          </w:p>
        </w:tc>
        <w:tc>
          <w:tcPr>
            <w:tcW w:w="440" w:type="dxa"/>
            <w:vAlign w:val="bottom"/>
            <w:gridSpan w:val="2"/>
          </w:tcPr>
          <w:p>
            <w:pPr>
              <w:jc w:val="right"/>
              <w:ind w:right="265"/>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106,533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2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59,770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55,381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West Group</w:t>
            </w:r>
          </w:p>
        </w:tc>
        <w:tc>
          <w:tcPr>
            <w:tcW w:w="2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287,082</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160,416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Total Aggregates Business</w:t>
            </w:r>
          </w:p>
        </w:tc>
        <w:tc>
          <w:tcPr>
            <w:tcW w:w="27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476,557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322,330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5"/>
          </w:tcPr>
          <w:p>
            <w:pPr>
              <w:spacing w:after="0"/>
              <w:rPr>
                <w:sz w:val="20"/>
                <w:szCs w:val="20"/>
                <w:color w:val="auto"/>
              </w:rPr>
            </w:pPr>
            <w:r>
              <w:rPr>
                <w:rFonts w:ascii="Arial" w:cs="Arial" w:eastAsia="Arial" w:hAnsi="Arial"/>
                <w:sz w:val="19"/>
                <w:szCs w:val="19"/>
                <w:color w:val="auto"/>
              </w:rPr>
              <w:t>Cement</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96,565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Magnesia Specialties</w:t>
            </w:r>
          </w:p>
        </w:tc>
        <w:tc>
          <w:tcPr>
            <w:tcW w:w="27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58,754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57,348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gridSpan w:val="5"/>
          </w:tcPr>
          <w:p>
            <w:pPr>
              <w:spacing w:after="0"/>
              <w:rPr>
                <w:sz w:val="20"/>
                <w:szCs w:val="20"/>
                <w:color w:val="auto"/>
              </w:rPr>
            </w:pPr>
            <w:r>
              <w:rPr>
                <w:rFonts w:ascii="Arial" w:cs="Arial" w:eastAsia="Arial" w:hAnsi="Arial"/>
                <w:sz w:val="19"/>
                <w:szCs w:val="19"/>
                <w:color w:val="auto"/>
              </w:rPr>
              <w:t>Total</w:t>
            </w:r>
          </w:p>
        </w:tc>
        <w:tc>
          <w:tcPr>
            <w:tcW w:w="2720" w:type="dxa"/>
            <w:vAlign w:val="bottom"/>
          </w:tcPr>
          <w:p>
            <w:pPr>
              <w:spacing w:after="0"/>
              <w:rPr>
                <w:sz w:val="23"/>
                <w:szCs w:val="23"/>
                <w:color w:val="auto"/>
              </w:rPr>
            </w:pP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631,876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379,678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2760" w:type="dxa"/>
            <w:vAlign w:val="bottom"/>
            <w:tcBorders>
              <w:top w:val="single" w:sz="8" w:color="CFF0FC"/>
            </w:tcBorders>
            <w:shd w:val="clear" w:color="auto" w:fill="CFF0FC"/>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40" w:type="dxa"/>
            <w:vAlign w:val="bottom"/>
            <w:gridSpan w:val="4"/>
          </w:tcPr>
          <w:p>
            <w:pPr>
              <w:spacing w:after="0" w:line="197" w:lineRule="exact"/>
              <w:rPr>
                <w:sz w:val="20"/>
                <w:szCs w:val="20"/>
                <w:color w:val="auto"/>
              </w:rPr>
            </w:pPr>
            <w:r>
              <w:rPr>
                <w:rFonts w:ascii="Arial" w:cs="Arial" w:eastAsia="Arial" w:hAnsi="Arial"/>
                <w:sz w:val="19"/>
                <w:szCs w:val="19"/>
                <w:color w:val="auto"/>
              </w:rPr>
              <w:t>(Loss) Earnings from operations:</w:t>
            </w:r>
          </w:p>
        </w:tc>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9"/>
                <w:szCs w:val="19"/>
                <w:color w:val="auto"/>
              </w:rPr>
              <w:t>Mid-America Group</w:t>
            </w:r>
          </w:p>
        </w:tc>
        <w:tc>
          <w:tcPr>
            <w:tcW w:w="2760" w:type="dxa"/>
            <w:vAlign w:val="bottom"/>
            <w:shd w:val="clear" w:color="auto" w:fill="CFF0FC"/>
          </w:tcPr>
          <w:p>
            <w:pPr>
              <w:spacing w:after="0"/>
              <w:rPr>
                <w:sz w:val="22"/>
                <w:szCs w:val="22"/>
                <w:color w:val="auto"/>
              </w:rPr>
            </w:pPr>
          </w:p>
        </w:tc>
        <w:tc>
          <w:tcPr>
            <w:tcW w:w="3060" w:type="dxa"/>
            <w:vAlign w:val="bottom"/>
            <w:gridSpan w:val="2"/>
            <w:shd w:val="clear" w:color="auto" w:fill="CFF0FC"/>
          </w:tcPr>
          <w:p>
            <w:pPr>
              <w:jc w:val="right"/>
              <w:ind w:right="144"/>
              <w:spacing w:after="0"/>
              <w:rPr>
                <w:sz w:val="20"/>
                <w:szCs w:val="20"/>
                <w:color w:val="auto"/>
              </w:rPr>
            </w:pPr>
            <w:r>
              <w:rPr>
                <w:rFonts w:ascii="Arial" w:cs="Arial" w:eastAsia="Arial" w:hAnsi="Arial"/>
                <w:sz w:val="19"/>
                <w:szCs w:val="19"/>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(4,203)</w:t>
            </w:r>
          </w:p>
        </w:tc>
        <w:tc>
          <w:tcPr>
            <w:tcW w:w="440" w:type="dxa"/>
            <w:vAlign w:val="bottom"/>
            <w:gridSpan w:val="2"/>
            <w:shd w:val="clear" w:color="auto" w:fill="CFF0FC"/>
          </w:tcPr>
          <w:p>
            <w:pPr>
              <w:jc w:val="right"/>
              <w:ind w:right="265"/>
              <w:spacing w:after="0"/>
              <w:rPr>
                <w:sz w:val="20"/>
                <w:szCs w:val="20"/>
                <w:color w:val="auto"/>
              </w:rPr>
            </w:pPr>
            <w:r>
              <w:rPr>
                <w:rFonts w:ascii="Arial" w:cs="Arial" w:eastAsia="Arial" w:hAnsi="Arial"/>
                <w:sz w:val="19"/>
                <w:szCs w:val="19"/>
                <w:color w:val="auto"/>
                <w:w w:val="75"/>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(11,766)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Arial" w:cs="Arial" w:eastAsia="Arial" w:hAnsi="Arial"/>
                <w:sz w:val="19"/>
                <w:szCs w:val="19"/>
                <w:color w:val="auto"/>
              </w:rPr>
              <w:t>Southeast Group</w:t>
            </w: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9"/>
                <w:szCs w:val="19"/>
                <w:color w:val="auto"/>
              </w:rPr>
              <w:t>(1,548)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(6,111)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West Group</w:t>
            </w:r>
          </w:p>
        </w:tc>
        <w:tc>
          <w:tcPr>
            <w:tcW w:w="27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14,499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2,081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5"/>
          </w:tcPr>
          <w:p>
            <w:pPr>
              <w:spacing w:after="0"/>
              <w:rPr>
                <w:sz w:val="20"/>
                <w:szCs w:val="20"/>
                <w:color w:val="auto"/>
              </w:rPr>
            </w:pPr>
            <w:r>
              <w:rPr>
                <w:rFonts w:ascii="Arial" w:cs="Arial" w:eastAsia="Arial" w:hAnsi="Arial"/>
                <w:sz w:val="19"/>
                <w:szCs w:val="19"/>
                <w:color w:val="auto"/>
              </w:rPr>
              <w:t>Total Aggregates Business</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8,748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(15,796)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9"/>
                <w:szCs w:val="19"/>
                <w:color w:val="auto"/>
              </w:rPr>
              <w:t>Cement</w:t>
            </w:r>
          </w:p>
        </w:tc>
        <w:tc>
          <w:tcPr>
            <w:tcW w:w="27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12,229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Arial" w:cs="Arial" w:eastAsia="Arial" w:hAnsi="Arial"/>
                <w:sz w:val="19"/>
                <w:szCs w:val="19"/>
                <w:color w:val="auto"/>
              </w:rPr>
              <w:t>Magnesia Specialties</w:t>
            </w: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17,789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16,285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Corporate</w:t>
            </w:r>
          </w:p>
        </w:tc>
        <w:tc>
          <w:tcPr>
            <w:tcW w:w="2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(13,195)</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(16,387)</w:t>
            </w:r>
          </w:p>
        </w:tc>
        <w:tc>
          <w:tcPr>
            <w:tcW w:w="0" w:type="dxa"/>
            <w:vAlign w:val="bottom"/>
          </w:tcPr>
          <w:p>
            <w:pPr>
              <w:spacing w:after="0"/>
              <w:rPr>
                <w:sz w:val="1"/>
                <w:szCs w:val="1"/>
                <w:color w:val="auto"/>
              </w:rPr>
            </w:pPr>
          </w:p>
        </w:tc>
      </w:tr>
      <w:tr>
        <w:trPr>
          <w:trHeight w:val="230"/>
        </w:trPr>
        <w:tc>
          <w:tcPr>
            <w:tcW w:w="5260" w:type="dxa"/>
            <w:vAlign w:val="bottom"/>
            <w:gridSpan w:val="5"/>
          </w:tcPr>
          <w:p>
            <w:pPr>
              <w:spacing w:after="0"/>
              <w:rPr>
                <w:sz w:val="20"/>
                <w:szCs w:val="20"/>
                <w:color w:val="auto"/>
              </w:rPr>
            </w:pPr>
            <w:r>
              <w:rPr>
                <w:rFonts w:ascii="Arial" w:cs="Arial" w:eastAsia="Arial" w:hAnsi="Arial"/>
                <w:sz w:val="19"/>
                <w:szCs w:val="19"/>
                <w:color w:val="auto"/>
              </w:rPr>
              <w:t>Total</w:t>
            </w:r>
          </w:p>
        </w:tc>
        <w:tc>
          <w:tcPr>
            <w:tcW w:w="27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25,571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18 of 49</w:t>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 (continued)</w:t>
      </w:r>
    </w:p>
    <w:p>
      <w:pPr>
        <w:spacing w:after="0" w:line="116" w:lineRule="exact"/>
        <w:rPr>
          <w:rFonts w:ascii="Arial" w:cs="Arial" w:eastAsia="Arial" w:hAnsi="Arial"/>
          <w:sz w:val="19"/>
          <w:szCs w:val="19"/>
          <w:b w:val="1"/>
          <w:bCs w:val="1"/>
          <w:color w:val="auto"/>
        </w:rPr>
      </w:pPr>
    </w:p>
    <w:p>
      <w:pPr>
        <w:ind w:left="3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Cement intersegment sales, which are to the ready mixed concrete product line in the West Group, were $18,377,000 for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64"/>
              <w:spacing w:after="0"/>
              <w:rPr>
                <w:sz w:val="20"/>
                <w:szCs w:val="20"/>
                <w:color w:val="auto"/>
              </w:rPr>
            </w:pPr>
            <w:r>
              <w:rPr>
                <w:rFonts w:ascii="Arial" w:cs="Arial" w:eastAsia="Arial" w:hAnsi="Arial"/>
                <w:sz w:val="19"/>
                <w:szCs w:val="19"/>
                <w:color w:val="auto"/>
                <w:w w:val="99"/>
              </w:rPr>
              <w:t>March 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44"/>
              <w:spacing w:after="0"/>
              <w:rPr>
                <w:sz w:val="20"/>
                <w:szCs w:val="20"/>
                <w:color w:val="auto"/>
              </w:rPr>
            </w:pPr>
            <w:r>
              <w:rPr>
                <w:rFonts w:ascii="Arial" w:cs="Arial" w:eastAsia="Arial" w:hAnsi="Arial"/>
                <w:sz w:val="19"/>
                <w:szCs w:val="19"/>
                <w:color w:val="auto"/>
                <w:w w:val="90"/>
              </w:rPr>
              <w:t>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9"/>
                <w:szCs w:val="19"/>
                <w:color w:val="auto"/>
              </w:rPr>
              <w:t>March 31,</w:t>
            </w: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4"/>
              <w:spacing w:after="0"/>
              <w:rPr>
                <w:sz w:val="20"/>
                <w:szCs w:val="20"/>
                <w:color w:val="auto"/>
              </w:rPr>
            </w:pPr>
            <w:r>
              <w:rPr>
                <w:rFonts w:ascii="Arial" w:cs="Arial" w:eastAsia="Arial" w:hAnsi="Arial"/>
                <w:sz w:val="19"/>
                <w:szCs w:val="19"/>
                <w:color w:val="auto"/>
              </w:rPr>
              <w:t>2015</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4"/>
              <w:spacing w:after="0"/>
              <w:rPr>
                <w:sz w:val="20"/>
                <w:szCs w:val="20"/>
                <w:color w:val="auto"/>
              </w:rPr>
            </w:pPr>
            <w:r>
              <w:rPr>
                <w:rFonts w:ascii="Arial" w:cs="Arial" w:eastAsia="Arial" w:hAnsi="Arial"/>
                <w:sz w:val="19"/>
                <w:szCs w:val="19"/>
                <w:color w:val="auto"/>
                <w:w w:val="89"/>
              </w:rPr>
              <w:t>2014</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20" w:type="dxa"/>
            <w:vAlign w:val="bottom"/>
            <w:gridSpan w:val="2"/>
            <w:vMerge w:val="restart"/>
          </w:tcPr>
          <w:p>
            <w:pPr>
              <w:spacing w:after="0"/>
              <w:rPr>
                <w:sz w:val="20"/>
                <w:szCs w:val="20"/>
                <w:color w:val="auto"/>
              </w:rPr>
            </w:pPr>
            <w:r>
              <w:rPr>
                <w:rFonts w:ascii="Arial" w:cs="Arial" w:eastAsia="Arial" w:hAnsi="Arial"/>
                <w:sz w:val="19"/>
                <w:szCs w:val="19"/>
                <w:color w:val="auto"/>
              </w:rPr>
              <w:t>Assets employed:</w:t>
            </w:r>
          </w:p>
        </w:tc>
        <w:tc>
          <w:tcPr>
            <w:tcW w:w="180" w:type="dxa"/>
            <w:vAlign w:val="bottom"/>
          </w:tcPr>
          <w:p>
            <w:pPr>
              <w:spacing w:after="0"/>
              <w:rPr>
                <w:sz w:val="20"/>
                <w:szCs w:val="20"/>
                <w:color w:val="auto"/>
              </w:rPr>
            </w:pPr>
          </w:p>
        </w:tc>
        <w:tc>
          <w:tcPr>
            <w:tcW w:w="3040" w:type="dxa"/>
            <w:vAlign w:val="bottom"/>
            <w:gridSpan w:val="6"/>
          </w:tcPr>
          <w:p>
            <w:pPr>
              <w:jc w:val="center"/>
              <w:ind w:left="864"/>
              <w:spacing w:after="0"/>
              <w:rPr>
                <w:sz w:val="20"/>
                <w:szCs w:val="20"/>
                <w:color w:val="auto"/>
              </w:rPr>
            </w:pPr>
            <w:r>
              <w:rPr>
                <w:rFonts w:ascii="Arial" w:cs="Arial" w:eastAsia="Arial" w:hAnsi="Arial"/>
                <w:sz w:val="19"/>
                <w:szCs w:val="19"/>
                <w:i w:val="1"/>
                <w:iCs w:val="1"/>
                <w:color w:val="auto"/>
                <w:w w:val="94"/>
              </w:rPr>
              <w:t>(Dollars 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920" w:type="dxa"/>
            <w:vAlign w:val="bottom"/>
            <w:gridSpan w:val="2"/>
          </w:tcPr>
          <w:p>
            <w:pPr>
              <w:spacing w:after="0"/>
              <w:rPr>
                <w:sz w:val="20"/>
                <w:szCs w:val="20"/>
                <w:color w:val="auto"/>
              </w:rPr>
            </w:pPr>
            <w:r>
              <w:rPr>
                <w:rFonts w:ascii="Arial" w:cs="Arial" w:eastAsia="Arial" w:hAnsi="Arial"/>
                <w:sz w:val="19"/>
                <w:szCs w:val="19"/>
                <w:color w:val="auto"/>
              </w:rPr>
              <w:t>Mid-America Group</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1,287,933</w:t>
            </w: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1,290,833</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1,257,753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597,461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604,044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607,219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gridSpan w:val="2"/>
          </w:tcPr>
          <w:p>
            <w:pPr>
              <w:spacing w:after="0"/>
              <w:rPr>
                <w:sz w:val="20"/>
                <w:szCs w:val="20"/>
                <w:color w:val="auto"/>
              </w:rPr>
            </w:pPr>
            <w:r>
              <w:rPr>
                <w:rFonts w:ascii="Arial" w:cs="Arial" w:eastAsia="Arial" w:hAnsi="Arial"/>
                <w:sz w:val="19"/>
                <w:szCs w:val="19"/>
                <w:color w:val="auto"/>
              </w:rPr>
              <w:t>West Group</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2,490,726</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2,444,400</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1,024,038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Total Aggregates Business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4,376,120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4,339,277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2,889,010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gridSpan w:val="2"/>
          </w:tcPr>
          <w:p>
            <w:pPr>
              <w:spacing w:after="0"/>
              <w:rPr>
                <w:sz w:val="20"/>
                <w:szCs w:val="20"/>
                <w:color w:val="auto"/>
              </w:rPr>
            </w:pPr>
            <w:r>
              <w:rPr>
                <w:rFonts w:ascii="Arial" w:cs="Arial" w:eastAsia="Arial" w:hAnsi="Arial"/>
                <w:sz w:val="19"/>
                <w:szCs w:val="19"/>
                <w:color w:val="auto"/>
              </w:rPr>
              <w:t>Cement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2,422,119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2,451,799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69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Magnesia Specialties</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147,745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150,359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153,070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gridSpan w:val="2"/>
          </w:tcPr>
          <w:p>
            <w:pPr>
              <w:spacing w:after="0"/>
              <w:rPr>
                <w:sz w:val="20"/>
                <w:szCs w:val="20"/>
                <w:color w:val="auto"/>
              </w:rPr>
            </w:pPr>
            <w:r>
              <w:rPr>
                <w:rFonts w:ascii="Arial" w:cs="Arial" w:eastAsia="Arial" w:hAnsi="Arial"/>
                <w:sz w:val="19"/>
                <w:szCs w:val="19"/>
                <w:color w:val="auto"/>
              </w:rPr>
              <w:t>Corporate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471,662</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522,957</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213,177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7,417,646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7,464,392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3,255,257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80"/>
        <w:spacing w:after="0" w:line="251" w:lineRule="auto"/>
        <w:rPr>
          <w:sz w:val="20"/>
          <w:szCs w:val="20"/>
          <w:color w:val="auto"/>
        </w:rPr>
      </w:pPr>
      <w:r>
        <w:rPr>
          <w:rFonts w:ascii="Arial" w:cs="Arial" w:eastAsia="Arial" w:hAnsi="Arial"/>
          <w:sz w:val="19"/>
          <w:szCs w:val="19"/>
          <w:color w:val="auto"/>
        </w:rPr>
        <w:t>The assets employed at December 31, 2014 reflect a reclassification of approximately $600 million of goodwill from the Cement segment to the West Group segment compared with the amounts presented in the Segments note (Note O) to the consolidated financial statements in the 2014 Form 10-K. This correction had no impact on the consolidated balance sheet as of December 31, 2014, or the consolidated statements of earnings (including earnings per diluted share), comprehensive earnings, total equity and cash flows for the year then ended. Further, goodwill by reportable segment was correctly presented in the Goodwill and Intangible Assets note (Note B) to the 2014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19 of 49</w:t>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 (continued)</w:t>
      </w:r>
    </w:p>
    <w:p>
      <w:pPr>
        <w:spacing w:after="0" w:line="116" w:lineRule="exact"/>
        <w:rPr>
          <w:rFonts w:ascii="Arial" w:cs="Arial" w:eastAsia="Arial" w:hAnsi="Arial"/>
          <w:sz w:val="19"/>
          <w:szCs w:val="19"/>
          <w:b w:val="1"/>
          <w:bCs w:val="1"/>
          <w:color w:val="auto"/>
        </w:rPr>
      </w:pPr>
    </w:p>
    <w:p>
      <w:pPr>
        <w:jc w:val="both"/>
        <w:ind w:left="380"/>
        <w:spacing w:after="0" w:line="251" w:lineRule="auto"/>
        <w:rPr>
          <w:rFonts w:ascii="Arial" w:cs="Arial" w:eastAsia="Arial" w:hAnsi="Arial"/>
          <w:sz w:val="19"/>
          <w:szCs w:val="19"/>
          <w:b w:val="1"/>
          <w:bCs w:val="1"/>
          <w:color w:val="auto"/>
        </w:rPr>
      </w:pPr>
      <w:r>
        <w:rPr>
          <w:rFonts w:ascii="Arial" w:cs="Arial" w:eastAsia="Arial" w:hAnsi="Arial"/>
          <w:sz w:val="19"/>
          <w:szCs w:val="19"/>
          <w:color w:val="auto"/>
        </w:rPr>
        <w:t>The Aggregates business includes the aggregates product line and aggregates-related downstream product lines, which include asphalt, ready mixed concrete and road paving product lines. All aggregates-related downstream product lines reside in the West Group. The following tables, which are reconciled to consolidated amounts, provide net sales and gross profit by line of business: Aggregates (further divided by product line), Cement and Magnesia Specialties.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6"/>
          </w:tcPr>
          <w:p>
            <w:pPr>
              <w:jc w:val="center"/>
              <w:ind w:right="48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684"/>
              <w:spacing w:after="0"/>
              <w:rPr>
                <w:sz w:val="20"/>
                <w:szCs w:val="20"/>
                <w:color w:val="auto"/>
              </w:rPr>
            </w:pPr>
            <w:r>
              <w:rPr>
                <w:rFonts w:ascii="Arial" w:cs="Arial" w:eastAsia="Arial" w:hAnsi="Arial"/>
                <w:sz w:val="19"/>
                <w:szCs w:val="19"/>
                <w:color w:val="auto"/>
                <w:w w:val="94"/>
              </w:rPr>
              <w:t>March 31,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20" w:type="dxa"/>
            <w:vAlign w:val="bottom"/>
            <w:gridSpan w:val="4"/>
            <w:vMerge w:val="restart"/>
          </w:tcPr>
          <w:p>
            <w:pPr>
              <w:spacing w:after="0"/>
              <w:rPr>
                <w:sz w:val="20"/>
                <w:szCs w:val="20"/>
                <w:color w:val="auto"/>
              </w:rPr>
            </w:pPr>
            <w:r>
              <w:rPr>
                <w:rFonts w:ascii="Arial" w:cs="Arial" w:eastAsia="Arial" w:hAnsi="Arial"/>
                <w:sz w:val="19"/>
                <w:szCs w:val="19"/>
                <w:color w:val="auto"/>
              </w:rPr>
              <w:t>Net sales:</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jc w:val="center"/>
              <w:ind w:right="24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020" w:type="dxa"/>
            <w:vAlign w:val="bottom"/>
            <w:gridSpan w:val="4"/>
            <w:vMerge w:val="continue"/>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Aggregates</w:t>
            </w:r>
          </w:p>
        </w:tc>
        <w:tc>
          <w:tcPr>
            <w:tcW w:w="3300" w:type="dxa"/>
            <w:vAlign w:val="bottom"/>
            <w:gridSpan w:val="2"/>
            <w:shd w:val="clear" w:color="auto" w:fill="CFF0FC"/>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332,214</w:t>
            </w:r>
          </w:p>
        </w:tc>
        <w:tc>
          <w:tcPr>
            <w:tcW w:w="1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44"/>
              <w:spacing w:after="0"/>
              <w:rPr>
                <w:sz w:val="20"/>
                <w:szCs w:val="20"/>
                <w:color w:val="auto"/>
              </w:rPr>
            </w:pPr>
            <w:r>
              <w:rPr>
                <w:rFonts w:ascii="Arial" w:cs="Arial" w:eastAsia="Arial" w:hAnsi="Arial"/>
                <w:sz w:val="19"/>
                <w:szCs w:val="19"/>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263,885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9"/>
                <w:szCs w:val="19"/>
                <w:color w:val="auto"/>
              </w:rPr>
              <w:t>Asphalt</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9,645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10,498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Ready Mixed Concrete</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127,572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38,009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bottom w:val="single" w:sz="8" w:color="CFF0FC"/>
            </w:tcBorders>
            <w:gridSpan w:val="3"/>
          </w:tcPr>
          <w:p>
            <w:pPr>
              <w:spacing w:after="0"/>
              <w:rPr>
                <w:sz w:val="20"/>
                <w:szCs w:val="20"/>
                <w:color w:val="auto"/>
              </w:rPr>
            </w:pPr>
            <w:r>
              <w:rPr>
                <w:rFonts w:ascii="Arial" w:cs="Arial" w:eastAsia="Arial" w:hAnsi="Arial"/>
                <w:sz w:val="19"/>
                <w:szCs w:val="19"/>
                <w:color w:val="auto"/>
              </w:rPr>
              <w:t>Road Paving</w:t>
            </w:r>
          </w:p>
        </w:tc>
        <w:tc>
          <w:tcPr>
            <w:tcW w:w="29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7,126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9,938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Aggregates Business</w:t>
            </w:r>
          </w:p>
        </w:tc>
        <w:tc>
          <w:tcPr>
            <w:tcW w:w="29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476,557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322,330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4"/>
          </w:tcPr>
          <w:p>
            <w:pPr>
              <w:spacing w:after="0"/>
              <w:rPr>
                <w:sz w:val="20"/>
                <w:szCs w:val="20"/>
                <w:color w:val="auto"/>
              </w:rPr>
            </w:pPr>
            <w:r>
              <w:rPr>
                <w:rFonts w:ascii="Arial" w:cs="Arial" w:eastAsia="Arial" w:hAnsi="Arial"/>
                <w:sz w:val="19"/>
                <w:szCs w:val="19"/>
                <w:color w:val="auto"/>
              </w:rPr>
              <w:t>Cement</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96,565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Magnesia Specialties</w:t>
            </w:r>
          </w:p>
        </w:tc>
        <w:tc>
          <w:tcPr>
            <w:tcW w:w="29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58,754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57,348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4"/>
          </w:tcPr>
          <w:p>
            <w:pPr>
              <w:spacing w:after="0"/>
              <w:rPr>
                <w:sz w:val="20"/>
                <w:szCs w:val="20"/>
                <w:color w:val="auto"/>
              </w:rPr>
            </w:pPr>
            <w:r>
              <w:rPr>
                <w:rFonts w:ascii="Arial" w:cs="Arial" w:eastAsia="Arial" w:hAnsi="Arial"/>
                <w:sz w:val="19"/>
                <w:szCs w:val="19"/>
                <w:color w:val="auto"/>
              </w:rPr>
              <w:t>Total</w:t>
            </w:r>
          </w:p>
        </w:tc>
        <w:tc>
          <w:tcPr>
            <w:tcW w:w="2960" w:type="dxa"/>
            <w:vAlign w:val="bottom"/>
          </w:tcPr>
          <w:p>
            <w:pPr>
              <w:spacing w:after="0"/>
              <w:rPr>
                <w:sz w:val="23"/>
                <w:szCs w:val="23"/>
                <w:color w:val="auto"/>
              </w:rPr>
            </w:pP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631,876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bottom w:val="single" w:sz="8" w:color="auto"/>
            </w:tcBorders>
          </w:tcPr>
          <w:p>
            <w:pPr>
              <w:jc w:val="right"/>
              <w:ind w:right="244"/>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379,678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CFF0FC"/>
            </w:tcBorders>
            <w:shd w:val="clear" w:color="auto" w:fill="CFF0FC"/>
          </w:tcPr>
          <w:p>
            <w:pPr>
              <w:spacing w:after="0"/>
              <w:rPr>
                <w:sz w:val="18"/>
                <w:szCs w:val="18"/>
                <w:color w:val="auto"/>
              </w:rPr>
            </w:pPr>
          </w:p>
        </w:tc>
        <w:tc>
          <w:tcPr>
            <w:tcW w:w="29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000" w:type="dxa"/>
            <w:vAlign w:val="bottom"/>
            <w:gridSpan w:val="3"/>
          </w:tcPr>
          <w:p>
            <w:pPr>
              <w:spacing w:after="0" w:line="197" w:lineRule="exact"/>
              <w:rPr>
                <w:sz w:val="20"/>
                <w:szCs w:val="20"/>
                <w:color w:val="auto"/>
              </w:rPr>
            </w:pPr>
            <w:r>
              <w:rPr>
                <w:rFonts w:ascii="Arial" w:cs="Arial" w:eastAsia="Arial" w:hAnsi="Arial"/>
                <w:sz w:val="19"/>
                <w:szCs w:val="19"/>
                <w:color w:val="auto"/>
              </w:rPr>
              <w:t>Gross profit (loss):</w:t>
            </w: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9"/>
                <w:szCs w:val="19"/>
                <w:color w:val="auto"/>
              </w:rPr>
              <w:t>Aggregates</w:t>
            </w:r>
          </w:p>
        </w:tc>
        <w:tc>
          <w:tcPr>
            <w:tcW w:w="3620" w:type="dxa"/>
            <w:vAlign w:val="bottom"/>
            <w:shd w:val="clear" w:color="auto" w:fill="CFF0FC"/>
          </w:tcPr>
          <w:p>
            <w:pPr>
              <w:spacing w:after="0"/>
              <w:rPr>
                <w:sz w:val="22"/>
                <w:szCs w:val="22"/>
                <w:color w:val="auto"/>
              </w:rPr>
            </w:pPr>
          </w:p>
        </w:tc>
        <w:tc>
          <w:tcPr>
            <w:tcW w:w="3300" w:type="dxa"/>
            <w:vAlign w:val="bottom"/>
            <w:gridSpan w:val="2"/>
            <w:shd w:val="clear" w:color="auto" w:fill="CFF0FC"/>
          </w:tcPr>
          <w:p>
            <w:pPr>
              <w:jc w:val="right"/>
              <w:ind w:right="144"/>
              <w:spacing w:after="0"/>
              <w:rPr>
                <w:sz w:val="20"/>
                <w:szCs w:val="20"/>
                <w:color w:val="auto"/>
              </w:rPr>
            </w:pPr>
            <w:r>
              <w:rPr>
                <w:rFonts w:ascii="Arial" w:cs="Arial" w:eastAsia="Arial" w:hAnsi="Arial"/>
                <w:sz w:val="19"/>
                <w:szCs w:val="19"/>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41,417</w:t>
            </w:r>
          </w:p>
        </w:tc>
        <w:tc>
          <w:tcPr>
            <w:tcW w:w="1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44"/>
              <w:spacing w:after="0"/>
              <w:rPr>
                <w:sz w:val="20"/>
                <w:szCs w:val="20"/>
                <w:color w:val="auto"/>
              </w:rPr>
            </w:pPr>
            <w:r>
              <w:rPr>
                <w:rFonts w:ascii="Arial" w:cs="Arial" w:eastAsia="Arial" w:hAnsi="Arial"/>
                <w:sz w:val="19"/>
                <w:szCs w:val="19"/>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10,051</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9"/>
                <w:szCs w:val="19"/>
                <w:color w:val="auto"/>
              </w:rPr>
              <w:t>Asphalt</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9"/>
                <w:szCs w:val="19"/>
                <w:color w:val="auto"/>
              </w:rPr>
              <w:t>(1,463)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(1,426)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Ready Mixed Concrete</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2,084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9"/>
                <w:szCs w:val="19"/>
                <w:color w:val="auto"/>
              </w:rPr>
              <w:t>Road Paving</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9"/>
                <w:szCs w:val="19"/>
                <w:color w:val="auto"/>
              </w:rPr>
              <w:t>(3,311)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(3,982)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Aggregates Business</w:t>
            </w:r>
          </w:p>
        </w:tc>
        <w:tc>
          <w:tcPr>
            <w:tcW w:w="29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38,727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7,587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4"/>
          </w:tcPr>
          <w:p>
            <w:pPr>
              <w:spacing w:after="0"/>
              <w:rPr>
                <w:sz w:val="20"/>
                <w:szCs w:val="20"/>
                <w:color w:val="auto"/>
              </w:rPr>
            </w:pPr>
            <w:r>
              <w:rPr>
                <w:rFonts w:ascii="Arial" w:cs="Arial" w:eastAsia="Arial" w:hAnsi="Arial"/>
                <w:sz w:val="19"/>
                <w:szCs w:val="19"/>
                <w:color w:val="auto"/>
              </w:rPr>
              <w:t>Cement</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18,985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Magnesia Specialties</w:t>
            </w:r>
          </w:p>
        </w:tc>
        <w:tc>
          <w:tcPr>
            <w:tcW w:w="2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20,178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18,755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9"/>
                <w:szCs w:val="19"/>
                <w:color w:val="auto"/>
              </w:rPr>
              <w:t>Corporate</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9"/>
                <w:szCs w:val="19"/>
                <w:color w:val="auto"/>
              </w:rPr>
              <w:t>(3,629)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w:t>
            </w:r>
          </w:p>
        </w:tc>
        <w:tc>
          <w:tcPr>
            <w:tcW w:w="29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74,261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44"/>
              <w:spacing w:after="0"/>
              <w:rPr>
                <w:sz w:val="20"/>
                <w:szCs w:val="20"/>
                <w:color w:val="auto"/>
              </w:rPr>
            </w:pPr>
            <w:r>
              <w:rPr>
                <w:rFonts w:ascii="Arial" w:cs="Arial" w:eastAsia="Arial" w:hAnsi="Arial"/>
                <w:sz w:val="19"/>
                <w:szCs w:val="19"/>
                <w:color w:val="auto"/>
                <w:w w:val="75"/>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25,835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20 of 49</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7" w:lineRule="exact"/>
        <w:rPr>
          <w:sz w:val="20"/>
          <w:szCs w:val="20"/>
          <w:color w:val="auto"/>
        </w:rPr>
      </w:pPr>
    </w:p>
    <w:p>
      <w:pPr>
        <w:ind w:left="380" w:hanging="375"/>
        <w:spacing w:after="0"/>
        <w:tabs>
          <w:tab w:leader="none" w:pos="38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Supplemental Cash Flow Information</w:t>
      </w:r>
    </w:p>
    <w:p>
      <w:pPr>
        <w:spacing w:after="0" w:line="116"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The components of the change in other assets and liabilities, net,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6"/>
          </w:tcPr>
          <w:p>
            <w:pPr>
              <w:jc w:val="center"/>
              <w:ind w:right="480"/>
              <w:spacing w:after="0"/>
              <w:rPr>
                <w:sz w:val="20"/>
                <w:szCs w:val="20"/>
                <w:color w:val="auto"/>
              </w:rPr>
            </w:pPr>
            <w:r>
              <w:rPr>
                <w:rFonts w:ascii="Arial" w:cs="Arial" w:eastAsia="Arial" w:hAnsi="Arial"/>
                <w:sz w:val="19"/>
                <w:szCs w:val="19"/>
                <w:color w:val="auto"/>
                <w:w w:val="91"/>
              </w:rPr>
              <w:t>Three Months Ended</w:t>
            </w:r>
          </w:p>
        </w:tc>
      </w:tr>
      <w:tr>
        <w:trPr>
          <w:trHeight w:val="240"/>
        </w:trPr>
        <w:tc>
          <w:tcPr>
            <w:tcW w:w="6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684"/>
              <w:spacing w:after="0"/>
              <w:rPr>
                <w:sz w:val="20"/>
                <w:szCs w:val="20"/>
                <w:color w:val="auto"/>
              </w:rPr>
            </w:pPr>
            <w:r>
              <w:rPr>
                <w:rFonts w:ascii="Arial" w:cs="Arial" w:eastAsia="Arial" w:hAnsi="Arial"/>
                <w:sz w:val="19"/>
                <w:szCs w:val="19"/>
                <w:color w:val="auto"/>
                <w:w w:val="94"/>
              </w:rPr>
              <w:t>March 31,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r>
      <w:tr>
        <w:trPr>
          <w:trHeight w:val="226"/>
        </w:trPr>
        <w:tc>
          <w:tcPr>
            <w:tcW w:w="6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jc w:val="center"/>
              <w:ind w:right="24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19"/>
                <w:szCs w:val="19"/>
                <w:color w:val="auto"/>
              </w:rPr>
            </w:pPr>
          </w:p>
        </w:tc>
      </w:tr>
      <w:tr>
        <w:trPr>
          <w:trHeight w:val="240"/>
        </w:trPr>
        <w:tc>
          <w:tcPr>
            <w:tcW w:w="6400" w:type="dxa"/>
            <w:vAlign w:val="bottom"/>
          </w:tcPr>
          <w:p>
            <w:pPr>
              <w:spacing w:after="0"/>
              <w:rPr>
                <w:sz w:val="20"/>
                <w:szCs w:val="20"/>
                <w:color w:val="auto"/>
              </w:rPr>
            </w:pPr>
            <w:r>
              <w:rPr>
                <w:rFonts w:ascii="Arial" w:cs="Arial" w:eastAsia="Arial" w:hAnsi="Arial"/>
                <w:sz w:val="19"/>
                <w:szCs w:val="19"/>
                <w:color w:val="auto"/>
              </w:rPr>
              <w:t>Other current and noncurrent assets</w:t>
            </w:r>
          </w:p>
        </w:tc>
        <w:tc>
          <w:tcPr>
            <w:tcW w:w="1920" w:type="dxa"/>
            <w:vAlign w:val="bottom"/>
            <w:gridSpan w:val="2"/>
          </w:tcPr>
          <w:p>
            <w:pPr>
              <w:jc w:val="right"/>
              <w:ind w:right="144"/>
              <w:spacing w:after="0"/>
              <w:rPr>
                <w:sz w:val="20"/>
                <w:szCs w:val="20"/>
                <w:color w:val="auto"/>
              </w:rPr>
            </w:pPr>
            <w:r>
              <w:rPr>
                <w:rFonts w:ascii="Arial" w:cs="Arial" w:eastAsia="Arial" w:hAnsi="Arial"/>
                <w:sz w:val="19"/>
                <w:szCs w:val="19"/>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9"/>
                <w:szCs w:val="19"/>
                <w:color w:val="auto"/>
              </w:rPr>
              <w:t>(4,083)</w:t>
            </w:r>
          </w:p>
        </w:tc>
        <w:tc>
          <w:tcPr>
            <w:tcW w:w="440" w:type="dxa"/>
            <w:vAlign w:val="bottom"/>
            <w:gridSpan w:val="2"/>
          </w:tcPr>
          <w:p>
            <w:pPr>
              <w:jc w:val="right"/>
              <w:ind w:right="265"/>
              <w:spacing w:after="0"/>
              <w:rPr>
                <w:sz w:val="20"/>
                <w:szCs w:val="20"/>
                <w:color w:val="auto"/>
              </w:rPr>
            </w:pPr>
            <w:r>
              <w:rPr>
                <w:rFonts w:ascii="Arial" w:cs="Arial" w:eastAsia="Arial" w:hAnsi="Arial"/>
                <w:sz w:val="19"/>
                <w:szCs w:val="19"/>
                <w:color w:val="auto"/>
                <w:w w:val="75"/>
              </w:rPr>
              <w:t>$</w:t>
            </w: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(783)</w:t>
            </w: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9"/>
                <w:szCs w:val="19"/>
                <w:color w:val="auto"/>
              </w:rPr>
              <w:t>Accrued salaries, benefits and payroll taxes</w:t>
            </w:r>
          </w:p>
        </w:tc>
        <w:tc>
          <w:tcPr>
            <w:tcW w:w="1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(13,703)</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(3,984)</w:t>
            </w:r>
          </w:p>
        </w:tc>
      </w:tr>
      <w:tr>
        <w:trPr>
          <w:trHeight w:val="237"/>
        </w:trPr>
        <w:tc>
          <w:tcPr>
            <w:tcW w:w="6400" w:type="dxa"/>
            <w:vAlign w:val="bottom"/>
          </w:tcPr>
          <w:p>
            <w:pPr>
              <w:spacing w:after="0"/>
              <w:rPr>
                <w:sz w:val="20"/>
                <w:szCs w:val="20"/>
                <w:color w:val="auto"/>
              </w:rPr>
            </w:pPr>
            <w:r>
              <w:rPr>
                <w:rFonts w:ascii="Arial" w:cs="Arial" w:eastAsia="Arial" w:hAnsi="Arial"/>
                <w:sz w:val="19"/>
                <w:szCs w:val="19"/>
                <w:color w:val="auto"/>
              </w:rPr>
              <w:t>Accrued insurance and other taxes</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386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(1,838)</w:t>
            </w: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9"/>
                <w:szCs w:val="19"/>
                <w:color w:val="auto"/>
              </w:rPr>
              <w:t>Accrued income taxes</w:t>
            </w:r>
          </w:p>
        </w:tc>
        <w:tc>
          <w:tcPr>
            <w:tcW w:w="1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(46,700)</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(4,595)</w:t>
            </w:r>
          </w:p>
        </w:tc>
      </w:tr>
      <w:tr>
        <w:trPr>
          <w:trHeight w:val="237"/>
        </w:trPr>
        <w:tc>
          <w:tcPr>
            <w:tcW w:w="6400" w:type="dxa"/>
            <w:vAlign w:val="bottom"/>
          </w:tcPr>
          <w:p>
            <w:pPr>
              <w:spacing w:after="0"/>
              <w:rPr>
                <w:sz w:val="20"/>
                <w:szCs w:val="20"/>
                <w:color w:val="auto"/>
              </w:rPr>
            </w:pPr>
            <w:r>
              <w:rPr>
                <w:rFonts w:ascii="Arial" w:cs="Arial" w:eastAsia="Arial" w:hAnsi="Arial"/>
                <w:sz w:val="19"/>
                <w:szCs w:val="19"/>
                <w:color w:val="auto"/>
              </w:rPr>
              <w:t>Accrued pension, postretirement and postemployment benefits</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5,830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2,763</w:t>
            </w:r>
          </w:p>
        </w:tc>
        <w:tc>
          <w:tcPr>
            <w:tcW w:w="120" w:type="dxa"/>
            <w:vAlign w:val="bottom"/>
          </w:tcPr>
          <w:p>
            <w:pPr>
              <w:spacing w:after="0"/>
              <w:rPr>
                <w:sz w:val="20"/>
                <w:szCs w:val="20"/>
                <w:color w:val="auto"/>
              </w:rPr>
            </w:pP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9"/>
                <w:szCs w:val="19"/>
                <w:color w:val="auto"/>
              </w:rPr>
              <w:t>Other current and noncurrent liabilities</w:t>
            </w:r>
          </w:p>
        </w:tc>
        <w:tc>
          <w:tcPr>
            <w:tcW w:w="1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(10,827)</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9,311</w:t>
            </w:r>
          </w:p>
        </w:tc>
        <w:tc>
          <w:tcPr>
            <w:tcW w:w="120" w:type="dxa"/>
            <w:vAlign w:val="bottom"/>
            <w:shd w:val="clear" w:color="auto" w:fill="CFF0FC"/>
          </w:tcPr>
          <w:p>
            <w:pPr>
              <w:spacing w:after="0"/>
              <w:rPr>
                <w:sz w:val="20"/>
                <w:szCs w:val="20"/>
                <w:color w:val="auto"/>
              </w:rPr>
            </w:pPr>
          </w:p>
        </w:tc>
      </w:tr>
      <w:tr>
        <w:trPr>
          <w:trHeight w:val="230"/>
        </w:trPr>
        <w:tc>
          <w:tcPr>
            <w:tcW w:w="6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(69,097)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874</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decrease in the accrued salaries, benefits and payroll taxes is primarily attributable to a decrease in TXI acquisition-related accrued severance expense. The change in accrued income taxes is primarily due to an increase in income tax benefit of $23,300,000. Other current and noncurrent liabilities decreased due to a reduction of accrued interest expense attributable to payments made in 2015 by $4,403,000 and a decrease in book overdraft by $5,724,000.</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00" w:type="dxa"/>
            <w:vAlign w:val="bottom"/>
          </w:tcPr>
          <w:p>
            <w:pPr>
              <w:ind w:left="380"/>
              <w:spacing w:after="0"/>
              <w:rPr>
                <w:sz w:val="20"/>
                <w:szCs w:val="20"/>
                <w:color w:val="auto"/>
              </w:rPr>
            </w:pPr>
            <w:r>
              <w:rPr>
                <w:rFonts w:ascii="Arial" w:cs="Arial" w:eastAsia="Arial" w:hAnsi="Arial"/>
                <w:sz w:val="19"/>
                <w:szCs w:val="19"/>
                <w:color w:val="auto"/>
              </w:rPr>
              <w:t>Noncash investing and financing activities are as follows:</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4"/>
          </w:tcPr>
          <w:p>
            <w:pPr>
              <w:jc w:val="center"/>
              <w:ind w:right="48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684"/>
              <w:spacing w:after="0"/>
              <w:rPr>
                <w:sz w:val="20"/>
                <w:szCs w:val="20"/>
                <w:color w:val="auto"/>
              </w:rPr>
            </w:pPr>
            <w:r>
              <w:rPr>
                <w:rFonts w:ascii="Arial" w:cs="Arial" w:eastAsia="Arial" w:hAnsi="Arial"/>
                <w:sz w:val="19"/>
                <w:szCs w:val="19"/>
                <w:color w:val="auto"/>
                <w:w w:val="94"/>
              </w:rPr>
              <w:t>March 31,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9"/>
                <w:szCs w:val="19"/>
                <w:color w:val="auto"/>
              </w:rPr>
              <w:t>2015</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00" w:type="dxa"/>
            <w:vAlign w:val="bottom"/>
            <w:vMerge w:val="restart"/>
          </w:tcPr>
          <w:p>
            <w:pPr>
              <w:spacing w:after="0"/>
              <w:rPr>
                <w:sz w:val="20"/>
                <w:szCs w:val="20"/>
                <w:color w:val="auto"/>
              </w:rPr>
            </w:pPr>
            <w:r>
              <w:rPr>
                <w:rFonts w:ascii="Arial" w:cs="Arial" w:eastAsia="Arial" w:hAnsi="Arial"/>
                <w:sz w:val="19"/>
                <w:szCs w:val="19"/>
                <w:color w:val="auto"/>
              </w:rPr>
              <w:t>Noncash investing and financing activities:</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3"/>
          </w:tcPr>
          <w:p>
            <w:pPr>
              <w:jc w:val="center"/>
              <w:ind w:right="24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Acquisition of assets through capital lease</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9"/>
                <w:szCs w:val="19"/>
                <w:color w:val="auto"/>
              </w:rPr>
              <w:t>1,222</w:t>
            </w:r>
          </w:p>
        </w:tc>
        <w:tc>
          <w:tcPr>
            <w:tcW w:w="560" w:type="dxa"/>
            <w:vAlign w:val="bottom"/>
            <w:shd w:val="clear" w:color="auto" w:fill="CFF0FC"/>
          </w:tcPr>
          <w:p>
            <w:pPr>
              <w:jc w:val="right"/>
              <w:ind w:right="244"/>
              <w:spacing w:after="0"/>
              <w:rPr>
                <w:sz w:val="20"/>
                <w:szCs w:val="20"/>
                <w:color w:val="auto"/>
              </w:rPr>
            </w:pPr>
            <w:r>
              <w:rPr>
                <w:rFonts w:ascii="Arial" w:cs="Arial" w:eastAsia="Arial" w:hAnsi="Arial"/>
                <w:sz w:val="19"/>
                <w:szCs w:val="19"/>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400" w:type="dxa"/>
            <w:vAlign w:val="bottom"/>
          </w:tcPr>
          <w:p>
            <w:pPr>
              <w:ind w:left="240"/>
              <w:spacing w:after="0"/>
              <w:rPr>
                <w:sz w:val="20"/>
                <w:szCs w:val="20"/>
                <w:color w:val="auto"/>
              </w:rPr>
            </w:pPr>
            <w:r>
              <w:rPr>
                <w:rFonts w:ascii="Arial" w:cs="Arial" w:eastAsia="Arial" w:hAnsi="Arial"/>
                <w:sz w:val="19"/>
                <w:szCs w:val="19"/>
                <w:color w:val="auto"/>
              </w:rPr>
              <w:t>Acquisition of assets through asset exchange</w:t>
            </w:r>
          </w:p>
        </w:tc>
        <w:tc>
          <w:tcPr>
            <w:tcW w:w="192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4"/>
              <w:spacing w:after="0"/>
              <w:rPr>
                <w:sz w:val="20"/>
                <w:szCs w:val="20"/>
                <w:color w:val="auto"/>
              </w:rPr>
            </w:pPr>
            <w:r>
              <w:rPr>
                <w:rFonts w:ascii="Arial" w:cs="Arial" w:eastAsia="Arial" w:hAnsi="Arial"/>
                <w:sz w:val="19"/>
                <w:szCs w:val="19"/>
                <w:color w:val="auto"/>
              </w:rPr>
              <w:t>5,153</w:t>
            </w:r>
          </w:p>
        </w:tc>
        <w:tc>
          <w:tcPr>
            <w:tcW w:w="560" w:type="dxa"/>
            <w:vAlign w:val="bottom"/>
          </w:tcPr>
          <w:p>
            <w:pPr>
              <w:jc w:val="right"/>
              <w:ind w:right="244"/>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21 of 49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Item 2. Management’s Discussion and Analysis of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OVERVIEW</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business, including asphalt, ready mixed concrete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asphalt products and ready mixed concrete from a network of more than 400 quarries, underground mines, distribution facilities and plants to customers in 32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currently conducts its Aggregates business through three reportable business segments: Mid-America Group, Southeast Group and West Group.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AGGREGATES BUSINESS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9"/>
                <w:szCs w:val="19"/>
                <w:color w:val="auto"/>
                <w:w w:val="89"/>
              </w:rPr>
              <w:t>Reportable Segments</w:t>
            </w:r>
          </w:p>
        </w:tc>
        <w:tc>
          <w:tcPr>
            <w:tcW w:w="45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9"/>
                <w:szCs w:val="19"/>
                <w:color w:val="auto"/>
                <w:w w:val="95"/>
              </w:rPr>
              <w:t>Mid-America Group</w:t>
            </w:r>
          </w:p>
        </w:tc>
        <w:tc>
          <w:tcPr>
            <w:tcW w:w="21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9"/>
                <w:szCs w:val="19"/>
                <w:color w:val="auto"/>
                <w:w w:val="89"/>
              </w:rPr>
              <w:t>Southeast Group</w:t>
            </w: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West Group</w:t>
            </w:r>
          </w:p>
        </w:tc>
      </w:tr>
      <w:tr>
        <w:trPr>
          <w:trHeight w:val="200"/>
        </w:trPr>
        <w:tc>
          <w:tcPr>
            <w:tcW w:w="16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Operating Locations</w:t>
            </w:r>
          </w:p>
        </w:tc>
        <w:tc>
          <w:tcPr>
            <w:tcW w:w="120" w:type="dxa"/>
            <w:vAlign w:val="bottom"/>
          </w:tcPr>
          <w:p>
            <w:pPr>
              <w:spacing w:after="0"/>
              <w:rPr>
                <w:sz w:val="17"/>
                <w:szCs w:val="17"/>
                <w:color w:val="auto"/>
              </w:rPr>
            </w:pPr>
          </w:p>
        </w:tc>
        <w:tc>
          <w:tcPr>
            <w:tcW w:w="44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Indiana, Iowa, northern Kansas, Kentucky, Maryland,</w:t>
            </w:r>
          </w:p>
        </w:tc>
        <w:tc>
          <w:tcPr>
            <w:tcW w:w="120" w:type="dxa"/>
            <w:vAlign w:val="bottom"/>
          </w:tcPr>
          <w:p>
            <w:pPr>
              <w:spacing w:after="0"/>
              <w:rPr>
                <w:sz w:val="17"/>
                <w:szCs w:val="17"/>
                <w:color w:val="auto"/>
              </w:rPr>
            </w:pPr>
          </w:p>
        </w:tc>
        <w:tc>
          <w:tcPr>
            <w:tcW w:w="20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4"/>
              </w:rPr>
              <w:t>Alabama, Florida,</w:t>
            </w:r>
          </w:p>
        </w:tc>
        <w:tc>
          <w:tcPr>
            <w:tcW w:w="10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9"/>
                <w:szCs w:val="19"/>
                <w:color w:val="auto"/>
                <w:w w:val="90"/>
              </w:rPr>
              <w:t>Arkansas, Colorado, southern</w:t>
            </w:r>
          </w:p>
        </w:tc>
      </w:tr>
      <w:tr>
        <w:trPr>
          <w:trHeight w:val="224"/>
        </w:trPr>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2"/>
          </w:tcPr>
          <w:p>
            <w:pPr>
              <w:jc w:val="center"/>
              <w:ind w:right="100"/>
              <w:spacing w:after="0"/>
              <w:rPr>
                <w:sz w:val="20"/>
                <w:szCs w:val="20"/>
                <w:color w:val="auto"/>
              </w:rPr>
            </w:pPr>
            <w:r>
              <w:rPr>
                <w:rFonts w:ascii="Arial" w:cs="Arial" w:eastAsia="Arial" w:hAnsi="Arial"/>
                <w:sz w:val="19"/>
                <w:szCs w:val="19"/>
                <w:color w:val="auto"/>
                <w:w w:val="92"/>
              </w:rPr>
              <w:t>Minnesota, Missouri, eastern Nebraska, North Carolina,</w:t>
            </w: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93"/>
              </w:rPr>
              <w:t>Georgia, Mississippi,</w:t>
            </w:r>
          </w:p>
        </w:tc>
        <w:tc>
          <w:tcPr>
            <w:tcW w:w="2900" w:type="dxa"/>
            <w:vAlign w:val="bottom"/>
          </w:tcPr>
          <w:p>
            <w:pPr>
              <w:jc w:val="center"/>
              <w:spacing w:after="0"/>
              <w:rPr>
                <w:sz w:val="20"/>
                <w:szCs w:val="20"/>
                <w:color w:val="auto"/>
              </w:rPr>
            </w:pPr>
            <w:r>
              <w:rPr>
                <w:rFonts w:ascii="Arial" w:cs="Arial" w:eastAsia="Arial" w:hAnsi="Arial"/>
                <w:sz w:val="19"/>
                <w:szCs w:val="19"/>
                <w:color w:val="auto"/>
                <w:w w:val="91"/>
              </w:rPr>
              <w:t>Kansas, Louisiana, western</w:t>
            </w:r>
          </w:p>
        </w:tc>
      </w:tr>
      <w:tr>
        <w:trPr>
          <w:trHeight w:val="224"/>
        </w:trPr>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2"/>
          </w:tcPr>
          <w:p>
            <w:pPr>
              <w:jc w:val="center"/>
              <w:ind w:right="120"/>
              <w:spacing w:after="0"/>
              <w:rPr>
                <w:sz w:val="20"/>
                <w:szCs w:val="20"/>
                <w:color w:val="auto"/>
              </w:rPr>
            </w:pPr>
            <w:r>
              <w:rPr>
                <w:rFonts w:ascii="Arial" w:cs="Arial" w:eastAsia="Arial" w:hAnsi="Arial"/>
                <w:sz w:val="19"/>
                <w:szCs w:val="19"/>
                <w:color w:val="auto"/>
                <w:w w:val="92"/>
              </w:rPr>
              <w:t>Ohio, South Carolina, Virginia, Washington and West</w:t>
            </w: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88"/>
              </w:rPr>
              <w:t>Tennessee, Nova Scotia</w:t>
            </w:r>
          </w:p>
        </w:tc>
        <w:tc>
          <w:tcPr>
            <w:tcW w:w="2900" w:type="dxa"/>
            <w:vAlign w:val="bottom"/>
          </w:tcPr>
          <w:p>
            <w:pPr>
              <w:jc w:val="center"/>
              <w:spacing w:after="0"/>
              <w:rPr>
                <w:sz w:val="20"/>
                <w:szCs w:val="20"/>
                <w:color w:val="auto"/>
              </w:rPr>
            </w:pPr>
            <w:r>
              <w:rPr>
                <w:rFonts w:ascii="Arial" w:cs="Arial" w:eastAsia="Arial" w:hAnsi="Arial"/>
                <w:sz w:val="19"/>
                <w:szCs w:val="19"/>
                <w:color w:val="auto"/>
                <w:w w:val="90"/>
              </w:rPr>
              <w:t>Nebraska, Nevada, Oklahoma,</w:t>
            </w:r>
          </w:p>
        </w:tc>
      </w:tr>
      <w:tr>
        <w:trPr>
          <w:trHeight w:val="246"/>
        </w:trPr>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80" w:type="dxa"/>
            <w:vAlign w:val="bottom"/>
            <w:gridSpan w:val="2"/>
          </w:tcPr>
          <w:p>
            <w:pPr>
              <w:jc w:val="center"/>
              <w:ind w:right="120"/>
              <w:spacing w:after="0"/>
              <w:rPr>
                <w:sz w:val="20"/>
                <w:szCs w:val="20"/>
                <w:color w:val="auto"/>
              </w:rPr>
            </w:pPr>
            <w:r>
              <w:rPr>
                <w:rFonts w:ascii="Arial" w:cs="Arial" w:eastAsia="Arial" w:hAnsi="Arial"/>
                <w:sz w:val="19"/>
                <w:szCs w:val="19"/>
                <w:color w:val="auto"/>
                <w:w w:val="97"/>
              </w:rPr>
              <w:t>Virginia</w:t>
            </w: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88"/>
              </w:rPr>
              <w:t>and the Bahamas</w:t>
            </w:r>
          </w:p>
        </w:tc>
        <w:tc>
          <w:tcPr>
            <w:tcW w:w="2900" w:type="dxa"/>
            <w:vAlign w:val="bottom"/>
          </w:tcPr>
          <w:p>
            <w:pPr>
              <w:jc w:val="center"/>
              <w:spacing w:after="0"/>
              <w:rPr>
                <w:sz w:val="20"/>
                <w:szCs w:val="20"/>
                <w:color w:val="auto"/>
              </w:rPr>
            </w:pPr>
            <w:r>
              <w:rPr>
                <w:rFonts w:ascii="Arial" w:cs="Arial" w:eastAsia="Arial" w:hAnsi="Arial"/>
                <w:sz w:val="19"/>
                <w:szCs w:val="19"/>
                <w:color w:val="auto"/>
                <w:w w:val="92"/>
              </w:rPr>
              <w:t>Texas, Utah and Wyoming</w:t>
            </w:r>
          </w:p>
        </w:tc>
      </w:tr>
      <w:tr>
        <w:trPr>
          <w:trHeight w:val="425"/>
        </w:trPr>
        <w:tc>
          <w:tcPr>
            <w:tcW w:w="1760" w:type="dxa"/>
            <w:vAlign w:val="bottom"/>
            <w:gridSpan w:val="2"/>
          </w:tcPr>
          <w:p>
            <w:pPr>
              <w:jc w:val="center"/>
              <w:ind w:right="100"/>
              <w:spacing w:after="0"/>
              <w:rPr>
                <w:sz w:val="20"/>
                <w:szCs w:val="20"/>
                <w:color w:val="auto"/>
              </w:rPr>
            </w:pPr>
            <w:r>
              <w:rPr>
                <w:rFonts w:ascii="Arial" w:cs="Arial" w:eastAsia="Arial" w:hAnsi="Arial"/>
                <w:sz w:val="19"/>
                <w:szCs w:val="19"/>
                <w:color w:val="auto"/>
                <w:w w:val="92"/>
              </w:rPr>
              <w:t>Primary Product</w:t>
            </w:r>
          </w:p>
        </w:tc>
        <w:tc>
          <w:tcPr>
            <w:tcW w:w="4580" w:type="dxa"/>
            <w:vAlign w:val="bottom"/>
            <w:gridSpan w:val="2"/>
          </w:tcPr>
          <w:p>
            <w:pPr>
              <w:jc w:val="center"/>
              <w:ind w:right="120"/>
              <w:spacing w:after="0"/>
              <w:rPr>
                <w:sz w:val="20"/>
                <w:szCs w:val="20"/>
                <w:color w:val="auto"/>
              </w:rPr>
            </w:pPr>
            <w:r>
              <w:rPr>
                <w:rFonts w:ascii="Arial" w:cs="Arial" w:eastAsia="Arial" w:hAnsi="Arial"/>
                <w:sz w:val="19"/>
                <w:szCs w:val="19"/>
                <w:color w:val="auto"/>
                <w:w w:val="89"/>
              </w:rPr>
              <w:t>Aggregates (crushed stone, sand and gravel)</w:t>
            </w: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90"/>
              </w:rPr>
              <w:t>Aggregates (crushed</w:t>
            </w:r>
          </w:p>
        </w:tc>
        <w:tc>
          <w:tcPr>
            <w:tcW w:w="2900" w:type="dxa"/>
            <w:vAlign w:val="bottom"/>
          </w:tcPr>
          <w:p>
            <w:pPr>
              <w:jc w:val="center"/>
              <w:spacing w:after="0"/>
              <w:rPr>
                <w:sz w:val="20"/>
                <w:szCs w:val="20"/>
                <w:color w:val="auto"/>
              </w:rPr>
            </w:pPr>
            <w:r>
              <w:rPr>
                <w:rFonts w:ascii="Arial" w:cs="Arial" w:eastAsia="Arial" w:hAnsi="Arial"/>
                <w:sz w:val="19"/>
                <w:szCs w:val="19"/>
                <w:color w:val="auto"/>
                <w:w w:val="88"/>
              </w:rPr>
              <w:t>Aggregates (crushed stone, sand and</w:t>
            </w:r>
          </w:p>
        </w:tc>
      </w:tr>
      <w:tr>
        <w:trPr>
          <w:trHeight w:val="224"/>
        </w:trPr>
        <w:tc>
          <w:tcPr>
            <w:tcW w:w="1760" w:type="dxa"/>
            <w:vAlign w:val="bottom"/>
            <w:gridSpan w:val="2"/>
          </w:tcPr>
          <w:p>
            <w:pPr>
              <w:jc w:val="center"/>
              <w:ind w:left="4"/>
              <w:spacing w:after="0"/>
              <w:rPr>
                <w:sz w:val="20"/>
                <w:szCs w:val="20"/>
                <w:color w:val="auto"/>
              </w:rPr>
            </w:pPr>
            <w:r>
              <w:rPr>
                <w:rFonts w:ascii="Arial" w:cs="Arial" w:eastAsia="Arial" w:hAnsi="Arial"/>
                <w:sz w:val="19"/>
                <w:szCs w:val="19"/>
                <w:color w:val="auto"/>
                <w:w w:val="92"/>
              </w:rPr>
              <w:t>Lines</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9"/>
                <w:szCs w:val="19"/>
                <w:color w:val="auto"/>
                <w:w w:val="89"/>
              </w:rPr>
              <w:t>stone, sand and gravel)</w:t>
            </w:r>
          </w:p>
        </w:tc>
        <w:tc>
          <w:tcPr>
            <w:tcW w:w="2900" w:type="dxa"/>
            <w:vAlign w:val="bottom"/>
          </w:tcPr>
          <w:p>
            <w:pPr>
              <w:jc w:val="center"/>
              <w:spacing w:after="0"/>
              <w:rPr>
                <w:sz w:val="20"/>
                <w:szCs w:val="20"/>
                <w:color w:val="auto"/>
              </w:rPr>
            </w:pPr>
            <w:r>
              <w:rPr>
                <w:rFonts w:ascii="Arial" w:cs="Arial" w:eastAsia="Arial" w:hAnsi="Arial"/>
                <w:sz w:val="19"/>
                <w:szCs w:val="19"/>
                <w:color w:val="auto"/>
                <w:w w:val="91"/>
              </w:rPr>
              <w:t>gravel), asphalt, ready mixed</w:t>
            </w:r>
          </w:p>
        </w:tc>
      </w:tr>
      <w:tr>
        <w:trPr>
          <w:trHeight w:val="246"/>
        </w:trPr>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Arial" w:cs="Arial" w:eastAsia="Arial" w:hAnsi="Arial"/>
                <w:sz w:val="19"/>
                <w:szCs w:val="19"/>
                <w:color w:val="auto"/>
                <w:w w:val="90"/>
              </w:rPr>
              <w:t>concrete and road paving</w:t>
            </w:r>
          </w:p>
        </w:tc>
      </w:tr>
      <w:tr>
        <w:trPr>
          <w:trHeight w:val="425"/>
        </w:trPr>
        <w:tc>
          <w:tcPr>
            <w:tcW w:w="1760" w:type="dxa"/>
            <w:vAlign w:val="bottom"/>
            <w:gridSpan w:val="2"/>
          </w:tcPr>
          <w:p>
            <w:pPr>
              <w:jc w:val="center"/>
              <w:ind w:right="100"/>
              <w:spacing w:after="0"/>
              <w:rPr>
                <w:sz w:val="20"/>
                <w:szCs w:val="20"/>
                <w:color w:val="auto"/>
              </w:rPr>
            </w:pPr>
            <w:r>
              <w:rPr>
                <w:rFonts w:ascii="Arial" w:cs="Arial" w:eastAsia="Arial" w:hAnsi="Arial"/>
                <w:sz w:val="19"/>
                <w:szCs w:val="19"/>
                <w:color w:val="auto"/>
                <w:w w:val="93"/>
              </w:rPr>
              <w:t>Primary Types of</w:t>
            </w:r>
          </w:p>
        </w:tc>
        <w:tc>
          <w:tcPr>
            <w:tcW w:w="4580" w:type="dxa"/>
            <w:vAlign w:val="bottom"/>
            <w:gridSpan w:val="2"/>
          </w:tcPr>
          <w:p>
            <w:pPr>
              <w:jc w:val="center"/>
              <w:ind w:right="120"/>
              <w:spacing w:after="0"/>
              <w:rPr>
                <w:sz w:val="20"/>
                <w:szCs w:val="20"/>
                <w:color w:val="auto"/>
              </w:rPr>
            </w:pPr>
            <w:r>
              <w:rPr>
                <w:rFonts w:ascii="Arial" w:cs="Arial" w:eastAsia="Arial" w:hAnsi="Arial"/>
                <w:sz w:val="19"/>
                <w:szCs w:val="19"/>
                <w:color w:val="auto"/>
                <w:w w:val="94"/>
              </w:rPr>
              <w:t>Quarries and Distribution Facilities</w:t>
            </w: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93"/>
              </w:rPr>
              <w:t>Quarries and Distribution</w:t>
            </w:r>
          </w:p>
        </w:tc>
        <w:tc>
          <w:tcPr>
            <w:tcW w:w="2900" w:type="dxa"/>
            <w:vAlign w:val="bottom"/>
          </w:tcPr>
          <w:p>
            <w:pPr>
              <w:jc w:val="center"/>
              <w:spacing w:after="0"/>
              <w:rPr>
                <w:sz w:val="20"/>
                <w:szCs w:val="20"/>
                <w:color w:val="auto"/>
              </w:rPr>
            </w:pPr>
            <w:r>
              <w:rPr>
                <w:rFonts w:ascii="Arial" w:cs="Arial" w:eastAsia="Arial" w:hAnsi="Arial"/>
                <w:sz w:val="19"/>
                <w:szCs w:val="19"/>
                <w:color w:val="auto"/>
                <w:w w:val="90"/>
              </w:rPr>
              <w:t>Quarries, Plants and</w:t>
            </w:r>
          </w:p>
        </w:tc>
      </w:tr>
      <w:tr>
        <w:trPr>
          <w:trHeight w:val="224"/>
        </w:trPr>
        <w:tc>
          <w:tcPr>
            <w:tcW w:w="1760" w:type="dxa"/>
            <w:vAlign w:val="bottom"/>
            <w:gridSpan w:val="2"/>
          </w:tcPr>
          <w:p>
            <w:pPr>
              <w:jc w:val="center"/>
              <w:ind w:left="24"/>
              <w:spacing w:after="0"/>
              <w:rPr>
                <w:sz w:val="20"/>
                <w:szCs w:val="20"/>
                <w:color w:val="auto"/>
              </w:rPr>
            </w:pPr>
            <w:r>
              <w:rPr>
                <w:rFonts w:ascii="Arial" w:cs="Arial" w:eastAsia="Arial" w:hAnsi="Arial"/>
                <w:sz w:val="19"/>
                <w:szCs w:val="19"/>
                <w:color w:val="auto"/>
                <w:w w:val="90"/>
              </w:rPr>
              <w:t>Aggregates</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9"/>
                <w:szCs w:val="19"/>
                <w:color w:val="auto"/>
                <w:w w:val="97"/>
              </w:rPr>
              <w:t>Facilities</w:t>
            </w:r>
          </w:p>
        </w:tc>
        <w:tc>
          <w:tcPr>
            <w:tcW w:w="2900" w:type="dxa"/>
            <w:vAlign w:val="bottom"/>
          </w:tcPr>
          <w:p>
            <w:pPr>
              <w:jc w:val="center"/>
              <w:spacing w:after="0"/>
              <w:rPr>
                <w:sz w:val="20"/>
                <w:szCs w:val="20"/>
                <w:color w:val="auto"/>
              </w:rPr>
            </w:pPr>
            <w:r>
              <w:rPr>
                <w:rFonts w:ascii="Arial" w:cs="Arial" w:eastAsia="Arial" w:hAnsi="Arial"/>
                <w:sz w:val="19"/>
                <w:szCs w:val="19"/>
                <w:color w:val="auto"/>
                <w:w w:val="96"/>
              </w:rPr>
              <w:t>Distribution Facilities</w:t>
            </w:r>
          </w:p>
        </w:tc>
      </w:tr>
      <w:tr>
        <w:trPr>
          <w:trHeight w:val="246"/>
        </w:trPr>
        <w:tc>
          <w:tcPr>
            <w:tcW w:w="1760" w:type="dxa"/>
            <w:vAlign w:val="bottom"/>
            <w:gridSpan w:val="2"/>
          </w:tcPr>
          <w:p>
            <w:pPr>
              <w:jc w:val="center"/>
              <w:ind w:left="24"/>
              <w:spacing w:after="0"/>
              <w:rPr>
                <w:sz w:val="20"/>
                <w:szCs w:val="20"/>
                <w:color w:val="auto"/>
              </w:rPr>
            </w:pPr>
            <w:r>
              <w:rPr>
                <w:rFonts w:ascii="Arial" w:cs="Arial" w:eastAsia="Arial" w:hAnsi="Arial"/>
                <w:sz w:val="19"/>
                <w:szCs w:val="19"/>
                <w:color w:val="auto"/>
                <w:w w:val="93"/>
              </w:rPr>
              <w:t>Locations</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425"/>
        </w:trPr>
        <w:tc>
          <w:tcPr>
            <w:tcW w:w="1760" w:type="dxa"/>
            <w:vAlign w:val="bottom"/>
            <w:gridSpan w:val="2"/>
          </w:tcPr>
          <w:p>
            <w:pPr>
              <w:jc w:val="center"/>
              <w:ind w:right="120"/>
              <w:spacing w:after="0"/>
              <w:rPr>
                <w:sz w:val="20"/>
                <w:szCs w:val="20"/>
                <w:color w:val="auto"/>
              </w:rPr>
            </w:pPr>
            <w:r>
              <w:rPr>
                <w:rFonts w:ascii="Arial" w:cs="Arial" w:eastAsia="Arial" w:hAnsi="Arial"/>
                <w:sz w:val="19"/>
                <w:szCs w:val="19"/>
                <w:color w:val="auto"/>
                <w:w w:val="94"/>
              </w:rPr>
              <w:t>Primary Modes of</w:t>
            </w:r>
          </w:p>
        </w:tc>
        <w:tc>
          <w:tcPr>
            <w:tcW w:w="4580" w:type="dxa"/>
            <w:vAlign w:val="bottom"/>
            <w:gridSpan w:val="2"/>
          </w:tcPr>
          <w:p>
            <w:pPr>
              <w:jc w:val="center"/>
              <w:ind w:right="120"/>
              <w:spacing w:after="0"/>
              <w:rPr>
                <w:sz w:val="20"/>
                <w:szCs w:val="20"/>
                <w:color w:val="auto"/>
              </w:rPr>
            </w:pPr>
            <w:r>
              <w:rPr>
                <w:rFonts w:ascii="Arial" w:cs="Arial" w:eastAsia="Arial" w:hAnsi="Arial"/>
                <w:sz w:val="19"/>
                <w:szCs w:val="19"/>
                <w:color w:val="auto"/>
                <w:w w:val="93"/>
              </w:rPr>
              <w:t>Truck and Rail</w:t>
            </w:r>
          </w:p>
        </w:tc>
        <w:tc>
          <w:tcPr>
            <w:tcW w:w="2180" w:type="dxa"/>
            <w:vAlign w:val="bottom"/>
            <w:gridSpan w:val="2"/>
          </w:tcPr>
          <w:p>
            <w:pPr>
              <w:jc w:val="center"/>
              <w:ind w:right="120"/>
              <w:spacing w:after="0"/>
              <w:rPr>
                <w:sz w:val="20"/>
                <w:szCs w:val="20"/>
                <w:color w:val="auto"/>
              </w:rPr>
            </w:pPr>
            <w:r>
              <w:rPr>
                <w:rFonts w:ascii="Arial" w:cs="Arial" w:eastAsia="Arial" w:hAnsi="Arial"/>
                <w:sz w:val="19"/>
                <w:szCs w:val="19"/>
                <w:color w:val="auto"/>
                <w:w w:val="92"/>
              </w:rPr>
              <w:t>Truck, Rail and Water</w:t>
            </w:r>
          </w:p>
        </w:tc>
        <w:tc>
          <w:tcPr>
            <w:tcW w:w="2900" w:type="dxa"/>
            <w:vAlign w:val="bottom"/>
          </w:tcPr>
          <w:p>
            <w:pPr>
              <w:jc w:val="center"/>
              <w:spacing w:after="0"/>
              <w:rPr>
                <w:sz w:val="20"/>
                <w:szCs w:val="20"/>
                <w:color w:val="auto"/>
              </w:rPr>
            </w:pPr>
            <w:r>
              <w:rPr>
                <w:rFonts w:ascii="Arial" w:cs="Arial" w:eastAsia="Arial" w:hAnsi="Arial"/>
                <w:sz w:val="19"/>
                <w:szCs w:val="19"/>
                <w:color w:val="auto"/>
                <w:w w:val="94"/>
              </w:rPr>
              <w:t>Truck and Rail</w:t>
            </w:r>
          </w:p>
        </w:tc>
      </w:tr>
      <w:tr>
        <w:trPr>
          <w:trHeight w:val="224"/>
        </w:trPr>
        <w:tc>
          <w:tcPr>
            <w:tcW w:w="1760" w:type="dxa"/>
            <w:vAlign w:val="bottom"/>
            <w:gridSpan w:val="2"/>
          </w:tcPr>
          <w:p>
            <w:pPr>
              <w:jc w:val="center"/>
              <w:ind w:left="24"/>
              <w:spacing w:after="0"/>
              <w:rPr>
                <w:sz w:val="20"/>
                <w:szCs w:val="20"/>
                <w:color w:val="auto"/>
              </w:rPr>
            </w:pPr>
            <w:r>
              <w:rPr>
                <w:rFonts w:ascii="Arial" w:cs="Arial" w:eastAsia="Arial" w:hAnsi="Arial"/>
                <w:sz w:val="19"/>
                <w:szCs w:val="19"/>
                <w:color w:val="auto"/>
                <w:w w:val="93"/>
              </w:rPr>
              <w:t>Transportation for</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4"/>
        </w:trPr>
        <w:tc>
          <w:tcPr>
            <w:tcW w:w="1760" w:type="dxa"/>
            <w:vAlign w:val="bottom"/>
            <w:gridSpan w:val="2"/>
          </w:tcPr>
          <w:p>
            <w:pPr>
              <w:jc w:val="center"/>
              <w:ind w:left="24"/>
              <w:spacing w:after="0"/>
              <w:rPr>
                <w:sz w:val="20"/>
                <w:szCs w:val="20"/>
                <w:color w:val="auto"/>
              </w:rPr>
            </w:pPr>
            <w:r>
              <w:rPr>
                <w:rFonts w:ascii="Arial" w:cs="Arial" w:eastAsia="Arial" w:hAnsi="Arial"/>
                <w:sz w:val="19"/>
                <w:szCs w:val="19"/>
                <w:color w:val="auto"/>
                <w:w w:val="90"/>
              </w:rPr>
              <w:t>Aggregates</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46"/>
        </w:trPr>
        <w:tc>
          <w:tcPr>
            <w:tcW w:w="1760" w:type="dxa"/>
            <w:vAlign w:val="bottom"/>
            <w:gridSpan w:val="2"/>
          </w:tcPr>
          <w:p>
            <w:pPr>
              <w:jc w:val="center"/>
              <w:ind w:left="24"/>
              <w:spacing w:after="0"/>
              <w:rPr>
                <w:sz w:val="20"/>
                <w:szCs w:val="20"/>
                <w:color w:val="auto"/>
              </w:rPr>
            </w:pPr>
            <w:r>
              <w:rPr>
                <w:rFonts w:ascii="Arial" w:cs="Arial" w:eastAsia="Arial" w:hAnsi="Arial"/>
                <w:sz w:val="19"/>
                <w:szCs w:val="19"/>
                <w:color w:val="auto"/>
                <w:w w:val="93"/>
              </w:rPr>
              <w:t>Product Line</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868"/>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2"/>
          </w:tcPr>
          <w:p>
            <w:pPr>
              <w:ind w:left="3420"/>
              <w:spacing w:after="0"/>
              <w:rPr>
                <w:sz w:val="20"/>
                <w:szCs w:val="20"/>
                <w:color w:val="auto"/>
              </w:rPr>
            </w:pPr>
            <w:r>
              <w:rPr>
                <w:rFonts w:ascii="Arial" w:cs="Arial" w:eastAsia="Arial" w:hAnsi="Arial"/>
                <w:sz w:val="19"/>
                <w:szCs w:val="19"/>
                <w:color w:val="auto"/>
                <w:w w:val="96"/>
              </w:rPr>
              <w:t>Page 22 of 49</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Hunter, Texas, between Austin and San Antonio; and Oro Grande, California, near Los Angeles. The limestone reserves used as a raw material are located on property, owned by the Corporation, adjacent to each of the plants. The Corporation also operates a cement terminal and packaging facility at the Crestmore plant near Riverside, California, and operates its Portland cement grinding facility on an as-needed basis. The cement facilities currently have total annual capacity of 6.6 million tons. In addition to the manufacturing and packaging facilities, the Corporation operates eight cement distribution terminals.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CRITICAL ACCOUNTING POLICIES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outlined its critical accounting policies in its Annual Report on Form 10-K for the year ended December 31, 2014. There were no changes to the Corporation’s critical accounting policies during the three months ended March 31, 2015.</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RESULTS OF OPERATIONS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indicated, the comparative analysis in this Management’s Discussion and Analysis of Financial Condition and Results of Operations reflects results from continuing operations and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months ended March 31, 2015 and 2014 in accordance with GAAP and reconciliations of the ratios as percentages of total revenues to percentages of net sales: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80" w:type="dxa"/>
            <w:vAlign w:val="bottom"/>
          </w:tcPr>
          <w:p>
            <w:pPr>
              <w:spacing w:after="0"/>
              <w:rPr>
                <w:sz w:val="20"/>
                <w:szCs w:val="20"/>
                <w:color w:val="auto"/>
              </w:rPr>
            </w:pPr>
            <w:r>
              <w:rPr>
                <w:rFonts w:ascii="Arial" w:cs="Arial" w:eastAsia="Arial" w:hAnsi="Arial"/>
                <w:sz w:val="19"/>
                <w:szCs w:val="19"/>
                <w:b w:val="1"/>
                <w:bCs w:val="1"/>
                <w:color w:val="auto"/>
              </w:rPr>
              <w:t>Gross Margin in Accordance with GAAP</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7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6"/>
          </w:tcPr>
          <w:p>
            <w:pPr>
              <w:jc w:val="center"/>
              <w:ind w:right="54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764"/>
              <w:spacing w:after="0"/>
              <w:rPr>
                <w:sz w:val="20"/>
                <w:szCs w:val="20"/>
                <w:color w:val="auto"/>
              </w:rPr>
            </w:pPr>
            <w:r>
              <w:rPr>
                <w:rFonts w:ascii="Arial" w:cs="Arial" w:eastAsia="Arial" w:hAnsi="Arial"/>
                <w:sz w:val="19"/>
                <w:szCs w:val="19"/>
                <w:color w:val="auto"/>
                <w:w w:val="92"/>
              </w:rPr>
              <w:t>March 31,</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9"/>
                <w:szCs w:val="19"/>
                <w:color w:val="auto"/>
              </w:rPr>
              <w:t>2015</w:t>
            </w: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9"/>
                <w:szCs w:val="19"/>
                <w:color w:val="auto"/>
              </w:rPr>
              <w:t>2014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5"/>
          </w:tcPr>
          <w:p>
            <w:pPr>
              <w:jc w:val="center"/>
              <w:ind w:right="284"/>
              <w:spacing w:after="0"/>
              <w:rPr>
                <w:sz w:val="20"/>
                <w:szCs w:val="20"/>
                <w:color w:val="auto"/>
              </w:rPr>
            </w:pPr>
            <w:r>
              <w:rPr>
                <w:rFonts w:ascii="Arial" w:cs="Arial" w:eastAsia="Arial" w:hAnsi="Arial"/>
                <w:sz w:val="19"/>
                <w:szCs w:val="19"/>
                <w:i w:val="1"/>
                <w:iCs w:val="1"/>
                <w:color w:val="auto"/>
                <w:w w:val="94"/>
              </w:rPr>
              <w:t>(Dollars in Thousands)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9"/>
                <w:szCs w:val="19"/>
                <w:color w:val="auto"/>
              </w:rPr>
              <w:t>Gross profit</w:t>
            </w:r>
          </w:p>
        </w:tc>
        <w:tc>
          <w:tcPr>
            <w:tcW w:w="340" w:type="dxa"/>
            <w:vAlign w:val="bottom"/>
            <w:tcBorders>
              <w:bottom w:val="single" w:sz="8" w:color="auto"/>
            </w:tcBorders>
            <w:shd w:val="clear" w:color="auto" w:fill="CFF2FA"/>
          </w:tcPr>
          <w:p>
            <w:pPr>
              <w:jc w:val="right"/>
              <w:ind w:right="144"/>
              <w:spacing w:after="0"/>
              <w:rPr>
                <w:sz w:val="20"/>
                <w:szCs w:val="20"/>
                <w:color w:val="auto"/>
              </w:rPr>
            </w:pPr>
            <w:r>
              <w:rPr>
                <w:rFonts w:ascii="Arial" w:cs="Arial" w:eastAsia="Arial" w:hAnsi="Arial"/>
                <w:sz w:val="19"/>
                <w:szCs w:val="19"/>
                <w:color w:val="auto"/>
                <w:w w:val="75"/>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74,261</w:t>
            </w:r>
          </w:p>
        </w:tc>
        <w:tc>
          <w:tcPr>
            <w:tcW w:w="220" w:type="dxa"/>
            <w:vAlign w:val="bottom"/>
            <w:tcBorders>
              <w:bottom w:val="single" w:sz="8" w:color="CFF2FA"/>
            </w:tcBorders>
            <w:shd w:val="clear" w:color="auto" w:fill="CFF2FA"/>
          </w:tcPr>
          <w:p>
            <w:pPr>
              <w:spacing w:after="0"/>
              <w:rPr>
                <w:sz w:val="20"/>
                <w:szCs w:val="20"/>
                <w:color w:val="auto"/>
              </w:rPr>
            </w:pPr>
          </w:p>
        </w:tc>
        <w:tc>
          <w:tcPr>
            <w:tcW w:w="40" w:type="dxa"/>
            <w:vAlign w:val="bottom"/>
            <w:tcBorders>
              <w:bottom w:val="single" w:sz="8" w:color="CFF2FA"/>
            </w:tcBorders>
            <w:shd w:val="clear" w:color="auto" w:fill="CFF2FA"/>
          </w:tcPr>
          <w:p>
            <w:pPr>
              <w:spacing w:after="0"/>
              <w:rPr>
                <w:sz w:val="20"/>
                <w:szCs w:val="20"/>
                <w:color w:val="auto"/>
              </w:rPr>
            </w:pPr>
          </w:p>
        </w:tc>
        <w:tc>
          <w:tcPr>
            <w:tcW w:w="500" w:type="dxa"/>
            <w:vAlign w:val="bottom"/>
            <w:tcBorders>
              <w:bottom w:val="single" w:sz="8" w:color="auto"/>
            </w:tcBorders>
            <w:shd w:val="clear" w:color="auto" w:fill="CFF2FA"/>
          </w:tcPr>
          <w:p>
            <w:pPr>
              <w:jc w:val="right"/>
              <w:ind w:right="304"/>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25,835</w:t>
            </w:r>
          </w:p>
        </w:tc>
        <w:tc>
          <w:tcPr>
            <w:tcW w:w="180" w:type="dxa"/>
            <w:vAlign w:val="bottom"/>
            <w:tcBorders>
              <w:bottom w:val="single" w:sz="8" w:color="CFF2FA"/>
            </w:tcBorders>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9"/>
                <w:szCs w:val="19"/>
                <w:color w:val="auto"/>
              </w:rPr>
              <w:t>Total revenues</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80" w:type="dxa"/>
            <w:vAlign w:val="bottom"/>
            <w:tcBorders>
              <w:bottom w:val="single" w:sz="8" w:color="CFF2FA"/>
            </w:tcBorders>
            <w:vMerge w:val="continue"/>
          </w:tcPr>
          <w:p>
            <w:pPr>
              <w:spacing w:after="0"/>
              <w:rPr>
                <w:sz w:val="22"/>
                <w:szCs w:val="22"/>
                <w:color w:val="auto"/>
              </w:rPr>
            </w:pPr>
          </w:p>
        </w:tc>
        <w:tc>
          <w:tcPr>
            <w:tcW w:w="340" w:type="dxa"/>
            <w:vAlign w:val="bottom"/>
            <w:tcBorders>
              <w:top w:val="single" w:sz="8" w:color="auto"/>
              <w:bottom w:val="single" w:sz="8" w:color="auto"/>
            </w:tcBorders>
          </w:tcPr>
          <w:p>
            <w:pPr>
              <w:jc w:val="right"/>
              <w:ind w:right="144"/>
              <w:spacing w:after="0" w:line="216" w:lineRule="exact"/>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691,347</w:t>
            </w:r>
          </w:p>
        </w:tc>
        <w:tc>
          <w:tcPr>
            <w:tcW w:w="220" w:type="dxa"/>
            <w:vAlign w:val="bottom"/>
            <w:tcBorders>
              <w:bottom w:val="single" w:sz="8" w:color="CFF2FA"/>
            </w:tcBorders>
          </w:tcPr>
          <w:p>
            <w:pPr>
              <w:spacing w:after="0"/>
              <w:rPr>
                <w:sz w:val="22"/>
                <w:szCs w:val="22"/>
                <w:color w:val="auto"/>
              </w:rPr>
            </w:pPr>
          </w:p>
        </w:tc>
        <w:tc>
          <w:tcPr>
            <w:tcW w:w="40" w:type="dxa"/>
            <w:vAlign w:val="bottom"/>
            <w:tcBorders>
              <w:bottom w:val="single" w:sz="8" w:color="CFF2FA"/>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4"/>
              <w:spacing w:after="0" w:line="216" w:lineRule="exact"/>
              <w:rPr>
                <w:sz w:val="20"/>
                <w:szCs w:val="20"/>
                <w:color w:val="auto"/>
              </w:rPr>
            </w:pPr>
            <w:r>
              <w:rPr>
                <w:rFonts w:ascii="Arial" w:cs="Arial" w:eastAsia="Arial" w:hAnsi="Arial"/>
                <w:sz w:val="19"/>
                <w:szCs w:val="19"/>
                <w:color w:val="auto"/>
                <w:w w:val="75"/>
              </w:rPr>
              <w:t>$</w:t>
            </w:r>
          </w:p>
        </w:tc>
        <w:tc>
          <w:tcPr>
            <w:tcW w:w="12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428,629</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2FA"/>
          </w:tcPr>
          <w:p>
            <w:pPr>
              <w:spacing w:after="0" w:line="216" w:lineRule="exact"/>
              <w:rPr>
                <w:sz w:val="20"/>
                <w:szCs w:val="20"/>
                <w:color w:val="auto"/>
              </w:rPr>
            </w:pPr>
            <w:r>
              <w:rPr>
                <w:rFonts w:ascii="Arial" w:cs="Arial" w:eastAsia="Arial" w:hAnsi="Arial"/>
                <w:sz w:val="19"/>
                <w:szCs w:val="19"/>
                <w:color w:val="auto"/>
              </w:rPr>
              <w:t>Gross margin</w:t>
            </w:r>
          </w:p>
        </w:tc>
        <w:tc>
          <w:tcPr>
            <w:tcW w:w="340" w:type="dxa"/>
            <w:vAlign w:val="bottom"/>
            <w:shd w:val="clear" w:color="auto" w:fill="CFF2FA"/>
          </w:tcPr>
          <w:p>
            <w:pPr>
              <w:spacing w:after="0"/>
              <w:rPr>
                <w:sz w:val="18"/>
                <w:szCs w:val="18"/>
                <w:color w:val="auto"/>
              </w:rPr>
            </w:pPr>
          </w:p>
        </w:tc>
        <w:tc>
          <w:tcPr>
            <w:tcW w:w="1460" w:type="dxa"/>
            <w:vAlign w:val="bottom"/>
            <w:gridSpan w:val="2"/>
            <w:shd w:val="clear" w:color="auto" w:fill="CFF2FA"/>
          </w:tcPr>
          <w:p>
            <w:pPr>
              <w:jc w:val="right"/>
              <w:ind w:right="60"/>
              <w:spacing w:after="0" w:line="216" w:lineRule="exact"/>
              <w:rPr>
                <w:sz w:val="20"/>
                <w:szCs w:val="20"/>
                <w:color w:val="auto"/>
              </w:rPr>
            </w:pPr>
            <w:r>
              <w:rPr>
                <w:rFonts w:ascii="Arial" w:cs="Arial" w:eastAsia="Arial" w:hAnsi="Arial"/>
                <w:sz w:val="19"/>
                <w:szCs w:val="19"/>
                <w:color w:val="auto"/>
              </w:rPr>
              <w:t>10.7%</w:t>
            </w:r>
          </w:p>
        </w:tc>
        <w:tc>
          <w:tcPr>
            <w:tcW w:w="40" w:type="dxa"/>
            <w:vAlign w:val="bottom"/>
            <w:shd w:val="clear" w:color="auto" w:fill="CFF2FA"/>
          </w:tcPr>
          <w:p>
            <w:pPr>
              <w:spacing w:after="0"/>
              <w:rPr>
                <w:sz w:val="18"/>
                <w:szCs w:val="18"/>
                <w:color w:val="auto"/>
              </w:rPr>
            </w:pPr>
          </w:p>
        </w:tc>
        <w:tc>
          <w:tcPr>
            <w:tcW w:w="500" w:type="dxa"/>
            <w:vAlign w:val="bottom"/>
            <w:shd w:val="clear" w:color="auto" w:fill="CFF2FA"/>
          </w:tcPr>
          <w:p>
            <w:pPr>
              <w:spacing w:after="0"/>
              <w:rPr>
                <w:sz w:val="18"/>
                <w:szCs w:val="18"/>
                <w:color w:val="auto"/>
              </w:rPr>
            </w:pPr>
          </w:p>
        </w:tc>
        <w:tc>
          <w:tcPr>
            <w:tcW w:w="1400" w:type="dxa"/>
            <w:vAlign w:val="bottom"/>
            <w:gridSpan w:val="2"/>
            <w:shd w:val="clear" w:color="auto" w:fill="CFF2FA"/>
          </w:tcPr>
          <w:p>
            <w:pPr>
              <w:jc w:val="right"/>
              <w:ind w:right="20"/>
              <w:spacing w:after="0" w:line="216" w:lineRule="exact"/>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0"/>
        </w:trPr>
        <w:tc>
          <w:tcPr>
            <w:tcW w:w="768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23 of 49</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0"/>
                <w:szCs w:val="20"/>
                <w:color w:val="auto"/>
              </w:rPr>
            </w:pPr>
            <w:r>
              <w:rPr>
                <w:rFonts w:ascii="Arial" w:cs="Arial" w:eastAsia="Arial" w:hAnsi="Arial"/>
                <w:sz w:val="19"/>
                <w:szCs w:val="19"/>
                <w:b w:val="1"/>
                <w:bCs w:val="1"/>
                <w:color w:val="auto"/>
              </w:rPr>
              <w:t>Gross Margin Excluding Freight and Delivery Revenues</w:t>
            </w: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9"/>
          </w:tcPr>
          <w:p>
            <w:pPr>
              <w:jc w:val="center"/>
              <w:ind w:right="52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left="764"/>
              <w:spacing w:after="0"/>
              <w:rPr>
                <w:sz w:val="20"/>
                <w:szCs w:val="20"/>
                <w:color w:val="auto"/>
              </w:rPr>
            </w:pPr>
            <w:r>
              <w:rPr>
                <w:rFonts w:ascii="Arial" w:cs="Arial" w:eastAsia="Arial" w:hAnsi="Arial"/>
                <w:sz w:val="19"/>
                <w:szCs w:val="19"/>
                <w:color w:val="auto"/>
                <w:w w:val="94"/>
              </w:rPr>
              <w:t>March 31,</w:t>
            </w:r>
          </w:p>
        </w:tc>
        <w:tc>
          <w:tcPr>
            <w:tcW w:w="1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9"/>
                <w:szCs w:val="19"/>
                <w:color w:val="auto"/>
              </w:rPr>
              <w:t>2015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4"/>
              <w:spacing w:after="0"/>
              <w:rPr>
                <w:sz w:val="20"/>
                <w:szCs w:val="20"/>
                <w:color w:val="auto"/>
              </w:rPr>
            </w:pPr>
            <w:r>
              <w:rPr>
                <w:rFonts w:ascii="Arial" w:cs="Arial" w:eastAsia="Arial" w:hAnsi="Arial"/>
                <w:sz w:val="19"/>
                <w:szCs w:val="19"/>
                <w:color w:val="auto"/>
              </w:rPr>
              <w:t>2014</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8"/>
          </w:tcPr>
          <w:p>
            <w:pPr>
              <w:jc w:val="center"/>
              <w:ind w:right="300"/>
              <w:spacing w:after="0"/>
              <w:rPr>
                <w:sz w:val="20"/>
                <w:szCs w:val="20"/>
                <w:color w:val="auto"/>
              </w:rPr>
            </w:pPr>
            <w:r>
              <w:rPr>
                <w:rFonts w:ascii="Arial" w:cs="Arial" w:eastAsia="Arial" w:hAnsi="Arial"/>
                <w:sz w:val="19"/>
                <w:szCs w:val="19"/>
                <w:i w:val="1"/>
                <w:iCs w:val="1"/>
                <w:color w:val="auto"/>
                <w:w w:val="94"/>
              </w:rPr>
              <w:t>(Dollars in Thousands)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2FA"/>
          </w:tcPr>
          <w:p>
            <w:pPr>
              <w:spacing w:after="0"/>
              <w:rPr>
                <w:sz w:val="20"/>
                <w:szCs w:val="20"/>
                <w:color w:val="auto"/>
              </w:rPr>
            </w:pPr>
            <w:r>
              <w:rPr>
                <w:rFonts w:ascii="Arial" w:cs="Arial" w:eastAsia="Arial" w:hAnsi="Arial"/>
                <w:sz w:val="19"/>
                <w:szCs w:val="19"/>
                <w:color w:val="auto"/>
              </w:rPr>
              <w:t>Gross profit</w:t>
            </w:r>
          </w:p>
        </w:tc>
        <w:tc>
          <w:tcPr>
            <w:tcW w:w="1760" w:type="dxa"/>
            <w:vAlign w:val="bottom"/>
            <w:gridSpan w:val="3"/>
            <w:shd w:val="clear" w:color="auto" w:fill="CFF2FA"/>
          </w:tcPr>
          <w:p>
            <w:pPr>
              <w:jc w:val="right"/>
              <w:ind w:right="104"/>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74,261</w:t>
            </w:r>
          </w:p>
        </w:tc>
        <w:tc>
          <w:tcPr>
            <w:tcW w:w="180" w:type="dxa"/>
            <w:vAlign w:val="bottom"/>
            <w:shd w:val="clear" w:color="auto" w:fill="CFF2FA"/>
          </w:tcPr>
          <w:p>
            <w:pPr>
              <w:spacing w:after="0"/>
              <w:rPr>
                <w:sz w:val="20"/>
                <w:szCs w:val="20"/>
                <w:color w:val="auto"/>
              </w:rPr>
            </w:pPr>
          </w:p>
        </w:tc>
        <w:tc>
          <w:tcPr>
            <w:tcW w:w="500" w:type="dxa"/>
            <w:vAlign w:val="bottom"/>
            <w:gridSpan w:val="3"/>
            <w:shd w:val="clear" w:color="auto" w:fill="CFF2FA"/>
          </w:tcPr>
          <w:p>
            <w:pPr>
              <w:jc w:val="right"/>
              <w:ind w:right="22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25,835</w:t>
            </w:r>
          </w:p>
        </w:tc>
        <w:tc>
          <w:tcPr>
            <w:tcW w:w="2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9"/>
                <w:szCs w:val="19"/>
                <w:color w:val="auto"/>
              </w:rPr>
              <w:t>Total revenues</w:t>
            </w:r>
          </w:p>
        </w:tc>
        <w:tc>
          <w:tcPr>
            <w:tcW w:w="142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00" w:type="dxa"/>
            <w:vAlign w:val="bottom"/>
            <w:tcBorders>
              <w:bottom w:val="single" w:sz="8" w:color="CFF2FA"/>
            </w:tcBorders>
            <w:vMerge w:val="continue"/>
          </w:tcPr>
          <w:p>
            <w:pPr>
              <w:spacing w:after="0"/>
              <w:rPr>
                <w:sz w:val="22"/>
                <w:szCs w:val="22"/>
                <w:color w:val="auto"/>
              </w:rPr>
            </w:pPr>
          </w:p>
        </w:tc>
        <w:tc>
          <w:tcPr>
            <w:tcW w:w="1420" w:type="dxa"/>
            <w:vAlign w:val="bottom"/>
            <w:tcBorders>
              <w:bottom w:val="single" w:sz="8" w:color="CFF2FA"/>
            </w:tcBorders>
          </w:tcPr>
          <w:p>
            <w:pPr>
              <w:spacing w:after="0"/>
              <w:rPr>
                <w:sz w:val="22"/>
                <w:szCs w:val="22"/>
                <w:color w:val="auto"/>
              </w:rPr>
            </w:pPr>
          </w:p>
        </w:tc>
        <w:tc>
          <w:tcPr>
            <w:tcW w:w="40" w:type="dxa"/>
            <w:vAlign w:val="bottom"/>
            <w:tcBorders>
              <w:bottom w:val="single" w:sz="8" w:color="CFF2FA"/>
            </w:tcBorders>
          </w:tcPr>
          <w:p>
            <w:pPr>
              <w:spacing w:after="0"/>
              <w:rPr>
                <w:sz w:val="22"/>
                <w:szCs w:val="22"/>
                <w:color w:val="auto"/>
              </w:rPr>
            </w:pPr>
          </w:p>
        </w:tc>
        <w:tc>
          <w:tcPr>
            <w:tcW w:w="300" w:type="dxa"/>
            <w:vAlign w:val="bottom"/>
            <w:tcBorders>
              <w:bottom w:val="single" w:sz="8" w:color="auto"/>
            </w:tcBorders>
          </w:tcPr>
          <w:p>
            <w:pPr>
              <w:jc w:val="right"/>
              <w:ind w:right="104"/>
              <w:spacing w:after="0" w:line="216" w:lineRule="exact"/>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color w:val="auto"/>
              </w:rPr>
              <w:t>691,347</w:t>
            </w:r>
          </w:p>
        </w:tc>
        <w:tc>
          <w:tcPr>
            <w:tcW w:w="180" w:type="dxa"/>
            <w:vAlign w:val="bottom"/>
            <w:tcBorders>
              <w:bottom w:val="single" w:sz="8" w:color="CFF2FA"/>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color w:val="auto"/>
              </w:rPr>
              <w:t>428,629</w:t>
            </w:r>
          </w:p>
        </w:tc>
        <w:tc>
          <w:tcPr>
            <w:tcW w:w="20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2FA"/>
          </w:tcPr>
          <w:p>
            <w:pPr>
              <w:spacing w:after="0" w:line="216" w:lineRule="exact"/>
              <w:rPr>
                <w:sz w:val="20"/>
                <w:szCs w:val="20"/>
                <w:color w:val="auto"/>
              </w:rPr>
            </w:pPr>
            <w:r>
              <w:rPr>
                <w:rFonts w:ascii="Arial" w:cs="Arial" w:eastAsia="Arial" w:hAnsi="Arial"/>
                <w:sz w:val="19"/>
                <w:szCs w:val="19"/>
                <w:color w:val="auto"/>
              </w:rPr>
              <w:t>Less: Freight and delivery revenues</w:t>
            </w:r>
          </w:p>
        </w:tc>
        <w:tc>
          <w:tcPr>
            <w:tcW w:w="142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00" w:type="dxa"/>
            <w:vAlign w:val="bottom"/>
            <w:tcBorders>
              <w:bottom w:val="single" w:sz="8" w:color="auto"/>
            </w:tcBorders>
            <w:shd w:val="clear" w:color="auto" w:fill="CFF2FA"/>
          </w:tcPr>
          <w:p>
            <w:pPr>
              <w:spacing w:after="0"/>
              <w:rPr>
                <w:sz w:val="18"/>
                <w:szCs w:val="18"/>
                <w:color w:val="auto"/>
              </w:rPr>
            </w:pPr>
          </w:p>
        </w:tc>
        <w:tc>
          <w:tcPr>
            <w:tcW w:w="1220" w:type="dxa"/>
            <w:vAlign w:val="bottom"/>
            <w:tcBorders>
              <w:bottom w:val="single" w:sz="8" w:color="auto"/>
            </w:tcBorders>
            <w:gridSpan w:val="2"/>
            <w:shd w:val="clear" w:color="auto" w:fill="CFF2FA"/>
          </w:tcPr>
          <w:p>
            <w:pPr>
              <w:jc w:val="right"/>
              <w:spacing w:after="0" w:line="216" w:lineRule="exact"/>
              <w:rPr>
                <w:sz w:val="20"/>
                <w:szCs w:val="20"/>
                <w:color w:val="auto"/>
              </w:rPr>
            </w:pPr>
            <w:r>
              <w:rPr>
                <w:rFonts w:ascii="Arial" w:cs="Arial" w:eastAsia="Arial" w:hAnsi="Arial"/>
                <w:sz w:val="19"/>
                <w:szCs w:val="19"/>
                <w:color w:val="auto"/>
              </w:rPr>
              <w:t>(59,471)</w:t>
            </w:r>
          </w:p>
        </w:tc>
        <w:tc>
          <w:tcPr>
            <w:tcW w:w="18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80" w:type="dxa"/>
            <w:vAlign w:val="bottom"/>
            <w:tcBorders>
              <w:bottom w:val="single" w:sz="8" w:color="auto"/>
            </w:tcBorders>
            <w:shd w:val="clear" w:color="auto" w:fill="CFF2FA"/>
          </w:tcPr>
          <w:p>
            <w:pPr>
              <w:spacing w:after="0"/>
              <w:rPr>
                <w:sz w:val="18"/>
                <w:szCs w:val="18"/>
                <w:color w:val="auto"/>
              </w:rPr>
            </w:pPr>
          </w:p>
        </w:tc>
        <w:tc>
          <w:tcPr>
            <w:tcW w:w="1160" w:type="dxa"/>
            <w:vAlign w:val="bottom"/>
            <w:tcBorders>
              <w:bottom w:val="single" w:sz="8" w:color="auto"/>
            </w:tcBorders>
            <w:gridSpan w:val="2"/>
            <w:shd w:val="clear" w:color="auto" w:fill="CFF2FA"/>
          </w:tcPr>
          <w:p>
            <w:pPr>
              <w:jc w:val="right"/>
              <w:spacing w:after="0" w:line="216" w:lineRule="exact"/>
              <w:rPr>
                <w:sz w:val="20"/>
                <w:szCs w:val="20"/>
                <w:color w:val="auto"/>
              </w:rPr>
            </w:pPr>
            <w:r>
              <w:rPr>
                <w:rFonts w:ascii="Arial" w:cs="Arial" w:eastAsia="Arial" w:hAnsi="Arial"/>
                <w:sz w:val="19"/>
                <w:szCs w:val="19"/>
                <w:color w:val="auto"/>
              </w:rPr>
              <w:t>(48,951)</w:t>
            </w:r>
          </w:p>
        </w:tc>
        <w:tc>
          <w:tcPr>
            <w:tcW w:w="2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FF2FA"/>
            </w:tcBorders>
          </w:tcPr>
          <w:p>
            <w:pPr>
              <w:spacing w:after="0"/>
              <w:rPr>
                <w:sz w:val="20"/>
                <w:szCs w:val="20"/>
                <w:color w:val="auto"/>
              </w:rPr>
            </w:pPr>
            <w:r>
              <w:rPr>
                <w:rFonts w:ascii="Arial" w:cs="Arial" w:eastAsia="Arial" w:hAnsi="Arial"/>
                <w:sz w:val="19"/>
                <w:szCs w:val="19"/>
                <w:color w:val="auto"/>
              </w:rPr>
              <w:t>Net sales</w:t>
            </w:r>
          </w:p>
        </w:tc>
        <w:tc>
          <w:tcPr>
            <w:tcW w:w="1420" w:type="dxa"/>
            <w:vAlign w:val="bottom"/>
            <w:tcBorders>
              <w:bottom w:val="single" w:sz="8" w:color="CFF2FA"/>
            </w:tcBorders>
          </w:tcPr>
          <w:p>
            <w:pPr>
              <w:spacing w:after="0"/>
              <w:rPr>
                <w:sz w:val="23"/>
                <w:szCs w:val="23"/>
                <w:color w:val="auto"/>
              </w:rPr>
            </w:pPr>
          </w:p>
        </w:tc>
        <w:tc>
          <w:tcPr>
            <w:tcW w:w="40" w:type="dxa"/>
            <w:vAlign w:val="bottom"/>
            <w:tcBorders>
              <w:bottom w:val="single" w:sz="8" w:color="CFF2FA"/>
            </w:tcBorders>
          </w:tcPr>
          <w:p>
            <w:pPr>
              <w:spacing w:after="0"/>
              <w:rPr>
                <w:sz w:val="23"/>
                <w:szCs w:val="23"/>
                <w:color w:val="auto"/>
              </w:rPr>
            </w:pPr>
          </w:p>
        </w:tc>
        <w:tc>
          <w:tcPr>
            <w:tcW w:w="300" w:type="dxa"/>
            <w:vAlign w:val="bottom"/>
            <w:tcBorders>
              <w:bottom w:val="single" w:sz="8" w:color="auto"/>
            </w:tcBorders>
          </w:tcPr>
          <w:p>
            <w:pPr>
              <w:jc w:val="right"/>
              <w:ind w:right="104"/>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631,876</w:t>
            </w:r>
          </w:p>
        </w:tc>
        <w:tc>
          <w:tcPr>
            <w:tcW w:w="180" w:type="dxa"/>
            <w:vAlign w:val="bottom"/>
            <w:tcBorders>
              <w:bottom w:val="single" w:sz="8" w:color="CFF2FA"/>
            </w:tcBorders>
          </w:tcPr>
          <w:p>
            <w:pPr>
              <w:spacing w:after="0"/>
              <w:rPr>
                <w:sz w:val="23"/>
                <w:szCs w:val="23"/>
                <w:color w:val="auto"/>
              </w:rPr>
            </w:pPr>
          </w:p>
        </w:tc>
        <w:tc>
          <w:tcPr>
            <w:tcW w:w="80" w:type="dxa"/>
            <w:vAlign w:val="bottom"/>
            <w:tcBorders>
              <w:bottom w:val="single" w:sz="8" w:color="CFF2FA"/>
            </w:tcBorders>
          </w:tcPr>
          <w:p>
            <w:pPr>
              <w:spacing w:after="0"/>
              <w:rPr>
                <w:sz w:val="23"/>
                <w:szCs w:val="23"/>
                <w:color w:val="auto"/>
              </w:rPr>
            </w:pPr>
          </w:p>
        </w:tc>
        <w:tc>
          <w:tcPr>
            <w:tcW w:w="40" w:type="dxa"/>
            <w:vAlign w:val="bottom"/>
            <w:tcBorders>
              <w:bottom w:val="single" w:sz="8" w:color="CFF2FA"/>
            </w:tcBorders>
          </w:tcPr>
          <w:p>
            <w:pPr>
              <w:spacing w:after="0"/>
              <w:rPr>
                <w:sz w:val="23"/>
                <w:szCs w:val="23"/>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379,678</w:t>
            </w:r>
          </w:p>
        </w:tc>
        <w:tc>
          <w:tcPr>
            <w:tcW w:w="200" w:type="dxa"/>
            <w:vAlign w:val="bottom"/>
            <w:tcBorders>
              <w:bottom w:val="single" w:sz="8" w:color="CFF2FA"/>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2FA"/>
          </w:tcPr>
          <w:p>
            <w:pPr>
              <w:spacing w:after="0" w:line="216" w:lineRule="exact"/>
              <w:rPr>
                <w:sz w:val="20"/>
                <w:szCs w:val="20"/>
                <w:color w:val="auto"/>
              </w:rPr>
            </w:pPr>
            <w:r>
              <w:rPr>
                <w:rFonts w:ascii="Arial" w:cs="Arial" w:eastAsia="Arial" w:hAnsi="Arial"/>
                <w:sz w:val="19"/>
                <w:szCs w:val="19"/>
                <w:color w:val="auto"/>
              </w:rPr>
              <w:t>Gross margin excluding freight and delivery revenues</w:t>
            </w:r>
          </w:p>
        </w:tc>
        <w:tc>
          <w:tcPr>
            <w:tcW w:w="142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1400" w:type="dxa"/>
            <w:vAlign w:val="bottom"/>
            <w:gridSpan w:val="3"/>
            <w:shd w:val="clear" w:color="auto" w:fill="CFF2FA"/>
          </w:tcPr>
          <w:p>
            <w:pPr>
              <w:jc w:val="right"/>
              <w:ind w:right="20"/>
              <w:spacing w:after="0" w:line="216" w:lineRule="exact"/>
              <w:rPr>
                <w:sz w:val="20"/>
                <w:szCs w:val="20"/>
                <w:color w:val="auto"/>
              </w:rPr>
            </w:pPr>
            <w:r>
              <w:rPr>
                <w:rFonts w:ascii="Arial" w:cs="Arial" w:eastAsia="Arial" w:hAnsi="Arial"/>
                <w:sz w:val="19"/>
                <w:szCs w:val="19"/>
                <w:color w:val="auto"/>
              </w:rPr>
              <w:t>11.8%</w:t>
            </w:r>
          </w:p>
        </w:tc>
        <w:tc>
          <w:tcPr>
            <w:tcW w:w="8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360" w:type="dxa"/>
            <w:vAlign w:val="bottom"/>
            <w:gridSpan w:val="3"/>
            <w:shd w:val="clear" w:color="auto" w:fill="CFF2FA"/>
          </w:tcPr>
          <w:p>
            <w:pPr>
              <w:jc w:val="right"/>
              <w:ind w:right="40"/>
              <w:spacing w:after="0" w:line="216" w:lineRule="exact"/>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9"/>
                <w:szCs w:val="19"/>
                <w:b w:val="1"/>
                <w:bCs w:val="1"/>
                <w:color w:val="auto"/>
              </w:rPr>
              <w:t>Operating Margin in Accordance with GAAP</w:t>
            </w:r>
          </w:p>
        </w:tc>
        <w:tc>
          <w:tcPr>
            <w:tcW w:w="142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4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9"/>
          </w:tcPr>
          <w:p>
            <w:pPr>
              <w:jc w:val="center"/>
              <w:ind w:right="620"/>
              <w:spacing w:after="0"/>
              <w:rPr>
                <w:sz w:val="20"/>
                <w:szCs w:val="20"/>
                <w:color w:val="auto"/>
              </w:rPr>
            </w:pPr>
            <w:r>
              <w:rPr>
                <w:rFonts w:ascii="Arial" w:cs="Arial" w:eastAsia="Arial" w:hAnsi="Arial"/>
                <w:sz w:val="19"/>
                <w:szCs w:val="19"/>
                <w:color w:val="auto"/>
                <w:w w:val="92"/>
              </w:rPr>
              <w:t>Three Months Ended</w:t>
            </w: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left="644"/>
              <w:spacing w:after="0"/>
              <w:rPr>
                <w:sz w:val="20"/>
                <w:szCs w:val="20"/>
                <w:color w:val="auto"/>
              </w:rPr>
            </w:pPr>
            <w:r>
              <w:rPr>
                <w:rFonts w:ascii="Arial" w:cs="Arial" w:eastAsia="Arial" w:hAnsi="Arial"/>
                <w:sz w:val="19"/>
                <w:szCs w:val="19"/>
                <w:color w:val="auto"/>
                <w:w w:val="94"/>
              </w:rPr>
              <w:t>March 31,</w:t>
            </w: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7"/>
          </w:tcPr>
          <w:p>
            <w:pPr>
              <w:jc w:val="center"/>
              <w:ind w:right="264"/>
              <w:spacing w:after="0"/>
              <w:rPr>
                <w:sz w:val="20"/>
                <w:szCs w:val="20"/>
                <w:color w:val="auto"/>
              </w:rPr>
            </w:pPr>
            <w:r>
              <w:rPr>
                <w:rFonts w:ascii="Arial" w:cs="Arial" w:eastAsia="Arial" w:hAnsi="Arial"/>
                <w:sz w:val="19"/>
                <w:szCs w:val="19"/>
                <w:i w:val="1"/>
                <w:iCs w:val="1"/>
                <w:color w:val="auto"/>
                <w:w w:val="94"/>
              </w:rPr>
              <w:t>(Dollars in Thousands)</w:t>
            </w:r>
          </w:p>
        </w:tc>
        <w:tc>
          <w:tcPr>
            <w:tcW w:w="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2FA"/>
          </w:tcPr>
          <w:p>
            <w:pPr>
              <w:spacing w:after="0"/>
              <w:rPr>
                <w:sz w:val="20"/>
                <w:szCs w:val="20"/>
                <w:color w:val="auto"/>
              </w:rPr>
            </w:pPr>
            <w:r>
              <w:rPr>
                <w:rFonts w:ascii="Arial" w:cs="Arial" w:eastAsia="Arial" w:hAnsi="Arial"/>
                <w:sz w:val="19"/>
                <w:szCs w:val="19"/>
                <w:color w:val="auto"/>
              </w:rPr>
              <w:t>Earnings (Loss) from operations</w:t>
            </w:r>
          </w:p>
        </w:tc>
        <w:tc>
          <w:tcPr>
            <w:tcW w:w="1760" w:type="dxa"/>
            <w:vAlign w:val="bottom"/>
            <w:gridSpan w:val="3"/>
            <w:shd w:val="clear" w:color="auto" w:fill="CFF2FA"/>
          </w:tcPr>
          <w:p>
            <w:pPr>
              <w:jc w:val="right"/>
              <w:ind w:right="144"/>
              <w:spacing w:after="0"/>
              <w:rPr>
                <w:sz w:val="20"/>
                <w:szCs w:val="20"/>
                <w:color w:val="auto"/>
              </w:rPr>
            </w:pPr>
            <w:r>
              <w:rPr>
                <w:rFonts w:ascii="Arial" w:cs="Arial" w:eastAsia="Arial" w:hAnsi="Arial"/>
                <w:sz w:val="19"/>
                <w:szCs w:val="19"/>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25,571</w:t>
            </w:r>
          </w:p>
        </w:tc>
        <w:tc>
          <w:tcPr>
            <w:tcW w:w="4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500" w:type="dxa"/>
            <w:vAlign w:val="bottom"/>
            <w:gridSpan w:val="3"/>
            <w:shd w:val="clear" w:color="auto" w:fill="CFF2FA"/>
          </w:tcPr>
          <w:p>
            <w:pPr>
              <w:jc w:val="right"/>
              <w:ind w:right="24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(15,898)</w:t>
            </w:r>
          </w:p>
        </w:tc>
        <w:tc>
          <w:tcPr>
            <w:tcW w:w="2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9"/>
                <w:szCs w:val="19"/>
                <w:color w:val="auto"/>
              </w:rPr>
              <w:t>Total revenues</w:t>
            </w:r>
          </w:p>
        </w:tc>
        <w:tc>
          <w:tcPr>
            <w:tcW w:w="142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00" w:type="dxa"/>
            <w:vAlign w:val="bottom"/>
            <w:tcBorders>
              <w:bottom w:val="single" w:sz="8" w:color="CFF2FA"/>
            </w:tcBorders>
            <w:vMerge w:val="continue"/>
          </w:tcPr>
          <w:p>
            <w:pPr>
              <w:spacing w:after="0"/>
              <w:rPr>
                <w:sz w:val="22"/>
                <w:szCs w:val="22"/>
                <w:color w:val="auto"/>
              </w:rPr>
            </w:pPr>
          </w:p>
        </w:tc>
        <w:tc>
          <w:tcPr>
            <w:tcW w:w="1420" w:type="dxa"/>
            <w:vAlign w:val="bottom"/>
            <w:tcBorders>
              <w:bottom w:val="single" w:sz="8" w:color="CFF2FA"/>
            </w:tcBorders>
          </w:tcPr>
          <w:p>
            <w:pPr>
              <w:spacing w:after="0"/>
              <w:rPr>
                <w:sz w:val="22"/>
                <w:szCs w:val="22"/>
                <w:color w:val="auto"/>
              </w:rPr>
            </w:pPr>
          </w:p>
        </w:tc>
        <w:tc>
          <w:tcPr>
            <w:tcW w:w="340" w:type="dxa"/>
            <w:vAlign w:val="bottom"/>
            <w:tcBorders>
              <w:bottom w:val="single" w:sz="8" w:color="auto"/>
            </w:tcBorders>
            <w:gridSpan w:val="2"/>
          </w:tcPr>
          <w:p>
            <w:pPr>
              <w:jc w:val="right"/>
              <w:ind w:right="144"/>
              <w:spacing w:after="0" w:line="216" w:lineRule="exact"/>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691,347</w:t>
            </w:r>
          </w:p>
        </w:tc>
        <w:tc>
          <w:tcPr>
            <w:tcW w:w="40" w:type="dxa"/>
            <w:vAlign w:val="bottom"/>
            <w:tcBorders>
              <w:bottom w:val="single" w:sz="8" w:color="CFF2FA"/>
            </w:tcBorders>
          </w:tcPr>
          <w:p>
            <w:pPr>
              <w:spacing w:after="0"/>
              <w:rPr>
                <w:sz w:val="22"/>
                <w:szCs w:val="22"/>
                <w:color w:val="auto"/>
              </w:rPr>
            </w:pPr>
          </w:p>
        </w:tc>
        <w:tc>
          <w:tcPr>
            <w:tcW w:w="18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420" w:type="dxa"/>
            <w:vAlign w:val="bottom"/>
            <w:tcBorders>
              <w:bottom w:val="single" w:sz="8" w:color="auto"/>
            </w:tcBorders>
            <w:gridSpan w:val="2"/>
          </w:tcPr>
          <w:p>
            <w:pPr>
              <w:jc w:val="right"/>
              <w:ind w:right="245"/>
              <w:spacing w:after="0" w:line="216" w:lineRule="exact"/>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428,629</w:t>
            </w:r>
          </w:p>
        </w:tc>
        <w:tc>
          <w:tcPr>
            <w:tcW w:w="60" w:type="dxa"/>
            <w:vAlign w:val="bottom"/>
            <w:tcBorders>
              <w:bottom w:val="single" w:sz="8" w:color="CFF2FA"/>
            </w:tcBorders>
          </w:tcPr>
          <w:p>
            <w:pPr>
              <w:spacing w:after="0"/>
              <w:rPr>
                <w:sz w:val="22"/>
                <w:szCs w:val="22"/>
                <w:color w:val="auto"/>
              </w:rPr>
            </w:pPr>
          </w:p>
        </w:tc>
        <w:tc>
          <w:tcPr>
            <w:tcW w:w="20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2FA"/>
          </w:tcPr>
          <w:p>
            <w:pPr>
              <w:spacing w:after="0" w:line="216" w:lineRule="exact"/>
              <w:rPr>
                <w:sz w:val="20"/>
                <w:szCs w:val="20"/>
                <w:color w:val="auto"/>
              </w:rPr>
            </w:pPr>
            <w:r>
              <w:rPr>
                <w:rFonts w:ascii="Arial" w:cs="Arial" w:eastAsia="Arial" w:hAnsi="Arial"/>
                <w:sz w:val="19"/>
                <w:szCs w:val="19"/>
                <w:color w:val="auto"/>
              </w:rPr>
              <w:t>Operating margin</w:t>
            </w:r>
          </w:p>
        </w:tc>
        <w:tc>
          <w:tcPr>
            <w:tcW w:w="142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1400" w:type="dxa"/>
            <w:vAlign w:val="bottom"/>
            <w:gridSpan w:val="3"/>
            <w:shd w:val="clear" w:color="auto" w:fill="CFF2FA"/>
          </w:tcPr>
          <w:p>
            <w:pPr>
              <w:jc w:val="right"/>
              <w:ind w:right="60"/>
              <w:spacing w:after="0" w:line="216" w:lineRule="exact"/>
              <w:rPr>
                <w:sz w:val="20"/>
                <w:szCs w:val="20"/>
                <w:color w:val="auto"/>
              </w:rPr>
            </w:pPr>
            <w:r>
              <w:rPr>
                <w:rFonts w:ascii="Arial" w:cs="Arial" w:eastAsia="Arial" w:hAnsi="Arial"/>
                <w:sz w:val="19"/>
                <w:szCs w:val="19"/>
                <w:color w:val="auto"/>
              </w:rPr>
              <w:t>3.7%</w:t>
            </w:r>
          </w:p>
        </w:tc>
        <w:tc>
          <w:tcPr>
            <w:tcW w:w="8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360" w:type="dxa"/>
            <w:vAlign w:val="bottom"/>
            <w:gridSpan w:val="3"/>
            <w:shd w:val="clear" w:color="auto" w:fill="CFF2FA"/>
          </w:tcPr>
          <w:p>
            <w:pPr>
              <w:jc w:val="right"/>
              <w:ind w:right="40"/>
              <w:spacing w:after="0" w:line="216" w:lineRule="exact"/>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9"/>
                <w:szCs w:val="19"/>
                <w:b w:val="1"/>
                <w:bCs w:val="1"/>
                <w:color w:val="auto"/>
              </w:rPr>
              <w:t>Operating Margin Excluding Freight and Delivery Revenues</w:t>
            </w:r>
          </w:p>
        </w:tc>
        <w:tc>
          <w:tcPr>
            <w:tcW w:w="142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4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9"/>
          </w:tcPr>
          <w:p>
            <w:pPr>
              <w:jc w:val="center"/>
              <w:ind w:right="620"/>
              <w:spacing w:after="0"/>
              <w:rPr>
                <w:sz w:val="20"/>
                <w:szCs w:val="20"/>
                <w:color w:val="auto"/>
              </w:rPr>
            </w:pPr>
            <w:r>
              <w:rPr>
                <w:rFonts w:ascii="Arial" w:cs="Arial" w:eastAsia="Arial" w:hAnsi="Arial"/>
                <w:sz w:val="19"/>
                <w:szCs w:val="19"/>
                <w:color w:val="auto"/>
                <w:w w:val="92"/>
              </w:rPr>
              <w:t>Three Months Ended</w:t>
            </w: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left="644"/>
              <w:spacing w:after="0"/>
              <w:rPr>
                <w:sz w:val="20"/>
                <w:szCs w:val="20"/>
                <w:color w:val="auto"/>
              </w:rPr>
            </w:pPr>
            <w:r>
              <w:rPr>
                <w:rFonts w:ascii="Arial" w:cs="Arial" w:eastAsia="Arial" w:hAnsi="Arial"/>
                <w:sz w:val="19"/>
                <w:szCs w:val="19"/>
                <w:color w:val="auto"/>
                <w:w w:val="94"/>
              </w:rPr>
              <w:t>March 31,</w:t>
            </w: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7"/>
          </w:tcPr>
          <w:p>
            <w:pPr>
              <w:jc w:val="center"/>
              <w:ind w:right="264"/>
              <w:spacing w:after="0"/>
              <w:rPr>
                <w:sz w:val="20"/>
                <w:szCs w:val="20"/>
                <w:color w:val="auto"/>
              </w:rPr>
            </w:pPr>
            <w:r>
              <w:rPr>
                <w:rFonts w:ascii="Arial" w:cs="Arial" w:eastAsia="Arial" w:hAnsi="Arial"/>
                <w:sz w:val="19"/>
                <w:szCs w:val="19"/>
                <w:i w:val="1"/>
                <w:iCs w:val="1"/>
                <w:color w:val="auto"/>
                <w:w w:val="94"/>
              </w:rPr>
              <w:t>(Dollars in Thousands)</w:t>
            </w:r>
          </w:p>
        </w:tc>
        <w:tc>
          <w:tcPr>
            <w:tcW w:w="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2FA"/>
          </w:tcPr>
          <w:p>
            <w:pPr>
              <w:spacing w:after="0"/>
              <w:rPr>
                <w:sz w:val="20"/>
                <w:szCs w:val="20"/>
                <w:color w:val="auto"/>
              </w:rPr>
            </w:pPr>
            <w:r>
              <w:rPr>
                <w:rFonts w:ascii="Arial" w:cs="Arial" w:eastAsia="Arial" w:hAnsi="Arial"/>
                <w:sz w:val="19"/>
                <w:szCs w:val="19"/>
                <w:color w:val="auto"/>
              </w:rPr>
              <w:t>Earnings (Loss) from operations</w:t>
            </w:r>
          </w:p>
        </w:tc>
        <w:tc>
          <w:tcPr>
            <w:tcW w:w="1760" w:type="dxa"/>
            <w:vAlign w:val="bottom"/>
            <w:gridSpan w:val="3"/>
            <w:shd w:val="clear" w:color="auto" w:fill="CFF2FA"/>
          </w:tcPr>
          <w:p>
            <w:pPr>
              <w:jc w:val="right"/>
              <w:ind w:right="144"/>
              <w:spacing w:after="0"/>
              <w:rPr>
                <w:sz w:val="20"/>
                <w:szCs w:val="20"/>
                <w:color w:val="auto"/>
              </w:rPr>
            </w:pPr>
            <w:r>
              <w:rPr>
                <w:rFonts w:ascii="Arial" w:cs="Arial" w:eastAsia="Arial" w:hAnsi="Arial"/>
                <w:sz w:val="19"/>
                <w:szCs w:val="19"/>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25,571</w:t>
            </w:r>
          </w:p>
        </w:tc>
        <w:tc>
          <w:tcPr>
            <w:tcW w:w="4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500" w:type="dxa"/>
            <w:vAlign w:val="bottom"/>
            <w:gridSpan w:val="3"/>
            <w:shd w:val="clear" w:color="auto" w:fill="CFF2FA"/>
          </w:tcPr>
          <w:p>
            <w:pPr>
              <w:jc w:val="right"/>
              <w:ind w:right="24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(15,898)</w:t>
            </w:r>
          </w:p>
        </w:tc>
        <w:tc>
          <w:tcPr>
            <w:tcW w:w="2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9"/>
                <w:szCs w:val="19"/>
                <w:color w:val="auto"/>
              </w:rPr>
              <w:t>Total revenues</w:t>
            </w:r>
          </w:p>
        </w:tc>
        <w:tc>
          <w:tcPr>
            <w:tcW w:w="142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gridSpan w:val="2"/>
          </w:tcPr>
          <w:p>
            <w:pPr>
              <w:jc w:val="right"/>
              <w:ind w:right="144"/>
              <w:spacing w:after="0" w:line="216" w:lineRule="exact"/>
              <w:rPr>
                <w:sz w:val="20"/>
                <w:szCs w:val="20"/>
                <w:color w:val="auto"/>
              </w:rPr>
            </w:pPr>
            <w:r>
              <w:rPr>
                <w:rFonts w:ascii="Arial" w:cs="Arial" w:eastAsia="Arial" w:hAnsi="Arial"/>
                <w:sz w:val="19"/>
                <w:szCs w:val="19"/>
                <w:color w:val="auto"/>
                <w:w w:val="75"/>
              </w:rPr>
              <w:t>$</w:t>
            </w: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691,347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45"/>
              <w:spacing w:after="0" w:line="216" w:lineRule="exact"/>
              <w:rPr>
                <w:sz w:val="20"/>
                <w:szCs w:val="20"/>
                <w:color w:val="auto"/>
              </w:rPr>
            </w:pPr>
            <w:r>
              <w:rPr>
                <w:rFonts w:ascii="Arial" w:cs="Arial" w:eastAsia="Arial" w:hAnsi="Arial"/>
                <w:sz w:val="19"/>
                <w:szCs w:val="19"/>
                <w:color w:val="auto"/>
                <w:w w:val="75"/>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428,629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2FA"/>
          </w:tcPr>
          <w:p>
            <w:pPr>
              <w:spacing w:after="0"/>
              <w:rPr>
                <w:sz w:val="20"/>
                <w:szCs w:val="20"/>
                <w:color w:val="auto"/>
              </w:rPr>
            </w:pPr>
            <w:r>
              <w:rPr>
                <w:rFonts w:ascii="Arial" w:cs="Arial" w:eastAsia="Arial" w:hAnsi="Arial"/>
                <w:sz w:val="19"/>
                <w:szCs w:val="19"/>
                <w:color w:val="auto"/>
              </w:rPr>
              <w:t>Less: Freight and delivery revenues</w:t>
            </w:r>
          </w:p>
        </w:tc>
        <w:tc>
          <w:tcPr>
            <w:tcW w:w="1420" w:type="dxa"/>
            <w:vAlign w:val="bottom"/>
            <w:shd w:val="clear" w:color="auto" w:fill="CFF2FA"/>
          </w:tcPr>
          <w:p>
            <w:pPr>
              <w:spacing w:after="0"/>
              <w:rPr>
                <w:sz w:val="20"/>
                <w:szCs w:val="20"/>
                <w:color w:val="auto"/>
              </w:rPr>
            </w:pPr>
          </w:p>
        </w:tc>
        <w:tc>
          <w:tcPr>
            <w:tcW w:w="40" w:type="dxa"/>
            <w:vAlign w:val="bottom"/>
            <w:shd w:val="clear" w:color="auto" w:fill="CFF2FA"/>
          </w:tcPr>
          <w:p>
            <w:pPr>
              <w:spacing w:after="0"/>
              <w:rPr>
                <w:sz w:val="20"/>
                <w:szCs w:val="20"/>
                <w:color w:val="auto"/>
              </w:rPr>
            </w:pPr>
          </w:p>
        </w:tc>
        <w:tc>
          <w:tcPr>
            <w:tcW w:w="300" w:type="dxa"/>
            <w:vAlign w:val="bottom"/>
            <w:shd w:val="clear" w:color="auto" w:fill="CFF2FA"/>
          </w:tcPr>
          <w:p>
            <w:pPr>
              <w:spacing w:after="0"/>
              <w:rPr>
                <w:sz w:val="20"/>
                <w:szCs w:val="20"/>
                <w:color w:val="auto"/>
              </w:rPr>
            </w:pPr>
          </w:p>
        </w:tc>
        <w:tc>
          <w:tcPr>
            <w:tcW w:w="1400" w:type="dxa"/>
            <w:vAlign w:val="bottom"/>
            <w:gridSpan w:val="3"/>
            <w:shd w:val="clear" w:color="auto" w:fill="CFF2FA"/>
          </w:tcPr>
          <w:p>
            <w:pPr>
              <w:jc w:val="right"/>
              <w:ind w:right="160"/>
              <w:spacing w:after="0"/>
              <w:rPr>
                <w:sz w:val="20"/>
                <w:szCs w:val="20"/>
                <w:color w:val="auto"/>
              </w:rPr>
            </w:pPr>
            <w:r>
              <w:rPr>
                <w:rFonts w:ascii="Arial" w:cs="Arial" w:eastAsia="Arial" w:hAnsi="Arial"/>
                <w:sz w:val="19"/>
                <w:szCs w:val="19"/>
                <w:color w:val="auto"/>
              </w:rPr>
              <w:t>(59,471)</w:t>
            </w:r>
          </w:p>
        </w:tc>
        <w:tc>
          <w:tcPr>
            <w:tcW w:w="80" w:type="dxa"/>
            <w:vAlign w:val="bottom"/>
            <w:shd w:val="clear" w:color="auto" w:fill="CFF2FA"/>
          </w:tcPr>
          <w:p>
            <w:pPr>
              <w:spacing w:after="0"/>
              <w:rPr>
                <w:sz w:val="20"/>
                <w:szCs w:val="20"/>
                <w:color w:val="auto"/>
              </w:rPr>
            </w:pPr>
          </w:p>
        </w:tc>
        <w:tc>
          <w:tcPr>
            <w:tcW w:w="40" w:type="dxa"/>
            <w:vAlign w:val="bottom"/>
            <w:shd w:val="clear" w:color="auto" w:fill="CFF2FA"/>
          </w:tcPr>
          <w:p>
            <w:pPr>
              <w:spacing w:after="0"/>
              <w:rPr>
                <w:sz w:val="20"/>
                <w:szCs w:val="20"/>
                <w:color w:val="auto"/>
              </w:rPr>
            </w:pPr>
          </w:p>
        </w:tc>
        <w:tc>
          <w:tcPr>
            <w:tcW w:w="380" w:type="dxa"/>
            <w:vAlign w:val="bottom"/>
            <w:shd w:val="clear" w:color="auto" w:fill="CFF2FA"/>
          </w:tcPr>
          <w:p>
            <w:pPr>
              <w:spacing w:after="0"/>
              <w:rPr>
                <w:sz w:val="20"/>
                <w:szCs w:val="20"/>
                <w:color w:val="auto"/>
              </w:rPr>
            </w:pPr>
          </w:p>
        </w:tc>
        <w:tc>
          <w:tcPr>
            <w:tcW w:w="116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(48,951)</w:t>
            </w:r>
          </w:p>
        </w:tc>
        <w:tc>
          <w:tcPr>
            <w:tcW w:w="2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FF2FA"/>
            </w:tcBorders>
          </w:tcPr>
          <w:p>
            <w:pPr>
              <w:spacing w:after="0"/>
              <w:rPr>
                <w:sz w:val="20"/>
                <w:szCs w:val="20"/>
                <w:color w:val="auto"/>
              </w:rPr>
            </w:pPr>
            <w:r>
              <w:rPr>
                <w:rFonts w:ascii="Arial" w:cs="Arial" w:eastAsia="Arial" w:hAnsi="Arial"/>
                <w:sz w:val="19"/>
                <w:szCs w:val="19"/>
                <w:color w:val="auto"/>
              </w:rPr>
              <w:t>Net sales</w:t>
            </w:r>
          </w:p>
        </w:tc>
        <w:tc>
          <w:tcPr>
            <w:tcW w:w="1420" w:type="dxa"/>
            <w:vAlign w:val="bottom"/>
            <w:tcBorders>
              <w:bottom w:val="single" w:sz="8" w:color="CFF2FA"/>
            </w:tcBorders>
          </w:tcPr>
          <w:p>
            <w:pPr>
              <w:spacing w:after="0"/>
              <w:rPr>
                <w:sz w:val="23"/>
                <w:szCs w:val="23"/>
                <w:color w:val="auto"/>
              </w:rPr>
            </w:pPr>
          </w:p>
        </w:tc>
        <w:tc>
          <w:tcPr>
            <w:tcW w:w="340" w:type="dxa"/>
            <w:vAlign w:val="bottom"/>
            <w:tcBorders>
              <w:top w:val="single" w:sz="8" w:color="auto"/>
              <w:bottom w:val="single" w:sz="8" w:color="auto"/>
            </w:tcBorders>
            <w:gridSpan w:val="2"/>
          </w:tcPr>
          <w:p>
            <w:pPr>
              <w:jc w:val="right"/>
              <w:ind w:right="144"/>
              <w:spacing w:after="0"/>
              <w:rPr>
                <w:sz w:val="20"/>
                <w:szCs w:val="20"/>
                <w:color w:val="auto"/>
              </w:rPr>
            </w:pPr>
            <w:r>
              <w:rPr>
                <w:rFonts w:ascii="Arial" w:cs="Arial" w:eastAsia="Arial" w:hAnsi="Arial"/>
                <w:sz w:val="19"/>
                <w:szCs w:val="19"/>
                <w:color w:val="auto"/>
                <w:w w:val="7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631,876</w:t>
            </w:r>
          </w:p>
        </w:tc>
        <w:tc>
          <w:tcPr>
            <w:tcW w:w="40" w:type="dxa"/>
            <w:vAlign w:val="bottom"/>
            <w:tcBorders>
              <w:bottom w:val="single" w:sz="8" w:color="CFF2FA"/>
            </w:tcBorders>
          </w:tcPr>
          <w:p>
            <w:pPr>
              <w:spacing w:after="0"/>
              <w:rPr>
                <w:sz w:val="23"/>
                <w:szCs w:val="23"/>
                <w:color w:val="auto"/>
              </w:rPr>
            </w:pPr>
          </w:p>
        </w:tc>
        <w:tc>
          <w:tcPr>
            <w:tcW w:w="180" w:type="dxa"/>
            <w:vAlign w:val="bottom"/>
            <w:tcBorders>
              <w:bottom w:val="single" w:sz="8" w:color="CFF2FA"/>
            </w:tcBorders>
          </w:tcPr>
          <w:p>
            <w:pPr>
              <w:spacing w:after="0"/>
              <w:rPr>
                <w:sz w:val="23"/>
                <w:szCs w:val="23"/>
                <w:color w:val="auto"/>
              </w:rPr>
            </w:pPr>
          </w:p>
        </w:tc>
        <w:tc>
          <w:tcPr>
            <w:tcW w:w="80" w:type="dxa"/>
            <w:vAlign w:val="bottom"/>
            <w:tcBorders>
              <w:bottom w:val="single" w:sz="8" w:color="CFF2FA"/>
            </w:tcBorders>
          </w:tcPr>
          <w:p>
            <w:pPr>
              <w:spacing w:after="0"/>
              <w:rPr>
                <w:sz w:val="23"/>
                <w:szCs w:val="23"/>
                <w:color w:val="auto"/>
              </w:rPr>
            </w:pPr>
          </w:p>
        </w:tc>
        <w:tc>
          <w:tcPr>
            <w:tcW w:w="42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379,678</w:t>
            </w:r>
          </w:p>
        </w:tc>
        <w:tc>
          <w:tcPr>
            <w:tcW w:w="60" w:type="dxa"/>
            <w:vAlign w:val="bottom"/>
            <w:tcBorders>
              <w:bottom w:val="single" w:sz="8" w:color="CFF2FA"/>
            </w:tcBorders>
          </w:tcPr>
          <w:p>
            <w:pPr>
              <w:spacing w:after="0"/>
              <w:rPr>
                <w:sz w:val="23"/>
                <w:szCs w:val="23"/>
                <w:color w:val="auto"/>
              </w:rPr>
            </w:pPr>
          </w:p>
        </w:tc>
        <w:tc>
          <w:tcPr>
            <w:tcW w:w="200" w:type="dxa"/>
            <w:vAlign w:val="bottom"/>
            <w:tcBorders>
              <w:bottom w:val="single" w:sz="8" w:color="CFF2FA"/>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2FA"/>
          </w:tcPr>
          <w:p>
            <w:pPr>
              <w:spacing w:after="0" w:line="216" w:lineRule="exact"/>
              <w:rPr>
                <w:sz w:val="20"/>
                <w:szCs w:val="20"/>
                <w:color w:val="auto"/>
              </w:rPr>
            </w:pPr>
            <w:r>
              <w:rPr>
                <w:rFonts w:ascii="Arial" w:cs="Arial" w:eastAsia="Arial" w:hAnsi="Arial"/>
                <w:sz w:val="19"/>
                <w:szCs w:val="19"/>
                <w:color w:val="auto"/>
              </w:rPr>
              <w:t>Operating margin excluding freight and delivery revenues</w:t>
            </w:r>
          </w:p>
        </w:tc>
        <w:tc>
          <w:tcPr>
            <w:tcW w:w="142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1400" w:type="dxa"/>
            <w:vAlign w:val="bottom"/>
            <w:gridSpan w:val="3"/>
            <w:shd w:val="clear" w:color="auto" w:fill="CFF2FA"/>
          </w:tcPr>
          <w:p>
            <w:pPr>
              <w:jc w:val="right"/>
              <w:ind w:right="60"/>
              <w:spacing w:after="0" w:line="216" w:lineRule="exact"/>
              <w:rPr>
                <w:sz w:val="20"/>
                <w:szCs w:val="20"/>
                <w:color w:val="auto"/>
              </w:rPr>
            </w:pPr>
            <w:r>
              <w:rPr>
                <w:rFonts w:ascii="Arial" w:cs="Arial" w:eastAsia="Arial" w:hAnsi="Arial"/>
                <w:sz w:val="19"/>
                <w:szCs w:val="19"/>
                <w:color w:val="auto"/>
              </w:rPr>
              <w:t>4.0%</w:t>
            </w:r>
          </w:p>
        </w:tc>
        <w:tc>
          <w:tcPr>
            <w:tcW w:w="8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360" w:type="dxa"/>
            <w:vAlign w:val="bottom"/>
            <w:gridSpan w:val="3"/>
            <w:shd w:val="clear" w:color="auto" w:fill="CFF2FA"/>
          </w:tcPr>
          <w:p>
            <w:pPr>
              <w:jc w:val="right"/>
              <w:ind w:right="40"/>
              <w:spacing w:after="0" w:line="216" w:lineRule="exact"/>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0"/>
        </w:trPr>
        <w:tc>
          <w:tcPr>
            <w:tcW w:w="6400" w:type="dxa"/>
            <w:vAlign w:val="bottom"/>
            <w:tcBorders>
              <w:top w:val="single" w:sz="8" w:color="CFF2FA"/>
            </w:tcBorders>
          </w:tcPr>
          <w:p>
            <w:pPr>
              <w:spacing w:after="0" w:line="20" w:lineRule="exact"/>
              <w:rPr>
                <w:sz w:val="1"/>
                <w:szCs w:val="1"/>
                <w:color w:val="auto"/>
              </w:rPr>
            </w:pPr>
          </w:p>
        </w:tc>
        <w:tc>
          <w:tcPr>
            <w:tcW w:w="142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24 of 49</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earnings per diluted share impact of acquisition-related expenses, net, related to the TXI acquisition, represents a non-GAAP measure. It is presented for investors and analysts to evaluate and forecast the Corporation’s ongoing financial results, as acquisition-related expenses, net, related to TXI are nonrecurring.</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The following shows the calculation of the impact of acquisition-related expenses, net, related to the combination with TXI on the loss per diluted share for the quarter ended March 31, 2014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shd w:val="clear" w:color="auto" w:fill="CFF0FC"/>
          </w:tcPr>
          <w:p>
            <w:pPr>
              <w:spacing w:after="0"/>
              <w:rPr>
                <w:sz w:val="20"/>
                <w:szCs w:val="20"/>
                <w:color w:val="auto"/>
              </w:rPr>
            </w:pPr>
            <w:r>
              <w:rPr>
                <w:rFonts w:ascii="Arial" w:cs="Arial" w:eastAsia="Arial" w:hAnsi="Arial"/>
                <w:sz w:val="19"/>
                <w:szCs w:val="19"/>
                <w:color w:val="auto"/>
              </w:rPr>
              <w:t>Acquisition-related expenses, net, related to the business combination with TXI</w:t>
            </w:r>
          </w:p>
        </w:tc>
        <w:tc>
          <w:tcPr>
            <w:tcW w:w="2360" w:type="dxa"/>
            <w:vAlign w:val="bottom"/>
            <w:gridSpan w:val="2"/>
            <w:shd w:val="clear" w:color="auto" w:fill="CFF0FC"/>
          </w:tcPr>
          <w:p>
            <w:pPr>
              <w:jc w:val="right"/>
              <w:ind w:right="380"/>
              <w:spacing w:after="0"/>
              <w:rPr>
                <w:sz w:val="20"/>
                <w:szCs w:val="20"/>
                <w:color w:val="auto"/>
              </w:rPr>
            </w:pPr>
            <w:r>
              <w:rPr>
                <w:rFonts w:ascii="Arial" w:cs="Arial" w:eastAsia="Arial" w:hAnsi="Arial"/>
                <w:sz w:val="19"/>
                <w:szCs w:val="19"/>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9,458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r>
              <w:rPr>
                <w:rFonts w:ascii="Arial" w:cs="Arial" w:eastAsia="Arial" w:hAnsi="Arial"/>
                <w:sz w:val="19"/>
                <w:szCs w:val="19"/>
                <w:color w:val="auto"/>
              </w:rPr>
              <w:t>Income tax benefit</w:t>
            </w:r>
          </w:p>
        </w:tc>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(3,725)</w:t>
            </w:r>
          </w:p>
        </w:tc>
        <w:tc>
          <w:tcPr>
            <w:tcW w:w="0" w:type="dxa"/>
            <w:vAlign w:val="bottom"/>
          </w:tcPr>
          <w:p>
            <w:pPr>
              <w:spacing w:after="0"/>
              <w:rPr>
                <w:sz w:val="1"/>
                <w:szCs w:val="1"/>
                <w:color w:val="auto"/>
              </w:rPr>
            </w:pPr>
          </w:p>
        </w:tc>
      </w:tr>
      <w:tr>
        <w:trPr>
          <w:trHeight w:val="213"/>
        </w:trPr>
        <w:tc>
          <w:tcPr>
            <w:tcW w:w="8020" w:type="dxa"/>
            <w:vAlign w:val="bottom"/>
            <w:tcBorders>
              <w:top w:val="single" w:sz="8" w:color="CFF0FC"/>
            </w:tcBorders>
            <w:shd w:val="clear" w:color="auto" w:fill="CFF0FC"/>
          </w:tcPr>
          <w:p>
            <w:pPr>
              <w:spacing w:after="0" w:line="214" w:lineRule="exact"/>
              <w:rPr>
                <w:sz w:val="20"/>
                <w:szCs w:val="20"/>
                <w:color w:val="auto"/>
              </w:rPr>
            </w:pPr>
            <w:r>
              <w:rPr>
                <w:rFonts w:ascii="Arial" w:cs="Arial" w:eastAsia="Arial" w:hAnsi="Arial"/>
                <w:sz w:val="19"/>
                <w:szCs w:val="19"/>
                <w:color w:val="auto"/>
              </w:rPr>
              <w:t>After-tax impact of acquisition-related expenses, net, related to the</w:t>
            </w:r>
          </w:p>
        </w:tc>
        <w:tc>
          <w:tcPr>
            <w:tcW w:w="19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0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business combination with TXI</w:t>
            </w:r>
          </w:p>
        </w:tc>
        <w:tc>
          <w:tcPr>
            <w:tcW w:w="2360" w:type="dxa"/>
            <w:vAlign w:val="bottom"/>
            <w:gridSpan w:val="2"/>
            <w:shd w:val="clear" w:color="auto" w:fill="CFF0FC"/>
          </w:tcPr>
          <w:p>
            <w:pPr>
              <w:jc w:val="right"/>
              <w:ind w:right="380"/>
              <w:spacing w:after="0"/>
              <w:rPr>
                <w:sz w:val="20"/>
                <w:szCs w:val="20"/>
                <w:color w:val="auto"/>
              </w:rPr>
            </w:pPr>
            <w:r>
              <w:rPr>
                <w:rFonts w:ascii="Arial" w:cs="Arial" w:eastAsia="Arial" w:hAnsi="Arial"/>
                <w:sz w:val="19"/>
                <w:szCs w:val="19"/>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5,733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9"/>
                <w:szCs w:val="19"/>
                <w:color w:val="auto"/>
              </w:rPr>
              <w:t>Diluted average number of common shares outstanding</w:t>
            </w:r>
          </w:p>
        </w:tc>
        <w:tc>
          <w:tcPr>
            <w:tcW w:w="19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20" w:type="dxa"/>
            <w:vAlign w:val="bottom"/>
            <w:tcBorders>
              <w:bottom w:val="single" w:sz="8" w:color="CFF0FC"/>
            </w:tcBorders>
            <w:vMerge w:val="continue"/>
          </w:tcPr>
          <w:p>
            <w:pPr>
              <w:spacing w:after="0"/>
              <w:rPr>
                <w:sz w:val="22"/>
                <w:szCs w:val="22"/>
                <w:color w:val="auto"/>
              </w:rPr>
            </w:pPr>
          </w:p>
        </w:tc>
        <w:tc>
          <w:tcPr>
            <w:tcW w:w="19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46,315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020" w:type="dxa"/>
            <w:vAlign w:val="bottom"/>
            <w:shd w:val="clear" w:color="auto" w:fill="CFF0FC"/>
          </w:tcPr>
          <w:p>
            <w:pPr>
              <w:spacing w:after="0" w:line="200" w:lineRule="exact"/>
              <w:rPr>
                <w:sz w:val="20"/>
                <w:szCs w:val="20"/>
                <w:color w:val="auto"/>
              </w:rPr>
            </w:pPr>
            <w:r>
              <w:rPr>
                <w:rFonts w:ascii="Arial" w:cs="Arial" w:eastAsia="Arial" w:hAnsi="Arial"/>
                <w:sz w:val="19"/>
                <w:szCs w:val="19"/>
                <w:color w:val="auto"/>
              </w:rPr>
              <w:t>Per diluted share impact of acquisition-related expenses, net, related</w:t>
            </w:r>
          </w:p>
        </w:tc>
        <w:tc>
          <w:tcPr>
            <w:tcW w:w="19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to the business combination with TXI</w:t>
            </w:r>
          </w:p>
        </w:tc>
        <w:tc>
          <w:tcPr>
            <w:tcW w:w="2360" w:type="dxa"/>
            <w:vAlign w:val="bottom"/>
            <w:gridSpan w:val="2"/>
            <w:shd w:val="clear" w:color="auto" w:fill="CFF0FC"/>
          </w:tcPr>
          <w:p>
            <w:pPr>
              <w:jc w:val="right"/>
              <w:ind w:right="380"/>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(0.12)</w:t>
            </w:r>
          </w:p>
        </w:tc>
        <w:tc>
          <w:tcPr>
            <w:tcW w:w="0" w:type="dxa"/>
            <w:vAlign w:val="bottom"/>
          </w:tcPr>
          <w:p>
            <w:pPr>
              <w:spacing w:after="0"/>
              <w:rPr>
                <w:sz w:val="1"/>
                <w:szCs w:val="1"/>
                <w:color w:val="auto"/>
              </w:rPr>
            </w:pP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Corporation presents the increase in heritage aggregates product line shipments for the West Group and the Aggregates business excluding the three operations that were divested in the third quarter of 2014. These non-GAAP measures are presented for investors and analysts to have a more comparable analysis of shipment trends based on the operations owned by the Corporation for the quarter ended March 31, 2015. The following shows the calculation of the heritage aggregates product line shipments for the West Group and the Aggregates business for the quarter ended March 31, 2014, excluding shipments from the operations divested in the third quarter 2014 (shipment tons in thousands).</w:t>
      </w:r>
    </w:p>
    <w:tbl>
      <w:tblPr>
        <w:tblLayout w:type="fixed"/>
        <w:tblInd w:w="0" w:type="dxa"/>
        <w:tblCellMar>
          <w:top w:w="0" w:type="dxa"/>
          <w:left w:w="0" w:type="dxa"/>
          <w:bottom w:w="0" w:type="dxa"/>
          <w:right w:w="0" w:type="dxa"/>
        </w:tblCellMar>
      </w:tblPr>
      <w:tr>
        <w:trPr>
          <w:trHeight w:val="196"/>
        </w:trPr>
        <w:tc>
          <w:tcPr>
            <w:tcW w:w="8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w w:val="97"/>
              </w:rPr>
              <w:t>Aggregates</w:t>
            </w:r>
          </w:p>
        </w:tc>
        <w:tc>
          <w:tcPr>
            <w:tcW w:w="0" w:type="dxa"/>
            <w:vAlign w:val="bottom"/>
          </w:tcPr>
          <w:p>
            <w:pPr>
              <w:spacing w:after="0"/>
              <w:rPr>
                <w:sz w:val="1"/>
                <w:szCs w:val="1"/>
                <w:color w:val="auto"/>
              </w:rPr>
            </w:pPr>
          </w:p>
        </w:tc>
      </w:tr>
      <w:tr>
        <w:trPr>
          <w:trHeight w:val="233"/>
        </w:trPr>
        <w:tc>
          <w:tcPr>
            <w:tcW w:w="892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West Group</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7"/>
        </w:trPr>
        <w:tc>
          <w:tcPr>
            <w:tcW w:w="8920" w:type="dxa"/>
            <w:vAlign w:val="bottom"/>
          </w:tcPr>
          <w:p>
            <w:pPr>
              <w:spacing w:after="0"/>
              <w:rPr>
                <w:sz w:val="20"/>
                <w:szCs w:val="20"/>
                <w:color w:val="auto"/>
              </w:rPr>
            </w:pPr>
            <w:r>
              <w:rPr>
                <w:rFonts w:ascii="Arial" w:cs="Arial" w:eastAsia="Arial" w:hAnsi="Arial"/>
                <w:sz w:val="18"/>
                <w:szCs w:val="18"/>
                <w:color w:val="auto"/>
              </w:rPr>
              <w:t>Reported heritage aggregates product line shipments for quarter ended March 31, 2014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Less: aggregates product line shipments for three operations divested in third quarter of 2014</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57"/>
        </w:trPr>
        <w:tc>
          <w:tcPr>
            <w:tcW w:w="8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heritage aggregates product line shipments for quarter ended March 31, 2014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28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92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Reported heritage aggregates product line shipments for quarter ended March 31, 2015</w:t>
            </w: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11,332</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25,523</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Increase in 2015 heritage aggregates product line shipments over adjusted shipments</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9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920" w:type="dxa"/>
            <w:vAlign w:val="bottom"/>
          </w:tcPr>
          <w:p>
            <w:pPr>
              <w:ind w:left="240"/>
              <w:spacing w:after="0"/>
              <w:rPr>
                <w:sz w:val="20"/>
                <w:szCs w:val="20"/>
                <w:color w:val="auto"/>
              </w:rPr>
            </w:pPr>
            <w:r>
              <w:rPr>
                <w:rFonts w:ascii="Arial" w:cs="Arial" w:eastAsia="Arial" w:hAnsi="Arial"/>
                <w:sz w:val="18"/>
                <w:szCs w:val="18"/>
                <w:color w:val="auto"/>
              </w:rPr>
              <w:t>for quarter ended March 31, 2014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25 of 49</w:t>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Incremental gross margin (excluding freight and delivery revenues) is a non-GAAP measure. The Corporation presents this metric to enhance analysts and investors’ understanding of the impact of increased shipments on profitability. Due to the significant amount of fixed costs, gross margin (excluding freight and delivery revenues) typically increases at a disproportionate rate in periods of increased shipments. The following shows the calculation of incremental gross margin (excluding freight and delivery revenues) for the heritage Aggregates business for the quarter ended March 31, 2015 (dollars in thousands).</w:t>
      </w:r>
    </w:p>
    <w:p>
      <w:pPr>
        <w:sectPr>
          <w:pgSz w:w="11900" w:h="16838" w:orient="portrait"/>
          <w:cols w:equalWidth="0" w:num="1">
            <w:col w:w="11420"/>
          </w:cols>
          <w:pgMar w:left="240" w:top="121"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Heritage Aggregates business net sales for the quarter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250430" cy="150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Heritage Aggregates business net sales for the quarter ended March 31, 2014</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Incremental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250430"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512" w:hanging="512"/>
        <w:spacing w:after="0"/>
        <w:tabs>
          <w:tab w:leader="none" w:pos="5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358,226</w:t>
      </w:r>
    </w:p>
    <w:p>
      <w:pPr>
        <w:spacing w:after="0" w:line="50" w:lineRule="exact"/>
        <w:rPr>
          <w:rFonts w:ascii="Arial" w:cs="Arial" w:eastAsia="Arial" w:hAnsi="Arial"/>
          <w:sz w:val="17"/>
          <w:szCs w:val="17"/>
          <w:color w:val="auto"/>
        </w:rPr>
      </w:pPr>
    </w:p>
    <w:p>
      <w:pPr>
        <w:ind w:left="512"/>
        <w:spacing w:after="0"/>
        <w:rPr>
          <w:rFonts w:ascii="Arial" w:cs="Arial" w:eastAsia="Arial" w:hAnsi="Arial"/>
          <w:sz w:val="17"/>
          <w:szCs w:val="17"/>
          <w:color w:val="auto"/>
        </w:rPr>
      </w:pPr>
      <w:r>
        <w:rPr>
          <w:rFonts w:ascii="Arial" w:cs="Arial" w:eastAsia="Arial" w:hAnsi="Arial"/>
          <w:sz w:val="17"/>
          <w:szCs w:val="17"/>
          <w:color w:val="auto"/>
        </w:rPr>
        <w:t>322,330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35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5" w:lineRule="exact"/>
        <w:rPr>
          <w:sz w:val="20"/>
          <w:szCs w:val="20"/>
          <w:color w:val="auto"/>
        </w:rPr>
      </w:pPr>
    </w:p>
    <w:p>
      <w:pPr>
        <w:ind w:left="612" w:hanging="612"/>
        <w:spacing w:after="0"/>
        <w:tabs>
          <w:tab w:leader="none" w:pos="6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35,896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35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9348" w:space="720"/>
            <w:col w:w="1352"/>
          </w:cols>
          <w:pgMar w:left="240" w:top="121" w:right="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Heritage Aggregates business gross profit for the quarter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250430" cy="150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Heritage Aggregates business gross profit for the quarter ended March 31, 2014</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Incremental gross profit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612" w:hanging="612"/>
        <w:spacing w:after="0"/>
        <w:tabs>
          <w:tab w:leader="none" w:pos="6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34,892</w:t>
      </w:r>
    </w:p>
    <w:p>
      <w:pPr>
        <w:spacing w:after="0" w:line="50" w:lineRule="exact"/>
        <w:rPr>
          <w:rFonts w:ascii="Arial" w:cs="Arial" w:eastAsia="Arial" w:hAnsi="Arial"/>
          <w:sz w:val="17"/>
          <w:szCs w:val="17"/>
          <w:color w:val="auto"/>
        </w:rPr>
      </w:pPr>
    </w:p>
    <w:p>
      <w:pPr>
        <w:ind w:left="712"/>
        <w:spacing w:after="0"/>
        <w:rPr>
          <w:rFonts w:ascii="Arial" w:cs="Arial" w:eastAsia="Arial" w:hAnsi="Arial"/>
          <w:sz w:val="17"/>
          <w:szCs w:val="17"/>
          <w:color w:val="auto"/>
        </w:rPr>
      </w:pPr>
      <w:r>
        <w:rPr>
          <w:rFonts w:ascii="Arial" w:cs="Arial" w:eastAsia="Arial" w:hAnsi="Arial"/>
          <w:sz w:val="17"/>
          <w:szCs w:val="17"/>
          <w:color w:val="auto"/>
        </w:rPr>
        <w:t>7,587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35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5" w:lineRule="exact"/>
        <w:rPr>
          <w:sz w:val="20"/>
          <w:szCs w:val="20"/>
          <w:color w:val="auto"/>
        </w:rPr>
      </w:pPr>
    </w:p>
    <w:p>
      <w:pPr>
        <w:ind w:left="612" w:hanging="612"/>
        <w:spacing w:after="0"/>
        <w:tabs>
          <w:tab w:leader="none" w:pos="6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27,305</w:t>
      </w:r>
    </w:p>
    <w:p>
      <w:pPr>
        <w:spacing w:after="0" w:line="45" w:lineRule="exact"/>
        <w:rPr>
          <w:sz w:val="20"/>
          <w:szCs w:val="20"/>
          <w:color w:val="auto"/>
        </w:rPr>
      </w:pPr>
    </w:p>
    <w:p>
      <w:pPr>
        <w:sectPr>
          <w:pgSz w:w="11900" w:h="16838" w:orient="portrait"/>
          <w:cols w:equalWidth="0" w:num="2">
            <w:col w:w="9348" w:space="720"/>
            <w:col w:w="1352"/>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10060" w:type="dxa"/>
            <w:vAlign w:val="bottom"/>
            <w:tcBorders>
              <w:top w:val="single" w:sz="8" w:color="CFF0FC"/>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CFF0FC"/>
            </w:tcBorders>
            <w:shd w:val="clear" w:color="auto" w:fill="CFF0FC"/>
          </w:tcPr>
          <w:p>
            <w:pPr>
              <w:spacing w:after="0"/>
              <w:rPr>
                <w:sz w:val="22"/>
                <w:szCs w:val="22"/>
                <w:color w:val="auto"/>
              </w:rPr>
            </w:pPr>
          </w:p>
        </w:tc>
      </w:tr>
      <w:tr>
        <w:trPr>
          <w:trHeight w:val="237"/>
        </w:trPr>
        <w:tc>
          <w:tcPr>
            <w:tcW w:w="10060" w:type="dxa"/>
            <w:vAlign w:val="bottom"/>
          </w:tcPr>
          <w:p>
            <w:pPr>
              <w:spacing w:after="0"/>
              <w:rPr>
                <w:sz w:val="20"/>
                <w:szCs w:val="20"/>
                <w:color w:val="auto"/>
              </w:rPr>
            </w:pPr>
            <w:r>
              <w:rPr>
                <w:rFonts w:ascii="Arial" w:cs="Arial" w:eastAsia="Arial" w:hAnsi="Arial"/>
                <w:sz w:val="19"/>
                <w:szCs w:val="19"/>
                <w:color w:val="auto"/>
              </w:rPr>
              <w:t>Incremental gross margin (excluding freight and delivery revenues) for quarter ended March 31, 2015</w:t>
            </w:r>
          </w:p>
        </w:tc>
        <w:tc>
          <w:tcPr>
            <w:tcW w:w="1360" w:type="dxa"/>
            <w:vAlign w:val="bottom"/>
            <w:gridSpan w:val="2"/>
          </w:tcPr>
          <w:p>
            <w:pPr>
              <w:jc w:val="right"/>
              <w:ind w:right="40"/>
              <w:spacing w:after="0"/>
              <w:rPr>
                <w:sz w:val="20"/>
                <w:szCs w:val="20"/>
                <w:color w:val="auto"/>
              </w:rPr>
            </w:pPr>
            <w:r>
              <w:rPr>
                <w:rFonts w:ascii="Arial" w:cs="Arial" w:eastAsia="Arial" w:hAnsi="Arial"/>
                <w:sz w:val="19"/>
                <w:szCs w:val="19"/>
                <w:color w:val="auto"/>
              </w:rPr>
              <w:t>76%</w:t>
            </w:r>
          </w:p>
        </w:tc>
      </w:tr>
      <w:tr>
        <w:trPr>
          <w:trHeight w:val="20"/>
        </w:trPr>
        <w:tc>
          <w:tcPr>
            <w:tcW w:w="10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Significant items for the quarter ended March 31, 2015 (unless noted, all comparisons are versus the prior-year quarter):</w:t>
      </w:r>
    </w:p>
    <w:p>
      <w:pPr>
        <w:spacing w:after="0" w:line="110" w:lineRule="exact"/>
        <w:rPr>
          <w:sz w:val="20"/>
          <w:szCs w:val="20"/>
          <w:color w:val="auto"/>
        </w:rPr>
      </w:pPr>
    </w:p>
    <w:p>
      <w:pPr>
        <w:ind w:left="760" w:right="820" w:hanging="375"/>
        <w:spacing w:after="0" w:line="254" w:lineRule="auto"/>
        <w:tabs>
          <w:tab w:leader="none" w:pos="7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Earnings per diluted share of $0.07 compared with a loss of $0.47 (which includes a $0.12 per diluted share charge for business development expenses related to the TXI acquisition)</w:t>
      </w:r>
    </w:p>
    <w:p>
      <w:pPr>
        <w:ind w:left="760" w:hanging="375"/>
        <w:spacing w:after="0"/>
        <w:tabs>
          <w:tab w:leader="none" w:pos="7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Consolidated net sales of $631.9 million compared with $379.7 million, an increase of 66%</w:t>
      </w:r>
    </w:p>
    <w:p>
      <w:pPr>
        <w:spacing w:after="0" w:line="5" w:lineRule="exact"/>
        <w:rPr>
          <w:rFonts w:ascii="Arial" w:cs="Arial" w:eastAsia="Arial" w:hAnsi="Arial"/>
          <w:sz w:val="19"/>
          <w:szCs w:val="19"/>
          <w:color w:val="auto"/>
        </w:rPr>
      </w:pPr>
    </w:p>
    <w:p>
      <w:pPr>
        <w:ind w:left="760" w:hanging="375"/>
        <w:spacing w:after="0"/>
        <w:tabs>
          <w:tab w:leader="none" w:pos="7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Aggregates product line volume increase of 17.1%; aggregates product line price increase of 11.4%</w:t>
      </w:r>
    </w:p>
    <w:p>
      <w:pPr>
        <w:spacing w:after="0" w:line="3" w:lineRule="exact"/>
        <w:rPr>
          <w:sz w:val="20"/>
          <w:szCs w:val="20"/>
          <w:color w:val="auto"/>
        </w:rPr>
      </w:pPr>
    </w:p>
    <w:p>
      <w:pPr>
        <w:ind w:left="1500" w:right="80" w:hanging="353"/>
        <w:spacing w:after="0" w:line="237" w:lineRule="auto"/>
        <w:tabs>
          <w:tab w:leader="none" w:pos="1500" w:val="left"/>
        </w:tabs>
        <w:numPr>
          <w:ilvl w:val="1"/>
          <w:numId w:val="24"/>
        </w:numPr>
        <w:rPr>
          <w:rFonts w:ascii="Courier New" w:cs="Courier New" w:eastAsia="Courier New" w:hAnsi="Courier New"/>
          <w:sz w:val="19"/>
          <w:szCs w:val="19"/>
          <w:color w:val="auto"/>
        </w:rPr>
      </w:pPr>
      <w:r>
        <w:rPr>
          <w:rFonts w:ascii="Arial" w:cs="Arial" w:eastAsia="Arial" w:hAnsi="Arial"/>
          <w:sz w:val="19"/>
          <w:szCs w:val="19"/>
          <w:color w:val="auto"/>
        </w:rPr>
        <w:t>Heritage aggregates product line volume increase of 7.0%, excluding shipments from 2014 divestitures from prior-year quarter; reported heritage volume increase of 3.7%;</w:t>
      </w:r>
    </w:p>
    <w:p>
      <w:pPr>
        <w:spacing w:after="0" w:line="1" w:lineRule="exact"/>
        <w:rPr>
          <w:rFonts w:ascii="Courier New" w:cs="Courier New" w:eastAsia="Courier New" w:hAnsi="Courier New"/>
          <w:sz w:val="19"/>
          <w:szCs w:val="19"/>
          <w:color w:val="auto"/>
        </w:rPr>
      </w:pPr>
    </w:p>
    <w:p>
      <w:pPr>
        <w:ind w:left="1500" w:hanging="353"/>
        <w:spacing w:after="0" w:line="228" w:lineRule="auto"/>
        <w:tabs>
          <w:tab w:leader="none" w:pos="1500" w:val="left"/>
        </w:tabs>
        <w:numPr>
          <w:ilvl w:val="1"/>
          <w:numId w:val="24"/>
        </w:numPr>
        <w:rPr>
          <w:rFonts w:ascii="Courier New" w:cs="Courier New" w:eastAsia="Courier New" w:hAnsi="Courier New"/>
          <w:sz w:val="19"/>
          <w:szCs w:val="19"/>
          <w:color w:val="auto"/>
        </w:rPr>
      </w:pPr>
      <w:r>
        <w:rPr>
          <w:rFonts w:ascii="Arial" w:cs="Arial" w:eastAsia="Arial" w:hAnsi="Arial"/>
          <w:sz w:val="19"/>
          <w:szCs w:val="19"/>
          <w:color w:val="auto"/>
        </w:rPr>
        <w:t>Heritage aggregates product line price increase of 10.5%</w:t>
      </w:r>
    </w:p>
    <w:p>
      <w:pPr>
        <w:ind w:left="760" w:hanging="375"/>
        <w:spacing w:after="0"/>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Cement business net sales of $96.6 million, earnings from operations of $12.2 million and EBITDA of $27.5 million</w:t>
      </w:r>
    </w:p>
    <w:p>
      <w:pPr>
        <w:spacing w:after="0" w:line="5" w:lineRule="exact"/>
        <w:rPr>
          <w:rFonts w:ascii="Arial" w:cs="Arial" w:eastAsia="Arial" w:hAnsi="Arial"/>
          <w:sz w:val="19"/>
          <w:szCs w:val="19"/>
          <w:color w:val="auto"/>
        </w:rPr>
      </w:pPr>
    </w:p>
    <w:p>
      <w:pPr>
        <w:ind w:left="760" w:hanging="375"/>
        <w:spacing w:after="0"/>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Magnesia Specialties net sales of $58.8 million and earnings from operations of $17.8 million</w:t>
      </w:r>
    </w:p>
    <w:p>
      <w:pPr>
        <w:spacing w:after="0" w:line="5" w:lineRule="exact"/>
        <w:rPr>
          <w:rFonts w:ascii="Arial" w:cs="Arial" w:eastAsia="Arial" w:hAnsi="Arial"/>
          <w:sz w:val="19"/>
          <w:szCs w:val="19"/>
          <w:color w:val="auto"/>
        </w:rPr>
      </w:pPr>
    </w:p>
    <w:p>
      <w:pPr>
        <w:ind w:left="760" w:right="240" w:hanging="375"/>
        <w:spacing w:after="0" w:line="245" w:lineRule="auto"/>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Heritage consolidated gross margin (excluding freight and delivery revenues) of 12.5%, up 570 basis points; consolidated gross margin (excluding freight and delivery revenues) of 11.8%, up 500 basis points</w:t>
      </w:r>
    </w:p>
    <w:p>
      <w:pPr>
        <w:spacing w:after="0" w:line="1" w:lineRule="exact"/>
        <w:rPr>
          <w:rFonts w:ascii="Arial" w:cs="Arial" w:eastAsia="Arial" w:hAnsi="Arial"/>
          <w:sz w:val="19"/>
          <w:szCs w:val="19"/>
          <w:color w:val="auto"/>
        </w:rPr>
      </w:pPr>
    </w:p>
    <w:p>
      <w:pPr>
        <w:ind w:left="760" w:hanging="375"/>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Consolidated selling, general and administrative expenses (SG&amp;A) of $49.5 million, or 7.8% of net sales, a reduction of 120 basis points</w:t>
      </w:r>
    </w:p>
    <w:p>
      <w:pPr>
        <w:spacing w:after="0" w:line="28" w:lineRule="exact"/>
        <w:rPr>
          <w:rFonts w:ascii="Arial" w:cs="Arial" w:eastAsia="Arial" w:hAnsi="Arial"/>
          <w:sz w:val="17"/>
          <w:szCs w:val="17"/>
          <w:color w:val="auto"/>
        </w:rPr>
      </w:pPr>
    </w:p>
    <w:p>
      <w:pPr>
        <w:ind w:left="760" w:right="460" w:hanging="375"/>
        <w:spacing w:after="0" w:line="258" w:lineRule="auto"/>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Consolidated earnings from operations of $25.6 million compared with a loss from operations of $15.9 million (which includes $9.5 million of business development expenses related to the TXI acquisition)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26 of 49</w:t>
      </w:r>
    </w:p>
    <w:p>
      <w:pPr>
        <w:sectPr>
          <w:pgSz w:w="11900" w:h="16838" w:orient="portrait"/>
          <w:cols w:equalWidth="0" w:num="1">
            <w:col w:w="11420"/>
          </w:cols>
          <w:pgMar w:left="240" w:top="121"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following table presents net sales, gross profit (loss), selling, general and administrative expenses and earnings (loss) from operations data for the Corporation and its reportable segments for the three months ended March 31, 2015 and 2014. In each case, the data is stated as a percentage of net sales of the Corporation or the relevant segment, as the case may be.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8"/>
                <w:szCs w:val="18"/>
                <w:color w:val="auto"/>
                <w:w w:val="93"/>
              </w:rPr>
              <w:t>Three Months Ended 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2014</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328"/>
              <w:spacing w:after="0" w:line="195" w:lineRule="exact"/>
              <w:rPr>
                <w:sz w:val="20"/>
                <w:szCs w:val="20"/>
                <w:color w:val="auto"/>
              </w:rPr>
            </w:pPr>
            <w:r>
              <w:rPr>
                <w:rFonts w:ascii="Arial" w:cs="Arial" w:eastAsia="Arial" w:hAnsi="Arial"/>
                <w:sz w:val="18"/>
                <w:szCs w:val="18"/>
                <w:color w:val="auto"/>
              </w:rPr>
              <w:t>% of</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28"/>
              <w:spacing w:after="0" w:line="195"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Amount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Net Sales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Amount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Net Sales</w:t>
            </w:r>
          </w:p>
        </w:tc>
        <w:tc>
          <w:tcPr>
            <w:tcW w:w="0" w:type="dxa"/>
            <w:vAlign w:val="bottom"/>
          </w:tcPr>
          <w:p>
            <w:pPr>
              <w:spacing w:after="0"/>
              <w:rPr>
                <w:sz w:val="1"/>
                <w:szCs w:val="1"/>
                <w:color w:val="auto"/>
              </w:rPr>
            </w:pPr>
          </w:p>
        </w:tc>
      </w:tr>
      <w:tr>
        <w:trPr>
          <w:trHeight w:val="227"/>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8"/>
                <w:szCs w:val="18"/>
                <w:i w:val="1"/>
                <w:iCs w:val="1"/>
                <w:color w:val="auto"/>
                <w:w w:val="94"/>
              </w:rPr>
              <w:t>(Dollars in Thousands)</w:t>
            </w: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460"/>
              <w:spacing w:after="0"/>
              <w:rPr>
                <w:sz w:val="20"/>
                <w:szCs w:val="20"/>
                <w:color w:val="auto"/>
              </w:rPr>
            </w:pPr>
            <w:r>
              <w:rPr>
                <w:rFonts w:ascii="Arial" w:cs="Arial" w:eastAsia="Arial" w:hAnsi="Arial"/>
                <w:sz w:val="18"/>
                <w:szCs w:val="18"/>
                <w:color w:val="auto"/>
              </w:rPr>
              <w:t>Mid-America Group</w:t>
            </w:r>
          </w:p>
        </w:tc>
        <w:tc>
          <w:tcPr>
            <w:tcW w:w="1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129,618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106,533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Southeast Group</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West Group</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168,838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160,416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358,226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322,330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Magnesia Specialties</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1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416,980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379,678</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Mid-America Group</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Total Acquisitions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214,896</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631,876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379,678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(loss):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Heritage: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Mid-America Group</w:t>
            </w:r>
          </w:p>
        </w:tc>
        <w:tc>
          <w:tcPr>
            <w:tcW w:w="144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(1,547)</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460"/>
              <w:spacing w:after="0"/>
              <w:rPr>
                <w:sz w:val="20"/>
                <w:szCs w:val="20"/>
                <w:color w:val="auto"/>
              </w:rPr>
            </w:pPr>
            <w:r>
              <w:rPr>
                <w:rFonts w:ascii="Arial" w:cs="Arial" w:eastAsia="Arial" w:hAnsi="Arial"/>
                <w:sz w:val="18"/>
                <w:szCs w:val="18"/>
                <w:color w:val="auto"/>
              </w:rPr>
              <w:t>Southeast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(2,867)</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West Group</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24,466</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25,835</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Mid-America Group</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27 of 49</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93"/>
              </w:rPr>
              <w:t>Three Months Ended 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2014</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328"/>
              <w:spacing w:after="0" w:line="195" w:lineRule="exact"/>
              <w:rPr>
                <w:sz w:val="20"/>
                <w:szCs w:val="20"/>
                <w:color w:val="auto"/>
              </w:rPr>
            </w:pPr>
            <w:r>
              <w:rPr>
                <w:rFonts w:ascii="Arial" w:cs="Arial" w:eastAsia="Arial" w:hAnsi="Arial"/>
                <w:sz w:val="18"/>
                <w:szCs w:val="18"/>
                <w:color w:val="auto"/>
              </w:rPr>
              <w:t>% of</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28"/>
              <w:spacing w:after="0" w:line="195"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Amount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Amount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Net Sales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6"/>
          </w:tcPr>
          <w:p>
            <w:pPr>
              <w:jc w:val="center"/>
              <w:ind w:right="440"/>
              <w:spacing w:after="0"/>
              <w:rPr>
                <w:sz w:val="20"/>
                <w:szCs w:val="20"/>
                <w:color w:val="auto"/>
              </w:rPr>
            </w:pPr>
            <w:r>
              <w:rPr>
                <w:rFonts w:ascii="Arial" w:cs="Arial" w:eastAsia="Arial" w:hAnsi="Arial"/>
                <w:sz w:val="18"/>
                <w:szCs w:val="18"/>
                <w:i w:val="1"/>
                <w:iCs w:val="1"/>
                <w:color w:val="auto"/>
                <w:w w:val="94"/>
              </w:rPr>
              <w:t>(Dollars in Thousands)</w:t>
            </w: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&amp; administrative expenses: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Heritage: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Mid-America Group</w:t>
            </w:r>
          </w:p>
        </w:tc>
        <w:tc>
          <w:tcPr>
            <w:tcW w:w="144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460"/>
              <w:spacing w:after="0"/>
              <w:rPr>
                <w:sz w:val="20"/>
                <w:szCs w:val="20"/>
                <w:color w:val="auto"/>
              </w:rPr>
            </w:pPr>
            <w:r>
              <w:rPr>
                <w:rFonts w:ascii="Arial" w:cs="Arial" w:eastAsia="Arial" w:hAnsi="Arial"/>
                <w:sz w:val="18"/>
                <w:szCs w:val="18"/>
                <w:color w:val="auto"/>
              </w:rPr>
              <w:t>Southeast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West Group</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36,672</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34,247</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Total Acquisitions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12,778</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from operations: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Heritage: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Mid-America Group</w:t>
            </w:r>
          </w:p>
        </w:tc>
        <w:tc>
          <w:tcPr>
            <w:tcW w:w="144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(11,766)</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460"/>
              <w:spacing w:after="0"/>
              <w:rPr>
                <w:sz w:val="20"/>
                <w:szCs w:val="20"/>
                <w:color w:val="auto"/>
              </w:rPr>
            </w:pPr>
            <w:r>
              <w:rPr>
                <w:rFonts w:ascii="Arial" w:cs="Arial" w:eastAsia="Arial" w:hAnsi="Arial"/>
                <w:sz w:val="18"/>
                <w:szCs w:val="18"/>
                <w:color w:val="auto"/>
              </w:rPr>
              <w:t>Southeast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(6,111)</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West Group</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(10,938)</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(16,387)</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(15,898)</w:t>
            </w:r>
          </w:p>
        </w:tc>
        <w:tc>
          <w:tcPr>
            <w:tcW w:w="2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Mid-America Group</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(210.3)</w:t>
            </w: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(2,257)</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28 of 49</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Aggregates Business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Net sales by product line for the Aggregates business, which reflect the elimination of inter-product line sales,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8"/>
          </w:tcPr>
          <w:p>
            <w:pPr>
              <w:jc w:val="center"/>
              <w:ind w:right="360"/>
              <w:spacing w:after="0"/>
              <w:rPr>
                <w:sz w:val="20"/>
                <w:szCs w:val="20"/>
                <w:color w:val="auto"/>
              </w:rPr>
            </w:pPr>
            <w:r>
              <w:rPr>
                <w:rFonts w:ascii="Arial" w:cs="Arial" w:eastAsia="Arial" w:hAnsi="Arial"/>
                <w:sz w:val="19"/>
                <w:szCs w:val="19"/>
                <w:color w:val="auto"/>
                <w:w w:val="91"/>
              </w:rPr>
              <w:t>Three Months Ended</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left="824"/>
              <w:spacing w:after="0"/>
              <w:rPr>
                <w:sz w:val="20"/>
                <w:szCs w:val="20"/>
                <w:color w:val="auto"/>
              </w:rPr>
            </w:pPr>
            <w:r>
              <w:rPr>
                <w:rFonts w:ascii="Arial" w:cs="Arial" w:eastAsia="Arial" w:hAnsi="Arial"/>
                <w:sz w:val="19"/>
                <w:szCs w:val="19"/>
                <w:color w:val="auto"/>
                <w:w w:val="94"/>
              </w:rPr>
              <w:t>March 31,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9"/>
                <w:szCs w:val="19"/>
                <w:color w:val="auto"/>
              </w:rPr>
              <w:t>2015</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9"/>
                <w:szCs w:val="19"/>
                <w:color w:val="auto"/>
              </w:rPr>
              <w:t>2014</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40" w:type="dxa"/>
            <w:vAlign w:val="bottom"/>
            <w:vMerge w:val="restart"/>
          </w:tcPr>
          <w:p>
            <w:pPr>
              <w:spacing w:after="0"/>
              <w:rPr>
                <w:sz w:val="20"/>
                <w:szCs w:val="20"/>
                <w:color w:val="auto"/>
              </w:rPr>
            </w:pPr>
            <w:r>
              <w:rPr>
                <w:rFonts w:ascii="Arial" w:cs="Arial" w:eastAsia="Arial" w:hAnsi="Arial"/>
                <w:sz w:val="19"/>
                <w:szCs w:val="19"/>
                <w:b w:val="1"/>
                <w:bCs w:val="1"/>
                <w:color w:val="auto"/>
              </w:rPr>
              <w:t>Net sales: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7"/>
          </w:tcPr>
          <w:p>
            <w:pPr>
              <w:jc w:val="center"/>
              <w:ind w:right="220"/>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spacing w:after="0"/>
              <w:rPr>
                <w:sz w:val="20"/>
                <w:szCs w:val="20"/>
                <w:color w:val="auto"/>
              </w:rPr>
            </w:pPr>
            <w:r>
              <w:rPr>
                <w:rFonts w:ascii="Arial" w:cs="Arial" w:eastAsia="Arial" w:hAnsi="Arial"/>
                <w:sz w:val="19"/>
                <w:szCs w:val="19"/>
                <w:color w:val="auto"/>
              </w:rPr>
              <w:t>Heritage:</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40"/>
              <w:spacing w:after="0"/>
              <w:rPr>
                <w:sz w:val="20"/>
                <w:szCs w:val="20"/>
                <w:color w:val="auto"/>
              </w:rPr>
            </w:pPr>
            <w:r>
              <w:rPr>
                <w:rFonts w:ascii="Arial" w:cs="Arial" w:eastAsia="Arial" w:hAnsi="Arial"/>
                <w:sz w:val="19"/>
                <w:szCs w:val="19"/>
                <w:color w:val="auto"/>
              </w:rPr>
              <w:t>Aggregates</w:t>
            </w:r>
          </w:p>
        </w:tc>
        <w:tc>
          <w:tcPr>
            <w:tcW w:w="36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300,316</w:t>
            </w:r>
          </w:p>
        </w:tc>
        <w:tc>
          <w:tcPr>
            <w:tcW w:w="180" w:type="dxa"/>
            <w:vAlign w:val="bottom"/>
          </w:tcPr>
          <w:p>
            <w:pPr>
              <w:spacing w:after="0"/>
              <w:rPr>
                <w:sz w:val="20"/>
                <w:szCs w:val="20"/>
                <w:color w:val="auto"/>
              </w:rPr>
            </w:pPr>
          </w:p>
        </w:tc>
        <w:tc>
          <w:tcPr>
            <w:tcW w:w="460" w:type="dxa"/>
            <w:vAlign w:val="bottom"/>
            <w:gridSpan w:val="2"/>
          </w:tcPr>
          <w:p>
            <w:pPr>
              <w:jc w:val="right"/>
              <w:ind w:right="224"/>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263,885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Asphalt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9,645</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10,498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40"/>
              <w:spacing w:after="0"/>
              <w:rPr>
                <w:sz w:val="20"/>
                <w:szCs w:val="20"/>
                <w:color w:val="auto"/>
              </w:rPr>
            </w:pPr>
            <w:r>
              <w:rPr>
                <w:rFonts w:ascii="Arial" w:cs="Arial" w:eastAsia="Arial" w:hAnsi="Arial"/>
                <w:sz w:val="19"/>
                <w:szCs w:val="19"/>
                <w:color w:val="auto"/>
              </w:rPr>
              <w:t>Ready Mixed Concrete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41,140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38,009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Road Paving</w:t>
            </w:r>
          </w:p>
        </w:tc>
        <w:tc>
          <w:tcPr>
            <w:tcW w:w="1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7,125</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9,938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9"/>
                <w:szCs w:val="19"/>
                <w:color w:val="auto"/>
              </w:rPr>
              <w:t>Total Heritage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358,226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322,330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spacing w:after="0"/>
              <w:rPr>
                <w:sz w:val="20"/>
                <w:szCs w:val="20"/>
                <w:color w:val="auto"/>
              </w:rPr>
            </w:pPr>
            <w:r>
              <w:rPr>
                <w:rFonts w:ascii="Arial" w:cs="Arial" w:eastAsia="Arial" w:hAnsi="Arial"/>
                <w:sz w:val="19"/>
                <w:szCs w:val="19"/>
                <w:color w:val="auto"/>
              </w:rPr>
              <w:t>Acquisitions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118,331</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9"/>
                <w:szCs w:val="19"/>
                <w:color w:val="auto"/>
              </w:rPr>
              <w:t>Total Aggregates Business</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9"/>
                <w:szCs w:val="19"/>
                <w:color w:val="auto"/>
                <w:w w:val="75"/>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476,557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322,330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00" w:type="dxa"/>
            <w:vAlign w:val="bottom"/>
            <w:gridSpan w:val="3"/>
          </w:tcPr>
          <w:p>
            <w:pPr>
              <w:spacing w:after="0"/>
              <w:rPr>
                <w:sz w:val="20"/>
                <w:szCs w:val="20"/>
                <w:color w:val="auto"/>
              </w:rPr>
            </w:pPr>
            <w:r>
              <w:rPr>
                <w:rFonts w:ascii="Arial" w:cs="Arial" w:eastAsia="Arial" w:hAnsi="Arial"/>
                <w:sz w:val="19"/>
                <w:szCs w:val="19"/>
                <w:color w:val="auto"/>
                <w:w w:val="92"/>
              </w:rPr>
              <w:t>The following tables present volume and pricing data and shipments data for the aggregates product line.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8"/>
          </w:tcPr>
          <w:p>
            <w:pPr>
              <w:jc w:val="right"/>
              <w:ind w:right="1080"/>
              <w:spacing w:after="0"/>
              <w:rPr>
                <w:sz w:val="20"/>
                <w:szCs w:val="20"/>
                <w:color w:val="auto"/>
              </w:rPr>
            </w:pPr>
            <w:r>
              <w:rPr>
                <w:rFonts w:ascii="Arial" w:cs="Arial" w:eastAsia="Arial" w:hAnsi="Arial"/>
                <w:sz w:val="19"/>
                <w:szCs w:val="19"/>
                <w:color w:val="auto"/>
              </w:rPr>
              <w:t>Three Months Ended</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9"/>
                <w:szCs w:val="19"/>
                <w:color w:val="auto"/>
              </w:rPr>
              <w:t>March 31, 2015</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820"/>
              <w:spacing w:after="0"/>
              <w:rPr>
                <w:sz w:val="20"/>
                <w:szCs w:val="20"/>
                <w:color w:val="auto"/>
              </w:rPr>
            </w:pPr>
            <w:r>
              <w:rPr>
                <w:rFonts w:ascii="Arial" w:cs="Arial" w:eastAsia="Arial" w:hAnsi="Arial"/>
                <w:sz w:val="19"/>
                <w:szCs w:val="19"/>
                <w:color w:val="auto"/>
              </w:rPr>
              <w:t>Volume</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384"/>
              <w:spacing w:after="0"/>
              <w:rPr>
                <w:sz w:val="20"/>
                <w:szCs w:val="20"/>
                <w:color w:val="auto"/>
              </w:rPr>
            </w:pPr>
            <w:r>
              <w:rPr>
                <w:rFonts w:ascii="Arial" w:cs="Arial" w:eastAsia="Arial" w:hAnsi="Arial"/>
                <w:sz w:val="19"/>
                <w:szCs w:val="19"/>
                <w:color w:val="auto"/>
                <w:w w:val="96"/>
              </w:rPr>
              <w:t>Pricing</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b w:val="1"/>
                <w:bCs w:val="1"/>
                <w:color w:val="auto"/>
              </w:rPr>
              <w:t xml:space="preserve">Volume/Pricing Variance </w:t>
            </w:r>
            <w:r>
              <w:rPr>
                <w:rFonts w:ascii="Arial" w:cs="Arial" w:eastAsia="Arial" w:hAnsi="Arial"/>
                <w:sz w:val="16"/>
                <w:szCs w:val="16"/>
                <w:color w:val="auto"/>
              </w:rPr>
              <w:t>(1)</w:t>
            </w: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r>
              <w:rPr>
                <w:rFonts w:ascii="Arial" w:cs="Arial" w:eastAsia="Arial" w:hAnsi="Arial"/>
                <w:sz w:val="19"/>
                <w:szCs w:val="19"/>
                <w:color w:val="auto"/>
              </w:rPr>
              <w:t xml:space="preserve">Heritage Aggregates Product Line </w:t>
            </w:r>
            <w:r>
              <w:rPr>
                <w:rFonts w:ascii="Arial" w:cs="Arial" w:eastAsia="Arial" w:hAnsi="Arial"/>
                <w:sz w:val="16"/>
                <w:szCs w:val="16"/>
                <w:color w:val="auto"/>
              </w:rPr>
              <w:t>(2)</w:t>
            </w:r>
            <w:r>
              <w:rPr>
                <w:rFonts w:ascii="Arial" w:cs="Arial" w:eastAsia="Arial" w:hAnsi="Arial"/>
                <w:sz w:val="19"/>
                <w:szCs w:val="19"/>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Mid-America Group</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18.1%</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37"/>
        </w:trPr>
        <w:tc>
          <w:tcPr>
            <w:tcW w:w="7840" w:type="dxa"/>
            <w:vAlign w:val="bottom"/>
          </w:tcPr>
          <w:p>
            <w:pPr>
              <w:ind w:left="240"/>
              <w:spacing w:after="0"/>
              <w:rPr>
                <w:sz w:val="20"/>
                <w:szCs w:val="20"/>
                <w:color w:val="auto"/>
              </w:rPr>
            </w:pPr>
            <w:r>
              <w:rPr>
                <w:rFonts w:ascii="Arial" w:cs="Arial" w:eastAsia="Arial" w:hAnsi="Arial"/>
                <w:sz w:val="19"/>
                <w:szCs w:val="19"/>
                <w:color w:val="auto"/>
              </w:rPr>
              <w:t>Southeast Group</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9"/>
                <w:szCs w:val="19"/>
                <w:color w:val="auto"/>
              </w:rPr>
              <w:t>2.2%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West Group</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9"/>
                <w:szCs w:val="19"/>
                <w:color w:val="auto"/>
              </w:rPr>
              <w:t>(6.1)%</w:t>
            </w: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9"/>
                <w:szCs w:val="19"/>
                <w:color w:val="auto"/>
              </w:rPr>
              <w:t>17.6%</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r>
              <w:rPr>
                <w:rFonts w:ascii="Arial" w:cs="Arial" w:eastAsia="Arial" w:hAnsi="Arial"/>
                <w:sz w:val="19"/>
                <w:szCs w:val="19"/>
                <w:color w:val="auto"/>
              </w:rPr>
              <w:t>Heritage Aggregates Operations</w:t>
            </w: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9"/>
                <w:szCs w:val="19"/>
                <w:color w:val="auto"/>
              </w:rPr>
              <w:t>3.7%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37"/>
        </w:trPr>
        <w:tc>
          <w:tcPr>
            <w:tcW w:w="7840" w:type="dxa"/>
            <w:vAlign w:val="bottom"/>
            <w:shd w:val="clear" w:color="auto" w:fill="CFF0FC"/>
          </w:tcPr>
          <w:p>
            <w:pPr>
              <w:spacing w:after="0"/>
              <w:rPr>
                <w:sz w:val="20"/>
                <w:szCs w:val="20"/>
                <w:color w:val="auto"/>
              </w:rPr>
            </w:pPr>
            <w:r>
              <w:rPr>
                <w:rFonts w:ascii="Arial" w:cs="Arial" w:eastAsia="Arial" w:hAnsi="Arial"/>
                <w:sz w:val="19"/>
                <w:szCs w:val="19"/>
                <w:color w:val="auto"/>
              </w:rPr>
              <w:t xml:space="preserve">Aggregates Product Line </w:t>
            </w: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17.1%</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29 of 49</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36" w:lineRule="exact"/>
        <w:rPr>
          <w:sz w:val="20"/>
          <w:szCs w:val="20"/>
          <w:color w:val="auto"/>
        </w:rPr>
      </w:pPr>
    </w:p>
    <w:p>
      <w:pPr>
        <w:jc w:val="center"/>
        <w:ind w:left="7860"/>
        <w:spacing w:after="0"/>
        <w:rPr>
          <w:sz w:val="20"/>
          <w:szCs w:val="20"/>
          <w:color w:val="auto"/>
        </w:rPr>
      </w:pPr>
      <w:r>
        <w:rPr>
          <w:rFonts w:ascii="Arial" w:cs="Arial" w:eastAsia="Arial" w:hAnsi="Arial"/>
          <w:sz w:val="19"/>
          <w:szCs w:val="19"/>
          <w:color w:val="auto"/>
        </w:rPr>
        <w:t>Three Months Ended</w:t>
      </w:r>
    </w:p>
    <w:p>
      <w:pPr>
        <w:spacing w:after="0" w:line="27" w:lineRule="exact"/>
        <w:rPr>
          <w:sz w:val="20"/>
          <w:szCs w:val="20"/>
          <w:color w:val="auto"/>
        </w:rPr>
      </w:pPr>
    </w:p>
    <w:p>
      <w:pPr>
        <w:jc w:val="center"/>
        <w:ind w:left="7860"/>
        <w:spacing w:after="0"/>
        <w:rPr>
          <w:sz w:val="20"/>
          <w:szCs w:val="20"/>
          <w:color w:val="auto"/>
        </w:rPr>
      </w:pPr>
      <w:r>
        <w:rPr>
          <w:rFonts w:ascii="Arial" w:cs="Arial" w:eastAsia="Arial" w:hAnsi="Arial"/>
          <w:sz w:val="19"/>
          <w:szCs w:val="19"/>
          <w:color w:val="auto"/>
        </w:rPr>
        <w:t>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17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9"/>
                <w:szCs w:val="19"/>
                <w:color w:val="auto"/>
              </w:rPr>
              <w:t>2014</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7980" w:type="dxa"/>
            <w:vAlign w:val="bottom"/>
          </w:tcPr>
          <w:p>
            <w:pPr>
              <w:spacing w:after="0"/>
              <w:rPr>
                <w:sz w:val="19"/>
                <w:szCs w:val="19"/>
                <w:color w:val="auto"/>
              </w:rPr>
            </w:pPr>
          </w:p>
        </w:tc>
        <w:tc>
          <w:tcPr>
            <w:tcW w:w="2760" w:type="dxa"/>
            <w:vAlign w:val="bottom"/>
            <w:gridSpan w:val="4"/>
          </w:tcPr>
          <w:p>
            <w:pPr>
              <w:jc w:val="center"/>
              <w:ind w:left="464"/>
              <w:spacing w:after="0"/>
              <w:rPr>
                <w:sz w:val="20"/>
                <w:szCs w:val="20"/>
                <w:color w:val="auto"/>
              </w:rPr>
            </w:pPr>
            <w:r>
              <w:rPr>
                <w:rFonts w:ascii="Arial" w:cs="Arial" w:eastAsia="Arial" w:hAnsi="Arial"/>
                <w:sz w:val="19"/>
                <w:szCs w:val="19"/>
                <w:i w:val="1"/>
                <w:iCs w:val="1"/>
                <w:color w:val="auto"/>
                <w:w w:val="91"/>
              </w:rPr>
              <w:t>(tons in thousands)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8960" w:type="dxa"/>
            <w:vAlign w:val="bottom"/>
            <w:gridSpan w:val="2"/>
          </w:tcPr>
          <w:p>
            <w:pPr>
              <w:spacing w:after="0"/>
              <w:rPr>
                <w:sz w:val="20"/>
                <w:szCs w:val="20"/>
                <w:color w:val="auto"/>
              </w:rPr>
            </w:pPr>
            <w:r>
              <w:rPr>
                <w:rFonts w:ascii="Arial" w:cs="Arial" w:eastAsia="Arial" w:hAnsi="Arial"/>
                <w:sz w:val="19"/>
                <w:szCs w:val="19"/>
                <w:b w:val="1"/>
                <w:bCs w:val="1"/>
                <w:color w:val="auto"/>
              </w:rPr>
              <w:t>Shipments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89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 xml:space="preserve">Heritage Aggregates Product Line </w:t>
            </w:r>
            <w:r>
              <w:rPr>
                <w:rFonts w:ascii="Arial" w:cs="Arial" w:eastAsia="Arial" w:hAnsi="Arial"/>
                <w:sz w:val="16"/>
                <w:szCs w:val="16"/>
                <w:color w:val="auto"/>
              </w:rPr>
              <w:t>(2)</w:t>
            </w:r>
            <w:r>
              <w:rPr>
                <w:rFonts w:ascii="Arial" w:cs="Arial" w:eastAsia="Arial" w:hAnsi="Arial"/>
                <w:sz w:val="19"/>
                <w:szCs w:val="19"/>
                <w:color w:val="auto"/>
              </w:rPr>
              <w:t>:</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960" w:type="dxa"/>
            <w:vAlign w:val="bottom"/>
            <w:gridSpan w:val="2"/>
          </w:tcPr>
          <w:p>
            <w:pPr>
              <w:ind w:left="240"/>
              <w:spacing w:after="0"/>
              <w:rPr>
                <w:sz w:val="20"/>
                <w:szCs w:val="20"/>
                <w:color w:val="auto"/>
              </w:rPr>
            </w:pPr>
            <w:r>
              <w:rPr>
                <w:rFonts w:ascii="Arial" w:cs="Arial" w:eastAsia="Arial" w:hAnsi="Arial"/>
                <w:sz w:val="19"/>
                <w:szCs w:val="19"/>
                <w:color w:val="auto"/>
              </w:rPr>
              <w:t>Mid-America Group</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10,101</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8,550</w:t>
            </w:r>
          </w:p>
        </w:tc>
        <w:tc>
          <w:tcPr>
            <w:tcW w:w="120" w:type="dxa"/>
            <w:vAlign w:val="bottom"/>
          </w:tcPr>
          <w:p>
            <w:pPr>
              <w:spacing w:after="0"/>
              <w:rPr>
                <w:sz w:val="20"/>
                <w:szCs w:val="20"/>
                <w:color w:val="auto"/>
              </w:rPr>
            </w:pPr>
          </w:p>
        </w:tc>
      </w:tr>
      <w:tr>
        <w:trPr>
          <w:trHeight w:val="237"/>
        </w:trPr>
        <w:tc>
          <w:tcPr>
            <w:tcW w:w="89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Southeast Group</w:t>
            </w: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4,090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4,001</w:t>
            </w:r>
          </w:p>
        </w:tc>
        <w:tc>
          <w:tcPr>
            <w:tcW w:w="120" w:type="dxa"/>
            <w:vAlign w:val="bottom"/>
            <w:shd w:val="clear" w:color="auto" w:fill="CFF0FC"/>
          </w:tcPr>
          <w:p>
            <w:pPr>
              <w:spacing w:after="0"/>
              <w:rPr>
                <w:sz w:val="20"/>
                <w:szCs w:val="20"/>
                <w:color w:val="auto"/>
              </w:rPr>
            </w:pPr>
          </w:p>
        </w:tc>
      </w:tr>
      <w:tr>
        <w:trPr>
          <w:trHeight w:val="237"/>
        </w:trPr>
        <w:tc>
          <w:tcPr>
            <w:tcW w:w="8960" w:type="dxa"/>
            <w:vAlign w:val="bottom"/>
            <w:gridSpan w:val="2"/>
          </w:tcPr>
          <w:p>
            <w:pPr>
              <w:ind w:left="240"/>
              <w:spacing w:after="0"/>
              <w:rPr>
                <w:sz w:val="20"/>
                <w:szCs w:val="20"/>
                <w:color w:val="auto"/>
              </w:rPr>
            </w:pPr>
            <w:r>
              <w:rPr>
                <w:rFonts w:ascii="Arial" w:cs="Arial" w:eastAsia="Arial" w:hAnsi="Arial"/>
                <w:sz w:val="19"/>
                <w:szCs w:val="19"/>
                <w:color w:val="auto"/>
              </w:rPr>
              <w:t>West Group</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11,332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w w:val="92"/>
              </w:rPr>
              <w:t>12,068</w:t>
            </w:r>
          </w:p>
        </w:tc>
        <w:tc>
          <w:tcPr>
            <w:tcW w:w="120" w:type="dxa"/>
            <w:vAlign w:val="bottom"/>
          </w:tcPr>
          <w:p>
            <w:pPr>
              <w:spacing w:after="0"/>
              <w:rPr>
                <w:sz w:val="20"/>
                <w:szCs w:val="20"/>
                <w:color w:val="auto"/>
              </w:rPr>
            </w:pPr>
          </w:p>
        </w:tc>
      </w:tr>
      <w:tr>
        <w:trPr>
          <w:trHeight w:val="230"/>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Heritage Aggregates Operations</w:t>
            </w:r>
            <w:r>
              <w:rPr>
                <w:rFonts w:ascii="Arial" w:cs="Arial" w:eastAsia="Arial" w:hAnsi="Arial"/>
                <w:sz w:val="16"/>
                <w:szCs w:val="16"/>
                <w:color w:val="auto"/>
              </w:rPr>
              <w:t>(2)</w:t>
            </w: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25,523</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24,619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7"/>
        </w:trPr>
        <w:tc>
          <w:tcPr>
            <w:tcW w:w="896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560" w:type="dxa"/>
            <w:vAlign w:val="bottom"/>
          </w:tcPr>
          <w:p>
            <w:pPr>
              <w:jc w:val="right"/>
              <w:spacing w:after="0"/>
              <w:rPr>
                <w:sz w:val="20"/>
                <w:szCs w:val="20"/>
                <w:color w:val="auto"/>
              </w:rPr>
            </w:pPr>
            <w:r>
              <w:rPr>
                <w:rFonts w:ascii="Arial" w:cs="Arial" w:eastAsia="Arial" w:hAnsi="Arial"/>
                <w:sz w:val="19"/>
                <w:szCs w:val="19"/>
                <w:color w:val="auto"/>
              </w:rPr>
              <w:t>3,313</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7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 xml:space="preserve">Aggregates Product Line </w:t>
            </w:r>
            <w:r>
              <w:rPr>
                <w:rFonts w:ascii="Arial" w:cs="Arial" w:eastAsia="Arial" w:hAnsi="Arial"/>
                <w:sz w:val="16"/>
                <w:szCs w:val="16"/>
                <w:color w:val="auto"/>
              </w:rPr>
              <w:t>(3)</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28,836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24,619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6"/>
        </w:trPr>
        <w:tc>
          <w:tcPr>
            <w:tcW w:w="7980" w:type="dxa"/>
            <w:vAlign w:val="bottom"/>
          </w:tcPr>
          <w:p>
            <w:pPr>
              <w:spacing w:after="0"/>
              <w:rPr>
                <w:sz w:val="24"/>
                <w:szCs w:val="24"/>
                <w:color w:val="auto"/>
              </w:rPr>
            </w:pPr>
          </w:p>
        </w:tc>
        <w:tc>
          <w:tcPr>
            <w:tcW w:w="2760" w:type="dxa"/>
            <w:vAlign w:val="bottom"/>
            <w:gridSpan w:val="4"/>
          </w:tcPr>
          <w:p>
            <w:pPr>
              <w:jc w:val="center"/>
              <w:ind w:left="464"/>
              <w:spacing w:after="0"/>
              <w:rPr>
                <w:sz w:val="20"/>
                <w:szCs w:val="20"/>
                <w:color w:val="auto"/>
              </w:rPr>
            </w:pPr>
            <w:r>
              <w:rPr>
                <w:rFonts w:ascii="Arial" w:cs="Arial" w:eastAsia="Arial" w:hAnsi="Arial"/>
                <w:sz w:val="19"/>
                <w:szCs w:val="19"/>
                <w:color w:val="auto"/>
                <w:w w:val="92"/>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0"/>
        </w:trPr>
        <w:tc>
          <w:tcPr>
            <w:tcW w:w="7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9"/>
                <w:szCs w:val="19"/>
                <w:color w:val="auto"/>
                <w:w w:val="94"/>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9"/>
                <w:szCs w:val="19"/>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7980" w:type="dxa"/>
            <w:vAlign w:val="bottom"/>
          </w:tcPr>
          <w:p>
            <w:pPr>
              <w:spacing w:after="0"/>
              <w:rPr>
                <w:sz w:val="19"/>
                <w:szCs w:val="19"/>
                <w:color w:val="auto"/>
              </w:rPr>
            </w:pPr>
          </w:p>
        </w:tc>
        <w:tc>
          <w:tcPr>
            <w:tcW w:w="2760" w:type="dxa"/>
            <w:vAlign w:val="bottom"/>
            <w:gridSpan w:val="4"/>
          </w:tcPr>
          <w:p>
            <w:pPr>
              <w:jc w:val="center"/>
              <w:ind w:left="464"/>
              <w:spacing w:after="0"/>
              <w:rPr>
                <w:sz w:val="20"/>
                <w:szCs w:val="20"/>
                <w:color w:val="auto"/>
              </w:rPr>
            </w:pPr>
            <w:r>
              <w:rPr>
                <w:rFonts w:ascii="Arial" w:cs="Arial" w:eastAsia="Arial" w:hAnsi="Arial"/>
                <w:sz w:val="19"/>
                <w:szCs w:val="19"/>
                <w:i w:val="1"/>
                <w:iCs w:val="1"/>
                <w:color w:val="auto"/>
                <w:w w:val="91"/>
              </w:rPr>
              <w:t>(tons in thousands)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8960" w:type="dxa"/>
            <w:vAlign w:val="bottom"/>
            <w:gridSpan w:val="2"/>
          </w:tcPr>
          <w:p>
            <w:pPr>
              <w:spacing w:after="0"/>
              <w:rPr>
                <w:sz w:val="20"/>
                <w:szCs w:val="20"/>
                <w:color w:val="auto"/>
              </w:rPr>
            </w:pPr>
            <w:r>
              <w:rPr>
                <w:rFonts w:ascii="Arial" w:cs="Arial" w:eastAsia="Arial" w:hAnsi="Arial"/>
                <w:sz w:val="19"/>
                <w:szCs w:val="19"/>
                <w:b w:val="1"/>
                <w:bCs w:val="1"/>
                <w:color w:val="auto"/>
              </w:rPr>
              <w:t>Shipments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89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 xml:space="preserve">Heritage Aggregates Product Line </w:t>
            </w:r>
            <w:r>
              <w:rPr>
                <w:rFonts w:ascii="Arial" w:cs="Arial" w:eastAsia="Arial" w:hAnsi="Arial"/>
                <w:sz w:val="16"/>
                <w:szCs w:val="16"/>
                <w:color w:val="auto"/>
              </w:rPr>
              <w:t>(2)</w:t>
            </w:r>
            <w:r>
              <w:rPr>
                <w:rFonts w:ascii="Arial" w:cs="Arial" w:eastAsia="Arial" w:hAnsi="Arial"/>
                <w:sz w:val="19"/>
                <w:szCs w:val="19"/>
                <w:color w:val="auto"/>
              </w:rPr>
              <w:t>:</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960" w:type="dxa"/>
            <w:vAlign w:val="bottom"/>
            <w:gridSpan w:val="2"/>
          </w:tcPr>
          <w:p>
            <w:pPr>
              <w:ind w:left="240"/>
              <w:spacing w:after="0"/>
              <w:rPr>
                <w:sz w:val="20"/>
                <w:szCs w:val="20"/>
                <w:color w:val="auto"/>
              </w:rPr>
            </w:pPr>
            <w:r>
              <w:rPr>
                <w:rFonts w:ascii="Arial" w:cs="Arial" w:eastAsia="Arial" w:hAnsi="Arial"/>
                <w:sz w:val="19"/>
                <w:szCs w:val="19"/>
                <w:color w:val="auto"/>
              </w:rPr>
              <w:t>Tons to external customers</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24,632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w w:val="92"/>
              </w:rPr>
              <w:t>23,719</w:t>
            </w:r>
          </w:p>
        </w:tc>
        <w:tc>
          <w:tcPr>
            <w:tcW w:w="120" w:type="dxa"/>
            <w:vAlign w:val="bottom"/>
          </w:tcPr>
          <w:p>
            <w:pPr>
              <w:spacing w:after="0"/>
              <w:rPr>
                <w:sz w:val="20"/>
                <w:szCs w:val="20"/>
                <w:color w:val="auto"/>
              </w:rPr>
            </w:pPr>
          </w:p>
        </w:tc>
      </w:tr>
      <w:tr>
        <w:trPr>
          <w:trHeight w:val="237"/>
        </w:trPr>
        <w:tc>
          <w:tcPr>
            <w:tcW w:w="89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Internal tons used in other product lines</w:t>
            </w: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891</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900</w:t>
            </w:r>
          </w:p>
        </w:tc>
        <w:tc>
          <w:tcPr>
            <w:tcW w:w="120" w:type="dxa"/>
            <w:vAlign w:val="bottom"/>
            <w:shd w:val="clear" w:color="auto" w:fill="CFF0FC"/>
          </w:tcPr>
          <w:p>
            <w:pPr>
              <w:spacing w:after="0"/>
              <w:rPr>
                <w:sz w:val="20"/>
                <w:szCs w:val="20"/>
                <w:color w:val="auto"/>
              </w:rPr>
            </w:pPr>
          </w:p>
        </w:tc>
      </w:tr>
      <w:tr>
        <w:trPr>
          <w:trHeight w:val="270"/>
        </w:trPr>
        <w:tc>
          <w:tcPr>
            <w:tcW w:w="798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Total heritage aggregates tons</w:t>
            </w:r>
          </w:p>
        </w:tc>
        <w:tc>
          <w:tcPr>
            <w:tcW w:w="98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2"/>
              </w:rPr>
              <w:t>25,523</w:t>
            </w:r>
          </w:p>
        </w:tc>
        <w:tc>
          <w:tcPr>
            <w:tcW w:w="220" w:type="dxa"/>
            <w:vAlign w:val="bottom"/>
            <w:tcBorders>
              <w:bottom w:val="single" w:sz="8" w:color="CFF0FC"/>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2"/>
              </w:rPr>
              <w:t>24,619</w:t>
            </w:r>
          </w:p>
        </w:tc>
        <w:tc>
          <w:tcPr>
            <w:tcW w:w="120" w:type="dxa"/>
            <w:vAlign w:val="bottom"/>
            <w:tcBorders>
              <w:bottom w:val="single" w:sz="8" w:color="CFF0FC"/>
            </w:tcBorders>
          </w:tcPr>
          <w:p>
            <w:pPr>
              <w:spacing w:after="0"/>
              <w:rPr>
                <w:sz w:val="23"/>
                <w:szCs w:val="23"/>
                <w:color w:val="auto"/>
              </w:rPr>
            </w:pPr>
          </w:p>
        </w:tc>
      </w:tr>
      <w:tr>
        <w:trPr>
          <w:trHeight w:val="216"/>
        </w:trPr>
        <w:tc>
          <w:tcPr>
            <w:tcW w:w="798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Acquisitions: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7"/>
        </w:trPr>
        <w:tc>
          <w:tcPr>
            <w:tcW w:w="8960" w:type="dxa"/>
            <w:vAlign w:val="bottom"/>
            <w:gridSpan w:val="2"/>
          </w:tcPr>
          <w:p>
            <w:pPr>
              <w:ind w:left="240"/>
              <w:spacing w:after="0"/>
              <w:rPr>
                <w:sz w:val="20"/>
                <w:szCs w:val="20"/>
                <w:color w:val="auto"/>
              </w:rPr>
            </w:pPr>
            <w:r>
              <w:rPr>
                <w:rFonts w:ascii="Arial" w:cs="Arial" w:eastAsia="Arial" w:hAnsi="Arial"/>
                <w:sz w:val="19"/>
                <w:szCs w:val="19"/>
                <w:color w:val="auto"/>
              </w:rPr>
              <w:t>Tons to external customers</w:t>
            </w:r>
          </w:p>
        </w:tc>
        <w:tc>
          <w:tcPr>
            <w:tcW w:w="560" w:type="dxa"/>
            <w:vAlign w:val="bottom"/>
          </w:tcPr>
          <w:p>
            <w:pPr>
              <w:jc w:val="right"/>
              <w:spacing w:after="0"/>
              <w:rPr>
                <w:sz w:val="20"/>
                <w:szCs w:val="20"/>
                <w:color w:val="auto"/>
              </w:rPr>
            </w:pPr>
            <w:r>
              <w:rPr>
                <w:rFonts w:ascii="Arial" w:cs="Arial" w:eastAsia="Arial" w:hAnsi="Arial"/>
                <w:sz w:val="19"/>
                <w:szCs w:val="19"/>
                <w:color w:val="auto"/>
              </w:rPr>
              <w:t>2,500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7"/>
        </w:trPr>
        <w:tc>
          <w:tcPr>
            <w:tcW w:w="89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Internal tons used in other product lines</w:t>
            </w: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813</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7980" w:type="dxa"/>
            <w:vAlign w:val="bottom"/>
          </w:tcPr>
          <w:p>
            <w:pPr>
              <w:spacing w:after="0"/>
              <w:rPr>
                <w:sz w:val="20"/>
                <w:szCs w:val="20"/>
                <w:color w:val="auto"/>
              </w:rPr>
            </w:pPr>
            <w:r>
              <w:rPr>
                <w:rFonts w:ascii="Arial" w:cs="Arial" w:eastAsia="Arial" w:hAnsi="Arial"/>
                <w:sz w:val="19"/>
                <w:szCs w:val="19"/>
                <w:color w:val="auto"/>
              </w:rPr>
              <w:t>Total acquisition aggregates tons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3,313</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15" w:lineRule="exact"/>
        <w:rPr>
          <w:rFonts w:ascii="Arial" w:cs="Arial" w:eastAsia="Arial" w:hAnsi="Arial"/>
          <w:sz w:val="15"/>
          <w:szCs w:val="15"/>
          <w:i w:val="1"/>
          <w:iCs w:val="1"/>
          <w:color w:val="auto"/>
        </w:rPr>
      </w:pPr>
    </w:p>
    <w:p>
      <w:pPr>
        <w:ind w:left="260" w:hanging="255"/>
        <w:spacing w:after="0" w:line="244" w:lineRule="auto"/>
        <w:tabs>
          <w:tab w:leader="none" w:pos="260" w:val="left"/>
        </w:tabs>
        <w:numPr>
          <w:ilvl w:val="0"/>
          <w:numId w:val="25"/>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fiscal year.</w:t>
      </w:r>
    </w:p>
    <w:p>
      <w:pPr>
        <w:ind w:left="260" w:hanging="255"/>
        <w:spacing w:after="0"/>
        <w:tabs>
          <w:tab w:leader="none" w:pos="260" w:val="left"/>
        </w:tabs>
        <w:numPr>
          <w:ilvl w:val="0"/>
          <w:numId w:val="25"/>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Aggregates product line shipment growth was achieved despite severe late winter weather in many markets and significant rainfall in Texas. The Corporation estimates 1.4 million tons of aggregates product line shipments were deferred to the balance of the year.</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average per-ton selling price for the heritage aggregates product line was $11.96 and $10.82 for the three months ended March 31, 2015 and 2014, respectively, and the average per-ton selling price for the acquired aggregates product line was $12.88 for the three months ended March 31, 2015. The acquired aggregates product line selling price reflects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30 of 49</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impact of higher priced sand and gravel, as well as freight for tons sold through rail yards, which combined account for over 70% of shipments.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Heritage aggregates product line shipments reflect growth in all end-use markets. Shipments to the infrastructure market comprised 40% of quarterly volumes and increased 8%. Growth was driven by large projects in the Mid-America Group, notably in North Carolina and Iowa, and the Southeast Group. Shipments in the West Group were hampered by rainfall. However, Texas ranks second in the nation in job growth, a stimulus for construction activity. The state Department of Transportation has a nearly $9 billion fiscal year 2015 letting budget, which includes multi-year projects and adds to an existing backlog. The federal highway bill, Moving Ahead for Progress in the 21st Century, or MAP-21, will expire on May 31, 2015. However, management anticipates the U.S. Congress will pass another continuing resolution through the fall, while working towards passage of a multi-year bill.</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nonresidential market represented 34% of quarterly heritage aggregates product line shipments and increased slightly. Diversified state economies have generated other nonresidential and infrastructure projects to replace energy-related shipments currently displaced by declining oil prices. Further, the Corporation expects energy-related activity to remain strong, supported by more than $100 billion of planned projects along the Gulf Coast, including a significant portion in Texas. Nonresidential activity varies significantly by state, with growth strongest in Texas and California. For the trailing-12 months ended March 2015, Texas reported $39 billion in nonresidential starts. The Dodge Momentum Index for March was 122.3. For the first three months of 2015, the index was 12% higher than the comparable period in 2014, signaling continued growth in nonresidential activity.</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residential end-use market accounted for 15% of quarterly heritage aggregates product line shipments, and volumes to this market increased 4%. The overall rate of residential growth has slowed compared with the last few years, in part due to a temporary reduction in available building lot inventory in the Corporation’s markets. However, subdivision development, which consumes a majority of stone used in residential construction activity, has increased in a number of states. Notably, Colorado, Georgia, Florida and South Carolina, recently reported double-digit growth in housing starts for the trailing-12 months through March 2015. The ChemRock/Rail market accounted for the remaining 11% of heritage aggregates product line volumes and increased slightly, led by higher ballast shipments. This growth reflects the increasing investment in capacity expansion and maintenance by major railroads.</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Overall, heritage aggregates product line shipments increased 7.0%, excluding shipments from the third-quarter 2014 divestiture of three operations from the prior-year quarter. The divestiture included an Oklahoma quarry and two Dallas, Texas rail yards and was required by the Department of Justice in the TXI acquisition. Shipments from these divestiture continue to be reported in heritage volumes in the prior-year quarter. Aggregates product line shipments in the Mid-America Group increased 18.1%, and the Southeast Group achieved an increase of 2.2%. The West Group shipments were up slightly, excluding shipments from the divested operations from the prior-year quarter. The reported variance for the West Group is a 6.1% decline.</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Heritage aggregates product line pricing represents growth in all reportable groups, led by the 17.6% increase in the West Group. The most significant improvement was achieved in the South Texas area. The Southeast Group and Mid-America Group reported increases of 6.0% and 3.2%,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31 of 49</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legacy TXI aggregates product line operations continue to benefit from integration, which has resulted in expanded margins. Inclusive of two small acquisitions completed during first quarter, these operations had net sales of $31.9 million and a gross margin (excluding freight and delivery revenues) of 21.7%.</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Corporation’s aggregates-related downstream product lines include asphalt, ready mixed concrete and road paving businesses in Arkansas, Colorado, Texas and Wyoming. Average selling prices by product line for the Corporation’s aggregates-related downstream product lines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440" w:type="dxa"/>
            <w:vAlign w:val="bottom"/>
            <w:gridSpan w:val="4"/>
          </w:tcPr>
          <w:p>
            <w:pPr>
              <w:jc w:val="center"/>
              <w:spacing w:after="0"/>
              <w:rPr>
                <w:sz w:val="20"/>
                <w:szCs w:val="20"/>
                <w:color w:val="auto"/>
              </w:rPr>
            </w:pPr>
            <w:r>
              <w:rPr>
                <w:rFonts w:ascii="Arial" w:cs="Arial" w:eastAsia="Arial" w:hAnsi="Arial"/>
                <w:sz w:val="19"/>
                <w:szCs w:val="19"/>
                <w:color w:val="auto"/>
                <w:w w:val="91"/>
              </w:rPr>
              <w:t>Three Months Ended</w:t>
            </w:r>
          </w:p>
        </w:tc>
      </w:tr>
      <w:tr>
        <w:trPr>
          <w:trHeight w:val="240"/>
        </w:trPr>
        <w:tc>
          <w:tcPr>
            <w:tcW w:w="7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204"/>
              <w:spacing w:after="0"/>
              <w:rPr>
                <w:sz w:val="20"/>
                <w:szCs w:val="20"/>
                <w:color w:val="auto"/>
              </w:rPr>
            </w:pPr>
            <w:r>
              <w:rPr>
                <w:rFonts w:ascii="Arial" w:cs="Arial" w:eastAsia="Arial" w:hAnsi="Arial"/>
                <w:sz w:val="19"/>
                <w:szCs w:val="19"/>
                <w:color w:val="auto"/>
                <w:w w:val="92"/>
              </w:rPr>
              <w:t>March 31,</w:t>
            </w:r>
          </w:p>
        </w:tc>
      </w:tr>
      <w:tr>
        <w:trPr>
          <w:trHeight w:val="230"/>
        </w:trPr>
        <w:tc>
          <w:tcPr>
            <w:tcW w:w="7980" w:type="dxa"/>
            <w:vAlign w:val="bottom"/>
          </w:tcPr>
          <w:p>
            <w:pPr>
              <w:spacing w:after="0"/>
              <w:rPr>
                <w:sz w:val="19"/>
                <w:szCs w:val="19"/>
                <w:color w:val="auto"/>
              </w:rPr>
            </w:pPr>
          </w:p>
        </w:tc>
        <w:tc>
          <w:tcPr>
            <w:tcW w:w="1280" w:type="dxa"/>
            <w:vAlign w:val="bottom"/>
          </w:tcPr>
          <w:p>
            <w:pPr>
              <w:jc w:val="center"/>
              <w:ind w:left="264"/>
              <w:spacing w:after="0"/>
              <w:rPr>
                <w:sz w:val="20"/>
                <w:szCs w:val="20"/>
                <w:color w:val="auto"/>
              </w:rPr>
            </w:pPr>
            <w:r>
              <w:rPr>
                <w:rFonts w:ascii="Arial" w:cs="Arial" w:eastAsia="Arial" w:hAnsi="Arial"/>
                <w:sz w:val="19"/>
                <w:szCs w:val="19"/>
                <w:color w:val="auto"/>
                <w:w w:val="94"/>
              </w:rPr>
              <w:t>2015</w:t>
            </w:r>
          </w:p>
        </w:tc>
        <w:tc>
          <w:tcPr>
            <w:tcW w:w="2160" w:type="dxa"/>
            <w:vAlign w:val="bottom"/>
            <w:gridSpan w:val="3"/>
          </w:tcPr>
          <w:p>
            <w:pPr>
              <w:jc w:val="center"/>
              <w:ind w:left="364"/>
              <w:spacing w:after="0"/>
              <w:rPr>
                <w:sz w:val="20"/>
                <w:szCs w:val="20"/>
                <w:color w:val="auto"/>
              </w:rPr>
            </w:pPr>
            <w:r>
              <w:rPr>
                <w:rFonts w:ascii="Arial" w:cs="Arial" w:eastAsia="Arial" w:hAnsi="Arial"/>
                <w:sz w:val="19"/>
                <w:szCs w:val="19"/>
                <w:color w:val="auto"/>
                <w:w w:val="89"/>
              </w:rPr>
              <w:t>2014</w:t>
            </w:r>
          </w:p>
        </w:tc>
      </w:tr>
      <w:tr>
        <w:trPr>
          <w:trHeight w:val="230"/>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Heritage:</w:t>
            </w:r>
          </w:p>
        </w:tc>
        <w:tc>
          <w:tcPr>
            <w:tcW w:w="12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9"/>
                <w:szCs w:val="19"/>
                <w:color w:val="auto"/>
              </w:rPr>
              <w:t>Asphalt</w:t>
            </w:r>
          </w:p>
        </w:tc>
        <w:tc>
          <w:tcPr>
            <w:tcW w:w="1280" w:type="dxa"/>
            <w:vAlign w:val="bottom"/>
          </w:tcPr>
          <w:p>
            <w:pPr>
              <w:jc w:val="center"/>
              <w:ind w:left="264"/>
              <w:spacing w:after="0"/>
              <w:rPr>
                <w:sz w:val="20"/>
                <w:szCs w:val="20"/>
                <w:color w:val="auto"/>
              </w:rPr>
            </w:pPr>
            <w:r>
              <w:rPr>
                <w:rFonts w:ascii="Arial" w:cs="Arial" w:eastAsia="Arial" w:hAnsi="Arial"/>
                <w:sz w:val="19"/>
                <w:szCs w:val="19"/>
                <w:color w:val="auto"/>
                <w:w w:val="93"/>
              </w:rPr>
              <w:t>$43.65/ton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9"/>
                <w:szCs w:val="19"/>
                <w:color w:val="auto"/>
                <w:w w:val="91"/>
              </w:rPr>
              <w:t>$42.26/ton</w:t>
            </w:r>
          </w:p>
        </w:tc>
      </w:tr>
      <w:tr>
        <w:trPr>
          <w:trHeight w:val="237"/>
        </w:trPr>
        <w:tc>
          <w:tcPr>
            <w:tcW w:w="7980" w:type="dxa"/>
            <w:vAlign w:val="bottom"/>
            <w:shd w:val="clear" w:color="auto" w:fill="CFF0FC"/>
          </w:tcPr>
          <w:p>
            <w:pPr>
              <w:ind w:left="120"/>
              <w:spacing w:after="0"/>
              <w:rPr>
                <w:sz w:val="20"/>
                <w:szCs w:val="20"/>
                <w:color w:val="auto"/>
              </w:rPr>
            </w:pPr>
            <w:r>
              <w:rPr>
                <w:rFonts w:ascii="Arial" w:cs="Arial" w:eastAsia="Arial" w:hAnsi="Arial"/>
                <w:sz w:val="19"/>
                <w:szCs w:val="19"/>
                <w:color w:val="auto"/>
              </w:rPr>
              <w:t>Ready Mixed Concrete</w:t>
            </w:r>
          </w:p>
        </w:tc>
        <w:tc>
          <w:tcPr>
            <w:tcW w:w="1280" w:type="dxa"/>
            <w:vAlign w:val="bottom"/>
            <w:shd w:val="clear" w:color="auto" w:fill="CFF0FC"/>
          </w:tcPr>
          <w:p>
            <w:pPr>
              <w:jc w:val="center"/>
              <w:ind w:left="244"/>
              <w:spacing w:after="0"/>
              <w:rPr>
                <w:sz w:val="20"/>
                <w:szCs w:val="20"/>
                <w:color w:val="auto"/>
              </w:rPr>
            </w:pPr>
            <w:r>
              <w:rPr>
                <w:rFonts w:ascii="Arial" w:cs="Arial" w:eastAsia="Arial" w:hAnsi="Arial"/>
                <w:sz w:val="19"/>
                <w:szCs w:val="19"/>
                <w:color w:val="auto"/>
                <w:w w:val="93"/>
              </w:rPr>
              <w:t>$98.88/yd</w:t>
            </w:r>
            <w:r>
              <w:rPr>
                <w:rFonts w:ascii="Arial" w:cs="Arial" w:eastAsia="Arial" w:hAnsi="Arial"/>
                <w:sz w:val="16"/>
                <w:szCs w:val="16"/>
                <w:color w:val="auto"/>
                <w:w w:val="93"/>
              </w:rPr>
              <w:t>3</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3"/>
              </w:rPr>
              <w:t>$89.27/yd</w:t>
            </w:r>
            <w:r>
              <w:rPr>
                <w:rFonts w:ascii="Arial" w:cs="Arial" w:eastAsia="Arial" w:hAnsi="Arial"/>
                <w:sz w:val="16"/>
                <w:szCs w:val="16"/>
                <w:color w:val="auto"/>
                <w:w w:val="93"/>
              </w:rPr>
              <w:t>3</w:t>
            </w:r>
          </w:p>
        </w:tc>
      </w:tr>
      <w:tr>
        <w:trPr>
          <w:trHeight w:val="237"/>
        </w:trPr>
        <w:tc>
          <w:tcPr>
            <w:tcW w:w="7980" w:type="dxa"/>
            <w:vAlign w:val="bottom"/>
          </w:tcPr>
          <w:p>
            <w:pPr>
              <w:spacing w:after="0"/>
              <w:rPr>
                <w:sz w:val="20"/>
                <w:szCs w:val="20"/>
                <w:color w:val="auto"/>
              </w:rPr>
            </w:pPr>
            <w:r>
              <w:rPr>
                <w:rFonts w:ascii="Arial" w:cs="Arial" w:eastAsia="Arial" w:hAnsi="Arial"/>
                <w:sz w:val="19"/>
                <w:szCs w:val="19"/>
                <w:color w:val="auto"/>
              </w:rPr>
              <w:t>Acquisitions:</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7980" w:type="dxa"/>
            <w:vAlign w:val="bottom"/>
            <w:shd w:val="clear" w:color="auto" w:fill="CFF0FC"/>
          </w:tcPr>
          <w:p>
            <w:pPr>
              <w:ind w:left="120"/>
              <w:spacing w:after="0"/>
              <w:rPr>
                <w:sz w:val="20"/>
                <w:szCs w:val="20"/>
                <w:color w:val="auto"/>
              </w:rPr>
            </w:pPr>
            <w:r>
              <w:rPr>
                <w:rFonts w:ascii="Arial" w:cs="Arial" w:eastAsia="Arial" w:hAnsi="Arial"/>
                <w:sz w:val="19"/>
                <w:szCs w:val="19"/>
                <w:color w:val="auto"/>
              </w:rPr>
              <w:t xml:space="preserve">Ready Mixed Concrete </w:t>
            </w:r>
            <w:r>
              <w:rPr>
                <w:rFonts w:ascii="Arial" w:cs="Arial" w:eastAsia="Arial" w:hAnsi="Arial"/>
                <w:sz w:val="16"/>
                <w:szCs w:val="16"/>
                <w:color w:val="auto"/>
              </w:rPr>
              <w:t>(4)</w:t>
            </w:r>
          </w:p>
        </w:tc>
        <w:tc>
          <w:tcPr>
            <w:tcW w:w="1280" w:type="dxa"/>
            <w:vAlign w:val="bottom"/>
            <w:shd w:val="clear" w:color="auto" w:fill="CFF0FC"/>
          </w:tcPr>
          <w:p>
            <w:pPr>
              <w:jc w:val="center"/>
              <w:ind w:left="244"/>
              <w:spacing w:after="0"/>
              <w:rPr>
                <w:sz w:val="20"/>
                <w:szCs w:val="20"/>
                <w:color w:val="auto"/>
              </w:rPr>
            </w:pPr>
            <w:r>
              <w:rPr>
                <w:rFonts w:ascii="Arial" w:cs="Arial" w:eastAsia="Arial" w:hAnsi="Arial"/>
                <w:sz w:val="19"/>
                <w:szCs w:val="19"/>
                <w:color w:val="auto"/>
                <w:w w:val="93"/>
              </w:rPr>
              <w:t>$88.75/yd</w:t>
            </w:r>
            <w:r>
              <w:rPr>
                <w:rFonts w:ascii="Arial" w:cs="Arial" w:eastAsia="Arial" w:hAnsi="Arial"/>
                <w:sz w:val="16"/>
                <w:szCs w:val="16"/>
                <w:color w:val="auto"/>
                <w:w w:val="93"/>
              </w:rPr>
              <w:t>3</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9"/>
                <w:szCs w:val="19"/>
                <w:color w:val="auto"/>
              </w:rPr>
              <w:t>—</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Unit shipments by product line for the Corporation’s aggregates-related downstream product lines are as follows:</w:t>
      </w:r>
    </w:p>
    <w:p>
      <w:pPr>
        <w:spacing w:after="0" w:line="242" w:lineRule="exact"/>
        <w:rPr>
          <w:sz w:val="20"/>
          <w:szCs w:val="20"/>
          <w:color w:val="auto"/>
        </w:rPr>
      </w:pPr>
    </w:p>
    <w:p>
      <w:pPr>
        <w:jc w:val="center"/>
        <w:ind w:left="7860"/>
        <w:spacing w:after="0"/>
        <w:rPr>
          <w:sz w:val="20"/>
          <w:szCs w:val="20"/>
          <w:color w:val="auto"/>
        </w:rPr>
      </w:pPr>
      <w:r>
        <w:rPr>
          <w:rFonts w:ascii="Arial" w:cs="Arial" w:eastAsia="Arial" w:hAnsi="Arial"/>
          <w:sz w:val="19"/>
          <w:szCs w:val="19"/>
          <w:color w:val="auto"/>
        </w:rPr>
        <w:t>Three Months Ended</w:t>
      </w:r>
    </w:p>
    <w:p>
      <w:pPr>
        <w:spacing w:after="0" w:line="27" w:lineRule="exact"/>
        <w:rPr>
          <w:sz w:val="20"/>
          <w:szCs w:val="20"/>
          <w:color w:val="auto"/>
        </w:rPr>
      </w:pPr>
    </w:p>
    <w:p>
      <w:pPr>
        <w:jc w:val="center"/>
        <w:ind w:left="7860"/>
        <w:spacing w:after="0"/>
        <w:rPr>
          <w:sz w:val="20"/>
          <w:szCs w:val="20"/>
          <w:color w:val="auto"/>
        </w:rPr>
      </w:pPr>
      <w:r>
        <w:rPr>
          <w:rFonts w:ascii="Arial" w:cs="Arial" w:eastAsia="Arial" w:hAnsi="Arial"/>
          <w:sz w:val="19"/>
          <w:szCs w:val="19"/>
          <w:color w:val="auto"/>
        </w:rPr>
        <w:t>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9"/>
                <w:szCs w:val="19"/>
                <w:color w:val="auto"/>
              </w:rPr>
              <w:t>2014</w:t>
            </w:r>
          </w:p>
        </w:tc>
        <w:tc>
          <w:tcPr>
            <w:tcW w:w="120" w:type="dxa"/>
            <w:vAlign w:val="bottom"/>
            <w:tcBorders>
              <w:bottom w:val="single" w:sz="8" w:color="CFF0FC"/>
            </w:tcBorders>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9"/>
                <w:szCs w:val="19"/>
                <w:color w:val="auto"/>
              </w:rPr>
              <w:t>Asphalt Product Line (in thousands):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9020" w:type="dxa"/>
            <w:vAlign w:val="bottom"/>
            <w:gridSpan w:val="2"/>
          </w:tcPr>
          <w:p>
            <w:pPr>
              <w:ind w:left="240"/>
              <w:spacing w:after="0"/>
              <w:rPr>
                <w:sz w:val="20"/>
                <w:szCs w:val="20"/>
                <w:color w:val="auto"/>
              </w:rPr>
            </w:pPr>
            <w:r>
              <w:rPr>
                <w:rFonts w:ascii="Arial" w:cs="Arial" w:eastAsia="Arial" w:hAnsi="Arial"/>
                <w:sz w:val="19"/>
                <w:szCs w:val="19"/>
                <w:color w:val="auto"/>
              </w:rPr>
              <w:t>Tons to external customers</w:t>
            </w:r>
          </w:p>
        </w:tc>
        <w:tc>
          <w:tcPr>
            <w:tcW w:w="500" w:type="dxa"/>
            <w:vAlign w:val="bottom"/>
          </w:tcPr>
          <w:p>
            <w:pPr>
              <w:jc w:val="right"/>
              <w:spacing w:after="0"/>
              <w:rPr>
                <w:sz w:val="20"/>
                <w:szCs w:val="20"/>
                <w:color w:val="auto"/>
              </w:rPr>
            </w:pPr>
            <w:r>
              <w:rPr>
                <w:rFonts w:ascii="Arial" w:cs="Arial" w:eastAsia="Arial" w:hAnsi="Arial"/>
                <w:sz w:val="19"/>
                <w:szCs w:val="19"/>
                <w:color w:val="auto"/>
              </w:rPr>
              <w:t>213</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248</w:t>
            </w:r>
          </w:p>
        </w:tc>
        <w:tc>
          <w:tcPr>
            <w:tcW w:w="120" w:type="dxa"/>
            <w:vAlign w:val="bottom"/>
          </w:tcPr>
          <w:p>
            <w:pPr>
              <w:spacing w:after="0"/>
              <w:rPr>
                <w:sz w:val="20"/>
                <w:szCs w:val="20"/>
                <w:color w:val="auto"/>
              </w:rPr>
            </w:pPr>
          </w:p>
        </w:tc>
      </w:tr>
      <w:tr>
        <w:trPr>
          <w:trHeight w:val="237"/>
        </w:trPr>
        <w:tc>
          <w:tcPr>
            <w:tcW w:w="902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Internal tons used in road paving business</w:t>
            </w:r>
          </w:p>
        </w:tc>
        <w:tc>
          <w:tcPr>
            <w:tcW w:w="5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57</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78</w:t>
            </w:r>
          </w:p>
        </w:tc>
        <w:tc>
          <w:tcPr>
            <w:tcW w:w="120" w:type="dxa"/>
            <w:vAlign w:val="bottom"/>
            <w:shd w:val="clear" w:color="auto" w:fill="CFF0FC"/>
          </w:tcPr>
          <w:p>
            <w:pPr>
              <w:spacing w:after="0"/>
              <w:rPr>
                <w:sz w:val="20"/>
                <w:szCs w:val="20"/>
                <w:color w:val="auto"/>
              </w:rPr>
            </w:pPr>
          </w:p>
        </w:tc>
      </w:tr>
      <w:tr>
        <w:trPr>
          <w:trHeight w:val="270"/>
        </w:trPr>
        <w:tc>
          <w:tcPr>
            <w:tcW w:w="798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Total asphalt tons</w:t>
            </w:r>
          </w:p>
        </w:tc>
        <w:tc>
          <w:tcPr>
            <w:tcW w:w="104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270</w:t>
            </w:r>
          </w:p>
        </w:tc>
        <w:tc>
          <w:tcPr>
            <w:tcW w:w="220" w:type="dxa"/>
            <w:vAlign w:val="bottom"/>
            <w:tcBorders>
              <w:bottom w:val="single" w:sz="8" w:color="CFF0FC"/>
            </w:tcBorders>
          </w:tcPr>
          <w:p>
            <w:pPr>
              <w:spacing w:after="0"/>
              <w:rPr>
                <w:sz w:val="23"/>
                <w:szCs w:val="2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326</w:t>
            </w:r>
          </w:p>
        </w:tc>
        <w:tc>
          <w:tcPr>
            <w:tcW w:w="120" w:type="dxa"/>
            <w:vAlign w:val="bottom"/>
            <w:tcBorders>
              <w:bottom w:val="single" w:sz="8" w:color="CFF0FC"/>
            </w:tcBorders>
          </w:tcPr>
          <w:p>
            <w:pPr>
              <w:spacing w:after="0"/>
              <w:rPr>
                <w:sz w:val="23"/>
                <w:szCs w:val="23"/>
                <w:color w:val="auto"/>
              </w:rPr>
            </w:pPr>
          </w:p>
        </w:tc>
      </w:tr>
      <w:tr>
        <w:trPr>
          <w:trHeight w:val="216"/>
        </w:trPr>
        <w:tc>
          <w:tcPr>
            <w:tcW w:w="798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Ready Mixed Concrete (in thousands of cubic yards):</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7"/>
        </w:trPr>
        <w:tc>
          <w:tcPr>
            <w:tcW w:w="9020" w:type="dxa"/>
            <w:vAlign w:val="bottom"/>
            <w:gridSpan w:val="2"/>
          </w:tcPr>
          <w:p>
            <w:pPr>
              <w:ind w:left="240"/>
              <w:spacing w:after="0"/>
              <w:rPr>
                <w:sz w:val="20"/>
                <w:szCs w:val="20"/>
                <w:color w:val="auto"/>
              </w:rPr>
            </w:pPr>
            <w:r>
              <w:rPr>
                <w:rFonts w:ascii="Arial" w:cs="Arial" w:eastAsia="Arial" w:hAnsi="Arial"/>
                <w:sz w:val="19"/>
                <w:szCs w:val="19"/>
                <w:color w:val="auto"/>
              </w:rPr>
              <w:t>Heritage</w:t>
            </w:r>
          </w:p>
        </w:tc>
        <w:tc>
          <w:tcPr>
            <w:tcW w:w="500" w:type="dxa"/>
            <w:vAlign w:val="bottom"/>
          </w:tcPr>
          <w:p>
            <w:pPr>
              <w:jc w:val="right"/>
              <w:spacing w:after="0"/>
              <w:rPr>
                <w:sz w:val="20"/>
                <w:szCs w:val="20"/>
                <w:color w:val="auto"/>
              </w:rPr>
            </w:pPr>
            <w:r>
              <w:rPr>
                <w:rFonts w:ascii="Arial" w:cs="Arial" w:eastAsia="Arial" w:hAnsi="Arial"/>
                <w:sz w:val="19"/>
                <w:szCs w:val="19"/>
                <w:color w:val="auto"/>
              </w:rPr>
              <w:t>399</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407</w:t>
            </w:r>
          </w:p>
        </w:tc>
        <w:tc>
          <w:tcPr>
            <w:tcW w:w="120" w:type="dxa"/>
            <w:vAlign w:val="bottom"/>
          </w:tcPr>
          <w:p>
            <w:pPr>
              <w:spacing w:after="0"/>
              <w:rPr>
                <w:sz w:val="20"/>
                <w:szCs w:val="20"/>
                <w:color w:val="auto"/>
              </w:rPr>
            </w:pPr>
          </w:p>
        </w:tc>
      </w:tr>
      <w:tr>
        <w:trPr>
          <w:trHeight w:val="237"/>
        </w:trPr>
        <w:tc>
          <w:tcPr>
            <w:tcW w:w="902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Acquisitions</w:t>
            </w:r>
            <w:r>
              <w:rPr>
                <w:rFonts w:ascii="Arial" w:cs="Arial" w:eastAsia="Arial" w:hAnsi="Arial"/>
                <w:sz w:val="16"/>
                <w:szCs w:val="16"/>
                <w:color w:val="auto"/>
              </w:rPr>
              <w:t>(4)</w:t>
            </w:r>
          </w:p>
        </w:tc>
        <w:tc>
          <w:tcPr>
            <w:tcW w:w="5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964</w:t>
            </w: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7980" w:type="dxa"/>
            <w:vAlign w:val="bottom"/>
          </w:tcPr>
          <w:p>
            <w:pPr>
              <w:spacing w:after="0"/>
              <w:rPr>
                <w:sz w:val="20"/>
                <w:szCs w:val="20"/>
                <w:color w:val="auto"/>
              </w:rPr>
            </w:pPr>
            <w:r>
              <w:rPr>
                <w:rFonts w:ascii="Arial" w:cs="Arial" w:eastAsia="Arial" w:hAnsi="Arial"/>
                <w:sz w:val="19"/>
                <w:szCs w:val="19"/>
                <w:color w:val="auto"/>
              </w:rPr>
              <w:t>Total cubic yards</w:t>
            </w:r>
          </w:p>
        </w:tc>
        <w:tc>
          <w:tcPr>
            <w:tcW w:w="10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1,363</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407</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60" w:hanging="255"/>
        <w:spacing w:after="0" w:line="299"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6"/>
          <w:szCs w:val="16"/>
          <w:color w:val="auto"/>
        </w:rPr>
        <w:t>Ready mixed operations acquired by Martin Marietta on July 1, 2014. For comparative purposes, for the three months ended February 28, 2014, TXI shipped 1,085,000 cubic yards of ready mixed concrete. Assuming consistent classification of products included in ready mixed concrete sales, average selling price for the quarter ended March 31, 2015 was 3.2% higher compared with the three months ended February 28, 2014.</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Management estimates rain in Texas reduced ready mixed concrete shipments by 200,000 cubic yards. The heritage ready mixed concrete and asphalt product lines reported pricing improvements of 10.8% and 3.3%, respectively. Winter production reflects increased costs for additives, which is passed along to customers.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32 of 49</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illustrated in the first quarter of 2015, the Aggregates business is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 period and year to date results are not indicative of expected performance for other interim periods or the full year.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Cement Business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Cement business is operating in and benefitting from a sold-out market in Texas. However, first-quarter results were negatively affected by rain in Texas. For the quarter, the business generated $96.6 million of net sales and $19.0 million of gross margin. Plant utilization varies between 75% and 85% for plants in Texas and 70% and 75% in California. The business incurred $5.4 million in planned cement kiln shutdown costs during the first quarter. The Corporation expects $2 million, $11 million and $10 million of shutdown costs in the second, third and fourth quarters,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40" w:type="dxa"/>
            <w:vAlign w:val="bottom"/>
          </w:tcPr>
          <w:p>
            <w:pPr>
              <w:spacing w:after="0"/>
              <w:rPr>
                <w:sz w:val="20"/>
                <w:szCs w:val="20"/>
                <w:color w:val="auto"/>
              </w:rPr>
            </w:pPr>
            <w:r>
              <w:rPr>
                <w:rFonts w:ascii="Arial" w:cs="Arial" w:eastAsia="Arial" w:hAnsi="Arial"/>
                <w:sz w:val="19"/>
                <w:szCs w:val="19"/>
                <w:color w:val="auto"/>
              </w:rPr>
              <w:t>Cement shipments for the three months ended March 31, 2015 were (tons in thousands):</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55"/>
        </w:trPr>
        <w:tc>
          <w:tcPr>
            <w:tcW w:w="9440" w:type="dxa"/>
            <w:vAlign w:val="bottom"/>
          </w:tcPr>
          <w:p>
            <w:pPr>
              <w:ind w:left="240"/>
              <w:spacing w:after="0"/>
              <w:rPr>
                <w:sz w:val="20"/>
                <w:szCs w:val="20"/>
                <w:color w:val="auto"/>
              </w:rPr>
            </w:pPr>
            <w:r>
              <w:rPr>
                <w:rFonts w:ascii="Arial" w:cs="Arial" w:eastAsia="Arial" w:hAnsi="Arial"/>
                <w:sz w:val="19"/>
                <w:szCs w:val="19"/>
                <w:color w:val="auto"/>
              </w:rPr>
              <w:t>Tons to external customers</w:t>
            </w:r>
          </w:p>
        </w:tc>
        <w:tc>
          <w:tcPr>
            <w:tcW w:w="1860" w:type="dxa"/>
            <w:vAlign w:val="bottom"/>
          </w:tcPr>
          <w:p>
            <w:pPr>
              <w:jc w:val="right"/>
              <w:spacing w:after="0"/>
              <w:rPr>
                <w:sz w:val="20"/>
                <w:szCs w:val="20"/>
                <w:color w:val="auto"/>
              </w:rPr>
            </w:pPr>
            <w:r>
              <w:rPr>
                <w:rFonts w:ascii="Arial" w:cs="Arial" w:eastAsia="Arial" w:hAnsi="Arial"/>
                <w:sz w:val="19"/>
                <w:szCs w:val="19"/>
                <w:color w:val="auto"/>
              </w:rPr>
              <w:t>1,025</w:t>
            </w:r>
          </w:p>
        </w:tc>
        <w:tc>
          <w:tcPr>
            <w:tcW w:w="120" w:type="dxa"/>
            <w:vAlign w:val="bottom"/>
          </w:tcPr>
          <w:p>
            <w:pPr>
              <w:spacing w:after="0"/>
              <w:rPr>
                <w:sz w:val="24"/>
                <w:szCs w:val="24"/>
                <w:color w:val="auto"/>
              </w:rPr>
            </w:pPr>
          </w:p>
        </w:tc>
      </w:tr>
      <w:tr>
        <w:trPr>
          <w:trHeight w:val="237"/>
        </w:trPr>
        <w:tc>
          <w:tcPr>
            <w:tcW w:w="94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Internal tons used in other product lines</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192</w:t>
            </w:r>
          </w:p>
        </w:tc>
        <w:tc>
          <w:tcPr>
            <w:tcW w:w="120" w:type="dxa"/>
            <w:vAlign w:val="bottom"/>
            <w:shd w:val="clear" w:color="auto" w:fill="CFF0FC"/>
          </w:tcPr>
          <w:p>
            <w:pPr>
              <w:spacing w:after="0"/>
              <w:rPr>
                <w:sz w:val="20"/>
                <w:szCs w:val="20"/>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9"/>
                <w:szCs w:val="19"/>
                <w:color w:val="auto"/>
              </w:rPr>
              <w:t>Total cement tons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1,217</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For comparative purposes, for the quarter ended March 31, 2015, cement tons shipped or used in other product lines increased 6.7% compared with the three months ended February 28, 2014, a period prior to the Corporation’s ownership of these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Average selling price per-ton for the cement operations for the three months ended March 31, 2015 was $93.41.</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Magnesia Specialties Business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Magnesia Specialties continued to deliver strong performance and generated first-quarter record net sales of $58.8 million, an increase of 2.5%. Growth was primarily attributable to the chemicals product line and steel utilization of 77%. The business’ gross margin (excluding freight and delivery revenues) of 34.3% improved 160 basis points over the prior-year quarter. First-quarter earnings from operations were $17.8 million compared with $16.3 million in the prior-year quarter.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Consolidated Operating Results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quarter ended March 31, 2015, the aggregates product line production total cost per ton shipped remained relatively flat over the prior-year quarter. This represents an increase in production costs as volume ramped up, partially offset by lower energy costs. For the first quarter, the Corporation paid $2.04 per gallon of diesel compared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33 of 49</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with $3.18 in the prior-year quarter. The heritage aggregates product line leveraged increased shipments and a higher average selling price to expand its gross margin (excluding freight and delivery revenues) by 770 basis points. Notably, the heritage Aggregates business achieved an incremental gross margin of 76% for the quarter ended March 31, 2015. On an overall basis, the Corporation’s consolidated gross margin (excluding freight and delivery revenues) was 11.8% for 2015 compared to 6.8% for 2014. The following presents a rollforward of consolidated gross profit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44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Consolidated gross profit, quarter ended March 31, 2014</w:t>
            </w:r>
          </w:p>
        </w:tc>
        <w:tc>
          <w:tcPr>
            <w:tcW w:w="68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25,835</w:t>
            </w:r>
          </w:p>
        </w:tc>
        <w:tc>
          <w:tcPr>
            <w:tcW w:w="120" w:type="dxa"/>
            <w:vAlign w:val="bottom"/>
            <w:tcBorders>
              <w:bottom w:val="single" w:sz="8" w:color="CFF0FC"/>
            </w:tcBorders>
          </w:tcPr>
          <w:p>
            <w:pPr>
              <w:spacing w:after="0"/>
              <w:rPr>
                <w:sz w:val="20"/>
                <w:szCs w:val="20"/>
                <w:color w:val="auto"/>
              </w:rPr>
            </w:pPr>
          </w:p>
        </w:tc>
      </w:tr>
      <w:tr>
        <w:trPr>
          <w:trHeight w:val="230"/>
        </w:trPr>
        <w:tc>
          <w:tcPr>
            <w:tcW w:w="9440" w:type="dxa"/>
            <w:vAlign w:val="bottom"/>
            <w:shd w:val="clear" w:color="auto" w:fill="CFF0FC"/>
          </w:tcPr>
          <w:p>
            <w:pPr>
              <w:spacing w:after="0"/>
              <w:rPr>
                <w:sz w:val="20"/>
                <w:szCs w:val="20"/>
                <w:color w:val="auto"/>
              </w:rPr>
            </w:pPr>
            <w:r>
              <w:rPr>
                <w:rFonts w:ascii="Arial" w:cs="Arial" w:eastAsia="Arial" w:hAnsi="Arial"/>
                <w:sz w:val="19"/>
                <w:szCs w:val="19"/>
                <w:color w:val="auto"/>
              </w:rPr>
              <w:t>Aggregates product line:</w:t>
            </w:r>
          </w:p>
        </w:tc>
        <w:tc>
          <w:tcPr>
            <w:tcW w:w="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9440" w:type="dxa"/>
            <w:vAlign w:val="bottom"/>
          </w:tcPr>
          <w:p>
            <w:pPr>
              <w:ind w:left="240"/>
              <w:spacing w:after="0"/>
              <w:rPr>
                <w:sz w:val="20"/>
                <w:szCs w:val="20"/>
                <w:color w:val="auto"/>
              </w:rPr>
            </w:pPr>
            <w:r>
              <w:rPr>
                <w:rFonts w:ascii="Arial" w:cs="Arial" w:eastAsia="Arial" w:hAnsi="Arial"/>
                <w:sz w:val="19"/>
                <w:szCs w:val="19"/>
                <w:color w:val="auto"/>
              </w:rPr>
              <w:t>Heritage volume strength</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9,783</w:t>
            </w:r>
          </w:p>
        </w:tc>
        <w:tc>
          <w:tcPr>
            <w:tcW w:w="120" w:type="dxa"/>
            <w:vAlign w:val="bottom"/>
          </w:tcPr>
          <w:p>
            <w:pPr>
              <w:spacing w:after="0"/>
              <w:rPr>
                <w:sz w:val="20"/>
                <w:szCs w:val="20"/>
                <w:color w:val="auto"/>
              </w:rPr>
            </w:pPr>
          </w:p>
        </w:tc>
      </w:tr>
      <w:tr>
        <w:trPr>
          <w:trHeight w:val="237"/>
        </w:trPr>
        <w:tc>
          <w:tcPr>
            <w:tcW w:w="94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Heritage pricing strength</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28,872</w:t>
            </w:r>
          </w:p>
        </w:tc>
        <w:tc>
          <w:tcPr>
            <w:tcW w:w="120" w:type="dxa"/>
            <w:vAlign w:val="bottom"/>
            <w:shd w:val="clear" w:color="auto" w:fill="CFF0FC"/>
          </w:tcPr>
          <w:p>
            <w:pPr>
              <w:spacing w:after="0"/>
              <w:rPr>
                <w:sz w:val="20"/>
                <w:szCs w:val="20"/>
                <w:color w:val="auto"/>
              </w:rPr>
            </w:pPr>
          </w:p>
        </w:tc>
      </w:tr>
      <w:tr>
        <w:trPr>
          <w:trHeight w:val="237"/>
        </w:trPr>
        <w:tc>
          <w:tcPr>
            <w:tcW w:w="9440" w:type="dxa"/>
            <w:vAlign w:val="bottom"/>
          </w:tcPr>
          <w:p>
            <w:pPr>
              <w:ind w:left="240"/>
              <w:spacing w:after="0"/>
              <w:rPr>
                <w:sz w:val="20"/>
                <w:szCs w:val="20"/>
                <w:color w:val="auto"/>
              </w:rPr>
            </w:pPr>
            <w:r>
              <w:rPr>
                <w:rFonts w:ascii="Arial" w:cs="Arial" w:eastAsia="Arial" w:hAnsi="Arial"/>
                <w:sz w:val="19"/>
                <w:szCs w:val="19"/>
                <w:color w:val="auto"/>
              </w:rPr>
              <w:t>Cost increases, net</w:t>
            </w:r>
          </w:p>
        </w:tc>
        <w:tc>
          <w:tcPr>
            <w:tcW w:w="6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9"/>
                <w:szCs w:val="19"/>
                <w:color w:val="auto"/>
              </w:rPr>
              <w:t>(14,223)</w:t>
            </w:r>
          </w:p>
        </w:tc>
      </w:tr>
      <w:tr>
        <w:trPr>
          <w:trHeight w:val="230"/>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Increase in aggregates product line gross profit</w:t>
            </w:r>
          </w:p>
        </w:tc>
        <w:tc>
          <w:tcPr>
            <w:tcW w:w="6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24,432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19"/>
                <w:szCs w:val="19"/>
                <w:color w:val="auto"/>
              </w:rPr>
              <w:t>Aggregates-related downstream product lines</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2,873</w:t>
            </w:r>
          </w:p>
        </w:tc>
        <w:tc>
          <w:tcPr>
            <w:tcW w:w="120" w:type="dxa"/>
            <w:vAlign w:val="bottom"/>
          </w:tcPr>
          <w:p>
            <w:pPr>
              <w:spacing w:after="0"/>
              <w:rPr>
                <w:sz w:val="20"/>
                <w:szCs w:val="20"/>
                <w:color w:val="auto"/>
              </w:rPr>
            </w:pPr>
          </w:p>
        </w:tc>
      </w:tr>
      <w:tr>
        <w:trPr>
          <w:trHeight w:val="237"/>
        </w:trPr>
        <w:tc>
          <w:tcPr>
            <w:tcW w:w="9440" w:type="dxa"/>
            <w:vAlign w:val="bottom"/>
            <w:shd w:val="clear" w:color="auto" w:fill="CFF0FC"/>
          </w:tcPr>
          <w:p>
            <w:pPr>
              <w:spacing w:after="0"/>
              <w:rPr>
                <w:sz w:val="20"/>
                <w:szCs w:val="20"/>
                <w:color w:val="auto"/>
              </w:rPr>
            </w:pPr>
            <w:r>
              <w:rPr>
                <w:rFonts w:ascii="Arial" w:cs="Arial" w:eastAsia="Arial" w:hAnsi="Arial"/>
                <w:sz w:val="19"/>
                <w:szCs w:val="19"/>
                <w:color w:val="auto"/>
              </w:rPr>
              <w:t>Acquired aggregates business operations</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3,835</w:t>
            </w:r>
          </w:p>
        </w:tc>
        <w:tc>
          <w:tcPr>
            <w:tcW w:w="120" w:type="dxa"/>
            <w:vAlign w:val="bottom"/>
            <w:shd w:val="clear" w:color="auto" w:fill="CFF0FC"/>
          </w:tcPr>
          <w:p>
            <w:pPr>
              <w:spacing w:after="0"/>
              <w:rPr>
                <w:sz w:val="20"/>
                <w:szCs w:val="20"/>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19"/>
                <w:szCs w:val="19"/>
                <w:color w:val="auto"/>
              </w:rPr>
              <w:t>Cement</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18,985</w:t>
            </w:r>
          </w:p>
        </w:tc>
        <w:tc>
          <w:tcPr>
            <w:tcW w:w="120" w:type="dxa"/>
            <w:vAlign w:val="bottom"/>
          </w:tcPr>
          <w:p>
            <w:pPr>
              <w:spacing w:after="0"/>
              <w:rPr>
                <w:sz w:val="20"/>
                <w:szCs w:val="20"/>
                <w:color w:val="auto"/>
              </w:rPr>
            </w:pPr>
          </w:p>
        </w:tc>
      </w:tr>
      <w:tr>
        <w:trPr>
          <w:trHeight w:val="237"/>
        </w:trPr>
        <w:tc>
          <w:tcPr>
            <w:tcW w:w="9440" w:type="dxa"/>
            <w:vAlign w:val="bottom"/>
            <w:shd w:val="clear" w:color="auto" w:fill="CFF0FC"/>
          </w:tcPr>
          <w:p>
            <w:pPr>
              <w:spacing w:after="0"/>
              <w:rPr>
                <w:sz w:val="20"/>
                <w:szCs w:val="20"/>
                <w:color w:val="auto"/>
              </w:rPr>
            </w:pPr>
            <w:r>
              <w:rPr>
                <w:rFonts w:ascii="Arial" w:cs="Arial" w:eastAsia="Arial" w:hAnsi="Arial"/>
                <w:sz w:val="19"/>
                <w:szCs w:val="19"/>
                <w:color w:val="auto"/>
              </w:rPr>
              <w:t>Magnesia Specialties</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1,423</w:t>
            </w:r>
          </w:p>
        </w:tc>
        <w:tc>
          <w:tcPr>
            <w:tcW w:w="120" w:type="dxa"/>
            <w:vAlign w:val="bottom"/>
            <w:shd w:val="clear" w:color="auto" w:fill="CFF0FC"/>
          </w:tcPr>
          <w:p>
            <w:pPr>
              <w:spacing w:after="0"/>
              <w:rPr>
                <w:sz w:val="20"/>
                <w:szCs w:val="20"/>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19"/>
                <w:szCs w:val="19"/>
                <w:color w:val="auto"/>
              </w:rPr>
              <w:t>Corporate</w:t>
            </w:r>
          </w:p>
        </w:tc>
        <w:tc>
          <w:tcPr>
            <w:tcW w:w="6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9"/>
                <w:szCs w:val="19"/>
                <w:color w:val="auto"/>
              </w:rPr>
              <w:t>(3,122)</w:t>
            </w:r>
          </w:p>
        </w:tc>
      </w:tr>
      <w:tr>
        <w:trPr>
          <w:trHeight w:val="230"/>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Increase in consolidated gross profit</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48,426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9"/>
                <w:szCs w:val="19"/>
                <w:color w:val="auto"/>
              </w:rPr>
              <w:t>Consolidated gross profit, quarter ended March 31, 2015</w:t>
            </w:r>
          </w:p>
        </w:tc>
        <w:tc>
          <w:tcPr>
            <w:tcW w:w="68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74,261</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34 of 49</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gridSpan w:val="2"/>
          </w:tcPr>
          <w:p>
            <w:pPr>
              <w:spacing w:after="0"/>
              <w:rPr>
                <w:sz w:val="20"/>
                <w:szCs w:val="20"/>
                <w:color w:val="auto"/>
              </w:rPr>
            </w:pPr>
            <w:r>
              <w:rPr>
                <w:rFonts w:ascii="Arial" w:cs="Arial" w:eastAsia="Arial" w:hAnsi="Arial"/>
                <w:sz w:val="19"/>
                <w:szCs w:val="19"/>
                <w:color w:val="auto"/>
              </w:rPr>
              <w:t>Gross profit (loss) by business is as follows:</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1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60" w:type="dxa"/>
            <w:vAlign w:val="bottom"/>
            <w:gridSpan w:val="5"/>
          </w:tcPr>
          <w:p>
            <w:pPr>
              <w:jc w:val="center"/>
              <w:ind w:left="444"/>
              <w:spacing w:after="0"/>
              <w:rPr>
                <w:sz w:val="20"/>
                <w:szCs w:val="20"/>
                <w:color w:val="auto"/>
              </w:rPr>
            </w:pPr>
            <w:r>
              <w:rPr>
                <w:rFonts w:ascii="Arial" w:cs="Arial" w:eastAsia="Arial" w:hAnsi="Arial"/>
                <w:sz w:val="19"/>
                <w:szCs w:val="19"/>
                <w:color w:val="auto"/>
                <w:w w:val="91"/>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345"/>
              <w:spacing w:after="0"/>
              <w:rPr>
                <w:sz w:val="20"/>
                <w:szCs w:val="20"/>
                <w:color w:val="auto"/>
              </w:rPr>
            </w:pPr>
            <w:r>
              <w:rPr>
                <w:rFonts w:ascii="Arial" w:cs="Arial" w:eastAsia="Arial" w:hAnsi="Arial"/>
                <w:sz w:val="19"/>
                <w:szCs w:val="19"/>
                <w:color w:val="auto"/>
                <w:w w:val="94"/>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gridSpan w:val="2"/>
            <w:vMerge w:val="restart"/>
          </w:tcPr>
          <w:p>
            <w:pPr>
              <w:spacing w:after="0"/>
              <w:rPr>
                <w:sz w:val="20"/>
                <w:szCs w:val="20"/>
                <w:color w:val="auto"/>
              </w:rPr>
            </w:pPr>
            <w:r>
              <w:rPr>
                <w:rFonts w:ascii="Arial" w:cs="Arial" w:eastAsia="Arial" w:hAnsi="Arial"/>
                <w:sz w:val="19"/>
                <w:szCs w:val="19"/>
                <w:color w:val="auto"/>
              </w:rPr>
              <w:t>Gross profit (loss):</w:t>
            </w:r>
          </w:p>
        </w:tc>
        <w:tc>
          <w:tcPr>
            <w:tcW w:w="2280" w:type="dxa"/>
            <w:vAlign w:val="bottom"/>
          </w:tcPr>
          <w:p>
            <w:pPr>
              <w:spacing w:after="0"/>
              <w:rPr>
                <w:sz w:val="20"/>
                <w:szCs w:val="20"/>
                <w:color w:val="auto"/>
              </w:rPr>
            </w:pPr>
          </w:p>
        </w:tc>
        <w:tc>
          <w:tcPr>
            <w:tcW w:w="2760" w:type="dxa"/>
            <w:vAlign w:val="bottom"/>
            <w:gridSpan w:val="5"/>
          </w:tcPr>
          <w:p>
            <w:pPr>
              <w:jc w:val="center"/>
              <w:ind w:left="464"/>
              <w:spacing w:after="0"/>
              <w:rPr>
                <w:sz w:val="20"/>
                <w:szCs w:val="20"/>
                <w:color w:val="auto"/>
              </w:rPr>
            </w:pPr>
            <w:r>
              <w:rPr>
                <w:rFonts w:ascii="Arial" w:cs="Arial" w:eastAsia="Arial" w:hAnsi="Arial"/>
                <w:sz w:val="19"/>
                <w:szCs w:val="19"/>
                <w:i w:val="1"/>
                <w:iCs w:val="1"/>
                <w:color w:val="auto"/>
                <w:w w:val="94"/>
              </w:rPr>
              <w:t>(Dollars 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2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9"/>
                <w:szCs w:val="19"/>
                <w:color w:val="auto"/>
              </w:rPr>
              <w:t>Heritage:</w:t>
            </w:r>
          </w:p>
        </w:tc>
        <w:tc>
          <w:tcPr>
            <w:tcW w:w="4240" w:type="dxa"/>
            <w:vAlign w:val="bottom"/>
            <w:shd w:val="clear" w:color="auto" w:fill="CFF0FC"/>
          </w:tcPr>
          <w:p>
            <w:pPr>
              <w:spacing w:after="0"/>
              <w:rPr>
                <w:sz w:val="22"/>
                <w:szCs w:val="22"/>
                <w:color w:val="auto"/>
              </w:rPr>
            </w:pPr>
          </w:p>
        </w:tc>
        <w:tc>
          <w:tcPr>
            <w:tcW w:w="2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ind w:left="480"/>
              <w:spacing w:after="0"/>
              <w:rPr>
                <w:sz w:val="20"/>
                <w:szCs w:val="20"/>
                <w:color w:val="auto"/>
              </w:rPr>
            </w:pPr>
            <w:r>
              <w:rPr>
                <w:rFonts w:ascii="Arial" w:cs="Arial" w:eastAsia="Arial" w:hAnsi="Arial"/>
                <w:sz w:val="19"/>
                <w:szCs w:val="19"/>
                <w:color w:val="auto"/>
              </w:rPr>
              <w:t>Aggregates</w:t>
            </w:r>
          </w:p>
        </w:tc>
        <w:tc>
          <w:tcPr>
            <w:tcW w:w="3260" w:type="dxa"/>
            <w:vAlign w:val="bottom"/>
            <w:gridSpan w:val="2"/>
          </w:tcPr>
          <w:p>
            <w:pPr>
              <w:jc w:val="right"/>
              <w:ind w:right="784"/>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34,483</w:t>
            </w:r>
          </w:p>
        </w:tc>
        <w:tc>
          <w:tcPr>
            <w:tcW w:w="220" w:type="dxa"/>
            <w:vAlign w:val="bottom"/>
          </w:tcPr>
          <w:p>
            <w:pPr>
              <w:spacing w:after="0"/>
              <w:rPr>
                <w:sz w:val="20"/>
                <w:szCs w:val="20"/>
                <w:color w:val="auto"/>
              </w:rPr>
            </w:pPr>
          </w:p>
        </w:tc>
        <w:tc>
          <w:tcPr>
            <w:tcW w:w="1000" w:type="dxa"/>
            <w:vAlign w:val="bottom"/>
            <w:gridSpan w:val="2"/>
          </w:tcPr>
          <w:p>
            <w:pPr>
              <w:jc w:val="right"/>
              <w:ind w:right="825"/>
              <w:spacing w:after="0"/>
              <w:rPr>
                <w:sz w:val="20"/>
                <w:szCs w:val="20"/>
                <w:color w:val="auto"/>
              </w:rPr>
            </w:pPr>
            <w:r>
              <w:rPr>
                <w:rFonts w:ascii="Arial" w:cs="Arial" w:eastAsia="Arial" w:hAnsi="Arial"/>
                <w:sz w:val="19"/>
                <w:szCs w:val="19"/>
                <w:color w:val="auto"/>
                <w:w w:val="75"/>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10,051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Asphalt</w:t>
            </w:r>
          </w:p>
        </w:tc>
        <w:tc>
          <w:tcPr>
            <w:tcW w:w="2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(1,463)</w:t>
            </w: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w w:val="99"/>
              </w:rPr>
              <w:t>(1,426)</w:t>
            </w:r>
          </w:p>
        </w:tc>
        <w:tc>
          <w:tcPr>
            <w:tcW w:w="0" w:type="dxa"/>
            <w:vAlign w:val="bottom"/>
          </w:tcPr>
          <w:p>
            <w:pPr>
              <w:spacing w:after="0"/>
              <w:rPr>
                <w:sz w:val="1"/>
                <w:szCs w:val="1"/>
                <w:color w:val="auto"/>
              </w:rPr>
            </w:pPr>
          </w:p>
        </w:tc>
      </w:tr>
      <w:tr>
        <w:trPr>
          <w:trHeight w:val="237"/>
        </w:trPr>
        <w:tc>
          <w:tcPr>
            <w:tcW w:w="5700" w:type="dxa"/>
            <w:vAlign w:val="bottom"/>
            <w:gridSpan w:val="2"/>
          </w:tcPr>
          <w:p>
            <w:pPr>
              <w:ind w:left="480"/>
              <w:spacing w:after="0"/>
              <w:rPr>
                <w:sz w:val="20"/>
                <w:szCs w:val="20"/>
                <w:color w:val="auto"/>
              </w:rPr>
            </w:pPr>
            <w:r>
              <w:rPr>
                <w:rFonts w:ascii="Arial" w:cs="Arial" w:eastAsia="Arial" w:hAnsi="Arial"/>
                <w:sz w:val="19"/>
                <w:szCs w:val="19"/>
                <w:color w:val="auto"/>
              </w:rPr>
              <w:t>Ready Mixed Concrete</w:t>
            </w: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5,183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2,944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Road Paving</w:t>
            </w:r>
          </w:p>
        </w:tc>
        <w:tc>
          <w:tcPr>
            <w:tcW w:w="2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(3,311)</w:t>
            </w: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w w:val="99"/>
              </w:rPr>
              <w:t>(3,982)</w:t>
            </w:r>
          </w:p>
        </w:tc>
        <w:tc>
          <w:tcPr>
            <w:tcW w:w="0" w:type="dxa"/>
            <w:vAlign w:val="bottom"/>
          </w:tcPr>
          <w:p>
            <w:pPr>
              <w:spacing w:after="0"/>
              <w:rPr>
                <w:sz w:val="1"/>
                <w:szCs w:val="1"/>
                <w:color w:val="auto"/>
              </w:rPr>
            </w:pPr>
          </w:p>
        </w:tc>
      </w:tr>
      <w:tr>
        <w:trPr>
          <w:trHeight w:val="230"/>
        </w:trPr>
        <w:tc>
          <w:tcPr>
            <w:tcW w:w="5700" w:type="dxa"/>
            <w:vAlign w:val="bottom"/>
            <w:gridSpan w:val="2"/>
          </w:tcPr>
          <w:p>
            <w:pPr>
              <w:ind w:left="480"/>
              <w:spacing w:after="0"/>
              <w:rPr>
                <w:sz w:val="20"/>
                <w:szCs w:val="20"/>
                <w:color w:val="auto"/>
              </w:rPr>
            </w:pPr>
            <w:r>
              <w:rPr>
                <w:rFonts w:ascii="Arial" w:cs="Arial" w:eastAsia="Arial" w:hAnsi="Arial"/>
                <w:sz w:val="19"/>
                <w:szCs w:val="19"/>
                <w:color w:val="auto"/>
              </w:rPr>
              <w:t>Total Aggregates Business</w:t>
            </w:r>
          </w:p>
        </w:tc>
        <w:tc>
          <w:tcPr>
            <w:tcW w:w="22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2"/>
              </w:rPr>
              <w:t>34,892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2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2"/>
              </w:rPr>
              <w:t>20,178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2"/>
              </w:rPr>
              <w:t>18,755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(2,795)</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(507)</w:t>
            </w:r>
          </w:p>
        </w:tc>
        <w:tc>
          <w:tcPr>
            <w:tcW w:w="0" w:type="dxa"/>
            <w:vAlign w:val="bottom"/>
          </w:tcPr>
          <w:p>
            <w:pPr>
              <w:spacing w:after="0"/>
              <w:rPr>
                <w:sz w:val="1"/>
                <w:szCs w:val="1"/>
                <w:color w:val="auto"/>
              </w:rPr>
            </w:pPr>
          </w:p>
        </w:tc>
      </w:tr>
      <w:tr>
        <w:trPr>
          <w:trHeight w:val="230"/>
        </w:trPr>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Heritage</w:t>
            </w:r>
          </w:p>
        </w:tc>
        <w:tc>
          <w:tcPr>
            <w:tcW w:w="2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52,275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25,835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Aggregates</w:t>
            </w:r>
          </w:p>
        </w:tc>
        <w:tc>
          <w:tcPr>
            <w:tcW w:w="2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6,934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700" w:type="dxa"/>
            <w:vAlign w:val="bottom"/>
            <w:gridSpan w:val="2"/>
          </w:tcPr>
          <w:p>
            <w:pPr>
              <w:ind w:left="240"/>
              <w:spacing w:after="0"/>
              <w:rPr>
                <w:sz w:val="20"/>
                <w:szCs w:val="20"/>
                <w:color w:val="auto"/>
              </w:rPr>
            </w:pPr>
            <w:r>
              <w:rPr>
                <w:rFonts w:ascii="Arial" w:cs="Arial" w:eastAsia="Arial" w:hAnsi="Arial"/>
                <w:sz w:val="19"/>
                <w:szCs w:val="19"/>
                <w:color w:val="auto"/>
              </w:rPr>
              <w:t>Ready Mixed Concrete</w:t>
            </w: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(3,099)</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2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2"/>
              </w:rPr>
              <w:t>18,985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70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(834)</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2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21,986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9"/>
                <w:szCs w:val="19"/>
                <w:color w:val="auto"/>
              </w:rPr>
              <w:t>Total</w:t>
            </w:r>
          </w:p>
        </w:tc>
        <w:tc>
          <w:tcPr>
            <w:tcW w:w="2280" w:type="dxa"/>
            <w:vAlign w:val="bottom"/>
          </w:tcPr>
          <w:p>
            <w:pPr>
              <w:spacing w:after="0"/>
              <w:rPr>
                <w:sz w:val="19"/>
                <w:szCs w:val="19"/>
                <w:color w:val="auto"/>
              </w:rPr>
            </w:pPr>
          </w:p>
        </w:tc>
        <w:tc>
          <w:tcPr>
            <w:tcW w:w="980" w:type="dxa"/>
            <w:vAlign w:val="bottom"/>
            <w:tcBorders>
              <w:bottom w:val="single" w:sz="8" w:color="auto"/>
            </w:tcBorders>
          </w:tcPr>
          <w:p>
            <w:pPr>
              <w:jc w:val="right"/>
              <w:ind w:right="784"/>
              <w:spacing w:after="0"/>
              <w:rPr>
                <w:sz w:val="20"/>
                <w:szCs w:val="20"/>
                <w:color w:val="auto"/>
              </w:rPr>
            </w:pPr>
            <w:r>
              <w:rPr>
                <w:rFonts w:ascii="Arial" w:cs="Arial" w:eastAsia="Arial" w:hAnsi="Arial"/>
                <w:sz w:val="19"/>
                <w:szCs w:val="19"/>
                <w:color w:val="auto"/>
                <w:w w:val="7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2"/>
              </w:rPr>
              <w:t>74,261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2"/>
              </w:rPr>
              <w:t>25,835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consolidated heritage gross margin (excluding freight and delivery revenues) for the quarter was 12.5%, a 570-basis-point improvement compared with the prior-year quarter.</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Consolidated SG&amp;A was 7.8% of net sales compared with 9.0% in the prior-year quarter. The reduction of 120 basis points reflects the growth of net sales outpacing the increase in SG&amp;A, partially offset by higher pension expense. The Corporation incurred acquisition-related expenses of $1.6 million, which is the expected run rate for the next few quarters. Earnings from operations for the quarter were $25.6 million compared with a loss from operations of $15.9 million.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income and expenses, net, was income of $2.4 million in 2015 and $2.0 million in 2014.</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nonoperating income and expenses, net, includes foreign currency translation gains and losses, interest and other miscellaneous income and equity adjustments for nonconsolidated affiliates. The $2.6 million decrease in other nonoperating expenses, net, reflects a lower foreign currency translation loss compared with 2014.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35 of 49</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LIQUIDITY AND CAPITAL RESOURCES</w:t>
      </w:r>
    </w:p>
    <w:p>
      <w:pPr>
        <w:spacing w:after="0" w:line="11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Cash provided by operating activities for the three months ended March 31, 2015 was $35.1 million compared with $6.6 million for the same period in 2014. The increase was primarily attributable to higher earnings before depreciation, depletion and amortization expense, partially offset by increased cash payments in 2015 for 2014 taxes. Operating cash flow is primarily derived from consolidated net earnings before deducting depreciation, depletion and amortization, and the impact of changes in working capital. Depreciation, depletion and amortization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gridSpan w:val="4"/>
          </w:tcPr>
          <w:p>
            <w:pPr>
              <w:jc w:val="center"/>
              <w:ind w:left="444"/>
              <w:spacing w:after="0"/>
              <w:rPr>
                <w:sz w:val="20"/>
                <w:szCs w:val="20"/>
                <w:color w:val="auto"/>
              </w:rPr>
            </w:pPr>
            <w:r>
              <w:rPr>
                <w:rFonts w:ascii="Arial" w:cs="Arial" w:eastAsia="Arial" w:hAnsi="Arial"/>
                <w:sz w:val="19"/>
                <w:szCs w:val="19"/>
                <w:color w:val="auto"/>
                <w:w w:val="91"/>
              </w:rPr>
              <w:t>Three Months Ended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45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324"/>
              <w:spacing w:after="0"/>
              <w:rPr>
                <w:sz w:val="20"/>
                <w:szCs w:val="20"/>
                <w:color w:val="auto"/>
              </w:rPr>
            </w:pPr>
            <w:r>
              <w:rPr>
                <w:rFonts w:ascii="Arial" w:cs="Arial" w:eastAsia="Arial" w:hAnsi="Arial"/>
                <w:sz w:val="19"/>
                <w:szCs w:val="19"/>
                <w:color w:val="auto"/>
                <w:w w:val="94"/>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4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60" w:type="dxa"/>
            <w:vAlign w:val="bottom"/>
            <w:gridSpan w:val="4"/>
          </w:tcPr>
          <w:p>
            <w:pPr>
              <w:jc w:val="center"/>
              <w:ind w:left="464"/>
              <w:spacing w:after="0"/>
              <w:rPr>
                <w:sz w:val="20"/>
                <w:szCs w:val="20"/>
                <w:color w:val="auto"/>
              </w:rPr>
            </w:pPr>
            <w:r>
              <w:rPr>
                <w:rFonts w:ascii="Arial" w:cs="Arial" w:eastAsia="Arial" w:hAnsi="Arial"/>
                <w:sz w:val="19"/>
                <w:szCs w:val="19"/>
                <w:i w:val="1"/>
                <w:iCs w:val="1"/>
                <w:color w:val="auto"/>
                <w:w w:val="94"/>
              </w:rPr>
              <w:t>(Dollars in Thousands)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9"/>
                <w:szCs w:val="19"/>
                <w:color w:val="auto"/>
              </w:rPr>
              <w:t>Depreciation</w:t>
            </w:r>
          </w:p>
        </w:tc>
        <w:tc>
          <w:tcPr>
            <w:tcW w:w="4460" w:type="dxa"/>
            <w:vAlign w:val="bottom"/>
            <w:gridSpan w:val="2"/>
          </w:tcPr>
          <w:p>
            <w:pPr>
              <w:jc w:val="right"/>
              <w:ind w:right="784"/>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59,796</w:t>
            </w:r>
          </w:p>
        </w:tc>
        <w:tc>
          <w:tcPr>
            <w:tcW w:w="1220" w:type="dxa"/>
            <w:vAlign w:val="bottom"/>
            <w:gridSpan w:val="2"/>
          </w:tcPr>
          <w:p>
            <w:pPr>
              <w:jc w:val="right"/>
              <w:ind w:right="804"/>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2"/>
              </w:rPr>
              <w:t>40,107</w:t>
            </w:r>
          </w:p>
        </w:tc>
        <w:tc>
          <w:tcPr>
            <w:tcW w:w="120" w:type="dxa"/>
            <w:vAlign w:val="bottom"/>
          </w:tcPr>
          <w:p>
            <w:pPr>
              <w:spacing w:after="0"/>
              <w:rPr>
                <w:sz w:val="20"/>
                <w:szCs w:val="20"/>
                <w:color w:val="auto"/>
              </w:rPr>
            </w:pPr>
          </w:p>
        </w:tc>
      </w:tr>
      <w:tr>
        <w:trPr>
          <w:trHeight w:val="237"/>
        </w:trPr>
        <w:tc>
          <w:tcPr>
            <w:tcW w:w="4500" w:type="dxa"/>
            <w:vAlign w:val="bottom"/>
            <w:shd w:val="clear" w:color="auto" w:fill="CFF0FC"/>
          </w:tcPr>
          <w:p>
            <w:pPr>
              <w:spacing w:after="0"/>
              <w:rPr>
                <w:sz w:val="20"/>
                <w:szCs w:val="20"/>
                <w:color w:val="auto"/>
              </w:rPr>
            </w:pPr>
            <w:r>
              <w:rPr>
                <w:rFonts w:ascii="Arial" w:cs="Arial" w:eastAsia="Arial" w:hAnsi="Arial"/>
                <w:sz w:val="19"/>
                <w:szCs w:val="19"/>
                <w:color w:val="auto"/>
              </w:rPr>
              <w:t>Depletion</w:t>
            </w:r>
          </w:p>
        </w:tc>
        <w:tc>
          <w:tcPr>
            <w:tcW w:w="3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3,078</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1,068</w:t>
            </w:r>
          </w:p>
        </w:tc>
        <w:tc>
          <w:tcPr>
            <w:tcW w:w="120" w:type="dxa"/>
            <w:vAlign w:val="bottom"/>
            <w:shd w:val="clear" w:color="auto" w:fill="CFF0FC"/>
          </w:tcPr>
          <w:p>
            <w:pPr>
              <w:spacing w:after="0"/>
              <w:rPr>
                <w:sz w:val="20"/>
                <w:szCs w:val="20"/>
                <w:color w:val="auto"/>
              </w:rPr>
            </w:pPr>
          </w:p>
        </w:tc>
      </w:tr>
      <w:tr>
        <w:trPr>
          <w:trHeight w:val="237"/>
        </w:trPr>
        <w:tc>
          <w:tcPr>
            <w:tcW w:w="45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Amortization</w:t>
            </w:r>
          </w:p>
        </w:tc>
        <w:tc>
          <w:tcPr>
            <w:tcW w:w="348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4,394</w:t>
            </w:r>
          </w:p>
        </w:tc>
        <w:tc>
          <w:tcPr>
            <w:tcW w:w="22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1,291</w:t>
            </w:r>
          </w:p>
        </w:tc>
        <w:tc>
          <w:tcPr>
            <w:tcW w:w="120" w:type="dxa"/>
            <w:vAlign w:val="bottom"/>
            <w:tcBorders>
              <w:bottom w:val="single" w:sz="8" w:color="CFF0FC"/>
            </w:tcBorders>
          </w:tcPr>
          <w:p>
            <w:pPr>
              <w:spacing w:after="0"/>
              <w:rPr>
                <w:sz w:val="20"/>
                <w:szCs w:val="20"/>
                <w:color w:val="auto"/>
              </w:rPr>
            </w:pPr>
          </w:p>
        </w:tc>
      </w:tr>
      <w:tr>
        <w:trPr>
          <w:trHeight w:val="230"/>
        </w:trPr>
        <w:tc>
          <w:tcPr>
            <w:tcW w:w="4500" w:type="dxa"/>
            <w:vAlign w:val="bottom"/>
            <w:tcBorders>
              <w:bottom w:val="single" w:sz="8" w:color="CFF0FC"/>
            </w:tcBorders>
            <w:shd w:val="clear" w:color="auto" w:fill="CFF0FC"/>
          </w:tcPr>
          <w:p>
            <w:pPr>
              <w:spacing w:after="0"/>
              <w:rPr>
                <w:sz w:val="19"/>
                <w:szCs w:val="19"/>
                <w:color w:val="auto"/>
              </w:rPr>
            </w:pPr>
          </w:p>
        </w:tc>
        <w:tc>
          <w:tcPr>
            <w:tcW w:w="34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9"/>
                <w:szCs w:val="19"/>
                <w:color w:val="auto"/>
                <w:w w:val="7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67,268</w:t>
            </w: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9"/>
                <w:szCs w:val="19"/>
                <w:color w:val="auto"/>
                <w:w w:val="7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2"/>
              </w:rPr>
              <w:t>42,466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increase in depreciation, depletion and amortization expense is attributable to the acquired property, plant and equipment and other intangible assets from business combinations. Depreciation, depletion and amortization expense for the acquired business was $25.5 million for the three months ended March 31, 2015.</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seasonal nature of the construction aggregates business impacts quarterly operating cash flow when compared with the full year. Full-year 2014 net cash provided by operating activities was $381.7 million compared with $6.6 million for the first three months of 2014. For the year, the Corporation expects to fully utilize allowable net operating loss carryforwards of $363 million acquired with TXI.</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During the first three months ended March 31, 2015, the Corporation invested $56.1 million of capital into its business. Full-year capital spending is expected to be approximately $320 million. Comparable full-year capital expenditures were $232.2 million in 2014, including $80 million for the Medina Rock and Rail (“Medina”) capital project. With a budgeted cost of nearly $160 million, the Medina project is the largest capital expansion project in the Corporation’s history. The project, located outside of San Antonio, consists of building a rail-connected limestone aggregates processing facility with the capability of producing in excess of 10 million tons per year.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Corporation can repurchase its common stock through open-market purchases pursuant to authority granted by its Board of Directors or through private transactions at such prices and upon such terms as the Chief Executive Officer deems appropriate. The Corporation did not repurchase any shares of common stock during the three months ended March 31, 2015. At March 31, 2015, 20,000,000 shares of common stock were remaining under the Corporation’s repurchase authorization.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Credit Agreement (which consists of a $250 million Term Loan Facility and a $350 million Revolving Facility) requires the Corporation’s ratio of consolidated debt to consolidated earnings before interest, taxes, depreciation, depletion and amortization (“EBITDA”), as defined, for the trailing twelve month period (the “Ratio”) to not exceed 3.50x as of the 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36 of 49</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Ratio is calculated as debt, including debt for which the Corporation is a co-borrower, divided by consolidated EBITDA, as defined by the Credit Agreement, for the trailing 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37 of 49</w:t>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At March 31, 2015, the Corporation’s ratio of consolidated debt to consolidated EBITDA, as defined, for the trailing twelve months EBITDA was 2.43 times and was calculated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9"/>
                <w:szCs w:val="19"/>
                <w:color w:val="auto"/>
                <w:w w:val="95"/>
              </w:rPr>
              <w:t>April 1, 2014 to</w:t>
            </w:r>
          </w:p>
        </w:tc>
        <w:tc>
          <w:tcPr>
            <w:tcW w:w="0" w:type="dxa"/>
            <w:vAlign w:val="bottom"/>
          </w:tcPr>
          <w:p>
            <w:pPr>
              <w:spacing w:after="0"/>
              <w:rPr>
                <w:sz w:val="1"/>
                <w:szCs w:val="1"/>
                <w:color w:val="auto"/>
              </w:rPr>
            </w:pPr>
          </w:p>
        </w:tc>
      </w:tr>
      <w:tr>
        <w:trPr>
          <w:trHeight w:val="240"/>
        </w:trPr>
        <w:tc>
          <w:tcPr>
            <w:tcW w:w="8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9"/>
                <w:szCs w:val="19"/>
                <w:color w:val="auto"/>
                <w:w w:val="92"/>
              </w:rPr>
              <w:t>March 31, 2015</w:t>
            </w:r>
          </w:p>
        </w:tc>
        <w:tc>
          <w:tcPr>
            <w:tcW w:w="0" w:type="dxa"/>
            <w:vAlign w:val="bottom"/>
          </w:tcPr>
          <w:p>
            <w:pPr>
              <w:spacing w:after="0"/>
              <w:rPr>
                <w:sz w:val="1"/>
                <w:szCs w:val="1"/>
                <w:color w:val="auto"/>
              </w:rPr>
            </w:pPr>
          </w:p>
        </w:tc>
      </w:tr>
      <w:tr>
        <w:trPr>
          <w:trHeight w:val="226"/>
        </w:trPr>
        <w:tc>
          <w:tcPr>
            <w:tcW w:w="8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center"/>
              <w:ind w:right="104"/>
              <w:spacing w:after="0"/>
              <w:rPr>
                <w:sz w:val="20"/>
                <w:szCs w:val="20"/>
                <w:color w:val="auto"/>
              </w:rPr>
            </w:pPr>
            <w:r>
              <w:rPr>
                <w:rFonts w:ascii="Arial" w:cs="Arial" w:eastAsia="Arial" w:hAnsi="Arial"/>
                <w:sz w:val="19"/>
                <w:szCs w:val="19"/>
                <w:i w:val="1"/>
                <w:iCs w:val="1"/>
                <w:color w:val="auto"/>
                <w:w w:val="94"/>
              </w:rPr>
              <w:t>(Dollars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980" w:type="dxa"/>
            <w:vAlign w:val="bottom"/>
          </w:tcPr>
          <w:p>
            <w:pPr>
              <w:spacing w:after="0"/>
              <w:rPr>
                <w:sz w:val="20"/>
                <w:szCs w:val="20"/>
                <w:color w:val="auto"/>
              </w:rPr>
            </w:pPr>
            <w:r>
              <w:rPr>
                <w:rFonts w:ascii="Arial" w:cs="Arial" w:eastAsia="Arial" w:hAnsi="Arial"/>
                <w:sz w:val="19"/>
                <w:szCs w:val="19"/>
                <w:color w:val="auto"/>
              </w:rPr>
              <w:t>Earnings from continuing operations attributable to Martin Marietta</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2140" w:type="dxa"/>
            <w:vAlign w:val="bottom"/>
          </w:tcPr>
          <w:p>
            <w:pPr>
              <w:jc w:val="right"/>
              <w:spacing w:after="0"/>
              <w:rPr>
                <w:sz w:val="20"/>
                <w:szCs w:val="20"/>
                <w:color w:val="auto"/>
              </w:rPr>
            </w:pPr>
            <w:r>
              <w:rPr>
                <w:rFonts w:ascii="Arial" w:cs="Arial" w:eastAsia="Arial" w:hAnsi="Arial"/>
                <w:sz w:val="19"/>
                <w:szCs w:val="19"/>
                <w:color w:val="auto"/>
              </w:rPr>
              <w:t>183,367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shd w:val="clear" w:color="auto" w:fill="CFF0FC"/>
          </w:tcPr>
          <w:p>
            <w:pPr>
              <w:spacing w:after="0"/>
              <w:rPr>
                <w:sz w:val="20"/>
                <w:szCs w:val="20"/>
                <w:color w:val="auto"/>
              </w:rPr>
            </w:pPr>
            <w:r>
              <w:rPr>
                <w:rFonts w:ascii="Arial" w:cs="Arial" w:eastAsia="Arial" w:hAnsi="Arial"/>
                <w:sz w:val="19"/>
                <w:szCs w:val="19"/>
                <w:color w:val="auto"/>
              </w:rPr>
              <w:t>Add back:</w:t>
            </w:r>
          </w:p>
        </w:tc>
        <w:tc>
          <w:tcPr>
            <w:tcW w:w="18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9"/>
                <w:szCs w:val="19"/>
                <w:color w:val="auto"/>
              </w:rPr>
              <w:t>Interest expense</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9"/>
                <w:szCs w:val="19"/>
                <w:color w:val="auto"/>
              </w:rPr>
              <w:t>73,187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Income tax expense</w:t>
            </w:r>
          </w:p>
        </w:tc>
        <w:tc>
          <w:tcPr>
            <w:tcW w:w="180" w:type="dxa"/>
            <w:vAlign w:val="bottom"/>
            <w:shd w:val="clear" w:color="auto" w:fill="CFF0FC"/>
          </w:tcPr>
          <w:p>
            <w:pPr>
              <w:spacing w:after="0"/>
              <w:rPr>
                <w:sz w:val="20"/>
                <w:szCs w:val="20"/>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102,370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9"/>
                <w:szCs w:val="19"/>
                <w:color w:val="auto"/>
              </w:rPr>
              <w:t>Depreciation, depletion and amortization expense</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9"/>
                <w:szCs w:val="19"/>
                <w:color w:val="auto"/>
              </w:rPr>
              <w:t>244,171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Stock-based compensation expense</w:t>
            </w:r>
          </w:p>
        </w:tc>
        <w:tc>
          <w:tcPr>
            <w:tcW w:w="180" w:type="dxa"/>
            <w:vAlign w:val="bottom"/>
            <w:shd w:val="clear" w:color="auto" w:fill="CFF0FC"/>
          </w:tcPr>
          <w:p>
            <w:pPr>
              <w:spacing w:after="0"/>
              <w:rPr>
                <w:sz w:val="20"/>
                <w:szCs w:val="20"/>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10,491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9"/>
                <w:szCs w:val="19"/>
                <w:color w:val="auto"/>
              </w:rPr>
              <w:t>Acquisition-related expenses, net, related to the TXI acquisition</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9"/>
                <w:szCs w:val="19"/>
                <w:color w:val="auto"/>
              </w:rPr>
              <w:t>34,415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shd w:val="clear" w:color="auto" w:fill="CFF0FC"/>
          </w:tcPr>
          <w:p>
            <w:pPr>
              <w:spacing w:after="0"/>
              <w:rPr>
                <w:sz w:val="20"/>
                <w:szCs w:val="20"/>
                <w:color w:val="auto"/>
              </w:rPr>
            </w:pPr>
            <w:r>
              <w:rPr>
                <w:rFonts w:ascii="Arial" w:cs="Arial" w:eastAsia="Arial" w:hAnsi="Arial"/>
                <w:sz w:val="19"/>
                <w:szCs w:val="19"/>
                <w:color w:val="auto"/>
              </w:rPr>
              <w:t>Deduct:</w:t>
            </w:r>
          </w:p>
        </w:tc>
        <w:tc>
          <w:tcPr>
            <w:tcW w:w="18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9"/>
                <w:szCs w:val="19"/>
                <w:color w:val="auto"/>
              </w:rPr>
              <w:t>Interest income</w:t>
            </w:r>
          </w:p>
        </w:tc>
        <w:tc>
          <w:tcPr>
            <w:tcW w:w="180" w:type="dxa"/>
            <w:vAlign w:val="bottom"/>
          </w:tcPr>
          <w:p>
            <w:pPr>
              <w:spacing w:after="0"/>
              <w:rPr>
                <w:sz w:val="20"/>
                <w:szCs w:val="20"/>
                <w:color w:val="auto"/>
              </w:rPr>
            </w:pPr>
          </w:p>
        </w:tc>
        <w:tc>
          <w:tcPr>
            <w:tcW w:w="2260" w:type="dxa"/>
            <w:vAlign w:val="bottom"/>
            <w:gridSpan w:val="2"/>
          </w:tcPr>
          <w:p>
            <w:pPr>
              <w:jc w:val="right"/>
              <w:ind w:right="60"/>
              <w:spacing w:after="0"/>
              <w:rPr>
                <w:sz w:val="20"/>
                <w:szCs w:val="20"/>
                <w:color w:val="auto"/>
              </w:rPr>
            </w:pPr>
            <w:r>
              <w:rPr>
                <w:rFonts w:ascii="Arial" w:cs="Arial" w:eastAsia="Arial" w:hAnsi="Arial"/>
                <w:sz w:val="19"/>
                <w:szCs w:val="19"/>
                <w:color w:val="auto"/>
              </w:rPr>
              <w:t>(462)</w:t>
            </w:r>
          </w:p>
        </w:tc>
        <w:tc>
          <w:tcPr>
            <w:tcW w:w="0" w:type="dxa"/>
            <w:vAlign w:val="bottom"/>
          </w:tcPr>
          <w:p>
            <w:pPr>
              <w:spacing w:after="0"/>
              <w:rPr>
                <w:sz w:val="1"/>
                <w:szCs w:val="1"/>
                <w:color w:val="auto"/>
              </w:rPr>
            </w:pPr>
          </w:p>
        </w:tc>
      </w:tr>
      <w:tr>
        <w:trPr>
          <w:trHeight w:val="237"/>
        </w:trPr>
        <w:tc>
          <w:tcPr>
            <w:tcW w:w="8980" w:type="dxa"/>
            <w:vAlign w:val="bottom"/>
            <w:shd w:val="clear" w:color="auto" w:fill="CFF0FC"/>
          </w:tcPr>
          <w:p>
            <w:pPr>
              <w:spacing w:after="0"/>
              <w:rPr>
                <w:sz w:val="20"/>
                <w:szCs w:val="20"/>
                <w:color w:val="auto"/>
              </w:rPr>
            </w:pPr>
            <w:r>
              <w:rPr>
                <w:rFonts w:ascii="Arial" w:cs="Arial" w:eastAsia="Arial" w:hAnsi="Arial"/>
                <w:sz w:val="19"/>
                <w:szCs w:val="19"/>
                <w:color w:val="auto"/>
              </w:rPr>
              <w:t>Add:</w:t>
            </w:r>
          </w:p>
        </w:tc>
        <w:tc>
          <w:tcPr>
            <w:tcW w:w="18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80" w:type="dxa"/>
            <w:vAlign w:val="bottom"/>
            <w:tcBorders>
              <w:bottom w:val="single" w:sz="8" w:color="CFF0FC"/>
            </w:tcBorders>
          </w:tcPr>
          <w:p>
            <w:pPr>
              <w:ind w:left="240"/>
              <w:spacing w:after="0"/>
              <w:rPr>
                <w:sz w:val="20"/>
                <w:szCs w:val="20"/>
                <w:color w:val="auto"/>
              </w:rPr>
            </w:pPr>
            <w:r>
              <w:rPr>
                <w:rFonts w:ascii="Arial" w:cs="Arial" w:eastAsia="Arial" w:hAnsi="Arial"/>
                <w:sz w:val="19"/>
                <w:szCs w:val="19"/>
                <w:color w:val="auto"/>
              </w:rPr>
              <w:t>TXI EBITDA, pre-acquisition (April 1, 2014 -June 30, 2014)</w:t>
            </w: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12,896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Consolidated EBITDA, as defined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660,435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9"/>
                <w:szCs w:val="19"/>
                <w:color w:val="auto"/>
              </w:rPr>
              <w:t>Consolidated debt, including debt for which the Corporation is a co-borrower,</w:t>
            </w: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98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at March 31, 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1,606,727</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980" w:type="dxa"/>
            <w:vAlign w:val="bottom"/>
            <w:shd w:val="clear" w:color="auto" w:fill="CFF0FC"/>
          </w:tcPr>
          <w:p>
            <w:pPr>
              <w:spacing w:after="0" w:line="200" w:lineRule="exact"/>
              <w:rPr>
                <w:sz w:val="20"/>
                <w:szCs w:val="20"/>
                <w:color w:val="auto"/>
              </w:rPr>
            </w:pPr>
            <w:r>
              <w:rPr>
                <w:rFonts w:ascii="Arial" w:cs="Arial" w:eastAsia="Arial" w:hAnsi="Arial"/>
                <w:sz w:val="19"/>
                <w:szCs w:val="19"/>
                <w:color w:val="auto"/>
              </w:rPr>
              <w:t>Consolidated debt to consolidated EBITDA, as defined, at March 31, 2015 for the</w:t>
            </w:r>
          </w:p>
        </w:tc>
        <w:tc>
          <w:tcPr>
            <w:tcW w:w="18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9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trailing twelve months EBITDA</w:t>
            </w:r>
          </w:p>
        </w:tc>
        <w:tc>
          <w:tcPr>
            <w:tcW w:w="180" w:type="dxa"/>
            <w:vAlign w:val="bottom"/>
            <w:shd w:val="clear" w:color="auto" w:fill="CFF0FC"/>
          </w:tcPr>
          <w:p>
            <w:pPr>
              <w:spacing w:after="0"/>
              <w:rPr>
                <w:sz w:val="20"/>
                <w:szCs w:val="20"/>
                <w:color w:val="auto"/>
              </w:rPr>
            </w:pP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2.43x</w:t>
            </w:r>
          </w:p>
        </w:tc>
        <w:tc>
          <w:tcPr>
            <w:tcW w:w="0" w:type="dxa"/>
            <w:vAlign w:val="bottom"/>
          </w:tcPr>
          <w:p>
            <w:pPr>
              <w:spacing w:after="0"/>
              <w:rPr>
                <w:sz w:val="1"/>
                <w:szCs w:val="1"/>
                <w:color w:val="auto"/>
              </w:rPr>
            </w:pPr>
          </w:p>
        </w:tc>
      </w:tr>
      <w:tr>
        <w:trPr>
          <w:trHeight w:val="20"/>
        </w:trPr>
        <w:tc>
          <w:tcPr>
            <w:tcW w:w="8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March 31, 2015, the Corporation had $600 million of unused borrowing capacity under its Revolving Facility and Trade Receivable Facility, subject to complying with the related leverage covenant. The Revolving Facility expires on November 29, 2018 and the Trade Receivable Facility expires on September 30, 2016.</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at March 31, 2015. The Corporation is currently rated by three credit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38 of 49</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rating agencies; two of those agencies’ credit ratings are investment-grade level and the third agency’s credit rating is one level below investment grade. The Corporation’s composite credit rating remains at investment-grade level, which facilitates obtaining financing at lower rates than noninvestment-grade ratings.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TRENDS AND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2014.</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Management continues to evaluate its exposure to all operating risks on an ongoing basis.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OUTLOOK</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is encouraged by positive trends in its business and markets, notably:</w:t>
      </w:r>
    </w:p>
    <w:p>
      <w:pPr>
        <w:spacing w:after="0" w:line="110" w:lineRule="exact"/>
        <w:rPr>
          <w:sz w:val="20"/>
          <w:szCs w:val="20"/>
          <w:color w:val="auto"/>
        </w:rPr>
      </w:pPr>
    </w:p>
    <w:p>
      <w:pPr>
        <w:ind w:left="260" w:hanging="255"/>
        <w:spacing w:after="0" w:line="275"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9"/>
          <w:szCs w:val="19"/>
          <w:color w:val="auto"/>
        </w:rPr>
        <w:t>Nonresidential construction is expected to grow in both the heavy industrial and commercial sectors. The Dodge Momentum Index remains high and signals continued growth.</w:t>
      </w:r>
    </w:p>
    <w:p>
      <w:pPr>
        <w:spacing w:after="0" w:line="51" w:lineRule="exact"/>
        <w:rPr>
          <w:rFonts w:ascii="Arial" w:cs="Arial" w:eastAsia="Arial" w:hAnsi="Arial"/>
          <w:sz w:val="18"/>
          <w:szCs w:val="18"/>
          <w:color w:val="auto"/>
        </w:rPr>
      </w:pPr>
    </w:p>
    <w:p>
      <w:pPr>
        <w:jc w:val="both"/>
        <w:ind w:left="260" w:hanging="255"/>
        <w:spacing w:after="0" w:line="255"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9"/>
          <w:szCs w:val="19"/>
          <w:color w:val="auto"/>
        </w:rPr>
        <w:t>Energy-related economic activity, including follow-on public and private construction activities in the Corporation’s primary markets, is anticipated to remain strong. Residential construction is expected to continue to grow, driven by historically low levels of construction activity over the previous several years, employment gains, low mortgage rates, significant lot absorption, higher multi-family rental rates and rising housing prices.</w:t>
      </w:r>
    </w:p>
    <w:p>
      <w:pPr>
        <w:spacing w:after="0" w:line="71" w:lineRule="exact"/>
        <w:rPr>
          <w:rFonts w:ascii="Arial" w:cs="Arial" w:eastAsia="Arial" w:hAnsi="Arial"/>
          <w:sz w:val="18"/>
          <w:szCs w:val="18"/>
          <w:color w:val="auto"/>
        </w:rPr>
      </w:pPr>
    </w:p>
    <w:p>
      <w:pPr>
        <w:jc w:val="both"/>
        <w:ind w:left="260" w:hanging="255"/>
        <w:spacing w:after="0" w:line="260"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9"/>
          <w:szCs w:val="19"/>
          <w:color w:val="auto"/>
        </w:rPr>
        <w:t>For the public sector, authorized highway funding from MAP-21 should remain stable compared with 2014. Additionally, state initiatives to finance infrastructure projects, including support from TIFIA, are expected to grow and continue to play an expanded role in public-sector activity.</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Based on these trends and expectations, the Corporation anticipates the following for 2015:</w:t>
      </w:r>
    </w:p>
    <w:p>
      <w:pPr>
        <w:spacing w:after="0" w:line="110" w:lineRule="exact"/>
        <w:rPr>
          <w:sz w:val="20"/>
          <w:szCs w:val="20"/>
          <w:color w:val="auto"/>
        </w:rPr>
      </w:pPr>
    </w:p>
    <w:p>
      <w:pPr>
        <w:ind w:left="880" w:hanging="366"/>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Aggregates end-use markets compared to 2014 levels are as follows:</w:t>
      </w:r>
    </w:p>
    <w:p>
      <w:pPr>
        <w:spacing w:after="0" w:line="110" w:lineRule="exact"/>
        <w:rPr>
          <w:sz w:val="20"/>
          <w:szCs w:val="20"/>
          <w:color w:val="auto"/>
        </w:rPr>
      </w:pPr>
    </w:p>
    <w:p>
      <w:pPr>
        <w:ind w:left="1620" w:hanging="344"/>
        <w:spacing w:after="0"/>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Infrastructure market to increase mid-single digits.</w:t>
      </w:r>
    </w:p>
    <w:p>
      <w:pPr>
        <w:spacing w:after="0" w:line="4" w:lineRule="exact"/>
        <w:rPr>
          <w:rFonts w:ascii="Courier New" w:cs="Courier New" w:eastAsia="Courier New" w:hAnsi="Courier New"/>
          <w:sz w:val="19"/>
          <w:szCs w:val="19"/>
          <w:color w:val="auto"/>
        </w:rPr>
      </w:pPr>
    </w:p>
    <w:p>
      <w:pPr>
        <w:ind w:left="1620" w:hanging="344"/>
        <w:spacing w:after="0" w:line="234" w:lineRule="auto"/>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Nonresidential market to increase in the high-single digits.</w:t>
      </w:r>
    </w:p>
    <w:p>
      <w:pPr>
        <w:spacing w:after="0" w:line="83" w:lineRule="exact"/>
        <w:rPr>
          <w:rFonts w:ascii="Courier New" w:cs="Courier New" w:eastAsia="Courier New" w:hAnsi="Courier New"/>
          <w:sz w:val="19"/>
          <w:szCs w:val="19"/>
          <w:color w:val="auto"/>
        </w:rPr>
      </w:pPr>
    </w:p>
    <w:p>
      <w:pPr>
        <w:ind w:left="1620" w:hanging="344"/>
        <w:spacing w:after="0"/>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Residential market to experience a double-digit increase.</w:t>
      </w:r>
    </w:p>
    <w:p>
      <w:pPr>
        <w:spacing w:after="0" w:line="93" w:lineRule="exact"/>
        <w:rPr>
          <w:rFonts w:ascii="Courier New" w:cs="Courier New" w:eastAsia="Courier New" w:hAnsi="Courier New"/>
          <w:sz w:val="19"/>
          <w:szCs w:val="19"/>
          <w:color w:val="auto"/>
        </w:rPr>
      </w:pPr>
    </w:p>
    <w:p>
      <w:pPr>
        <w:ind w:left="1620" w:hanging="344"/>
        <w:spacing w:after="0"/>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ChemRock/Rail market to remain relatively flat.</w:t>
      </w:r>
    </w:p>
    <w:p>
      <w:pPr>
        <w:spacing w:after="0" w:line="93" w:lineRule="exact"/>
        <w:rPr>
          <w:rFonts w:ascii="Courier New" w:cs="Courier New" w:eastAsia="Courier New" w:hAnsi="Courier New"/>
          <w:sz w:val="19"/>
          <w:szCs w:val="19"/>
          <w:color w:val="auto"/>
        </w:rPr>
      </w:pPr>
    </w:p>
    <w:p>
      <w:pPr>
        <w:ind w:left="880" w:hanging="366"/>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Aggregates product line shipments to increase by 10% to 12% compared with 2014 levels.</w:t>
      </w:r>
    </w:p>
    <w:p>
      <w:pPr>
        <w:spacing w:after="0" w:line="21" w:lineRule="exact"/>
        <w:rPr>
          <w:rFonts w:ascii="Arial" w:cs="Arial" w:eastAsia="Arial" w:hAnsi="Arial"/>
          <w:sz w:val="19"/>
          <w:szCs w:val="19"/>
          <w:color w:val="auto"/>
        </w:rPr>
      </w:pPr>
    </w:p>
    <w:p>
      <w:pPr>
        <w:ind w:left="1620" w:hanging="344"/>
        <w:spacing w:after="0" w:line="234" w:lineRule="auto"/>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Heritage aggregates shipments to increase 4% to 7%.</w:t>
      </w:r>
    </w:p>
    <w:p>
      <w:pPr>
        <w:spacing w:after="0" w:line="83" w:lineRule="exact"/>
        <w:rPr>
          <w:rFonts w:ascii="Courier New" w:cs="Courier New" w:eastAsia="Courier New" w:hAnsi="Courier New"/>
          <w:sz w:val="19"/>
          <w:szCs w:val="19"/>
          <w:color w:val="auto"/>
        </w:rPr>
      </w:pPr>
    </w:p>
    <w:p>
      <w:pPr>
        <w:ind w:left="1620" w:hanging="344"/>
        <w:spacing w:after="0"/>
        <w:tabs>
          <w:tab w:leader="none" w:pos="1620" w:val="left"/>
        </w:tabs>
        <w:numPr>
          <w:ilvl w:val="1"/>
          <w:numId w:val="29"/>
        </w:numPr>
        <w:rPr>
          <w:rFonts w:ascii="Courier New" w:cs="Courier New" w:eastAsia="Courier New" w:hAnsi="Courier New"/>
          <w:sz w:val="19"/>
          <w:szCs w:val="19"/>
          <w:color w:val="auto"/>
        </w:rPr>
      </w:pPr>
      <w:r>
        <w:rPr>
          <w:rFonts w:ascii="Arial" w:cs="Arial" w:eastAsia="Arial" w:hAnsi="Arial"/>
          <w:sz w:val="19"/>
          <w:szCs w:val="19"/>
          <w:color w:val="auto"/>
        </w:rPr>
        <w:t>Shipments from acquired TXI operations to more than double, reflecting a full year of ownership.</w:t>
      </w:r>
    </w:p>
    <w:p>
      <w:pPr>
        <w:spacing w:after="0" w:line="93" w:lineRule="exact"/>
        <w:rPr>
          <w:rFonts w:ascii="Courier New" w:cs="Courier New" w:eastAsia="Courier New" w:hAnsi="Courier New"/>
          <w:sz w:val="19"/>
          <w:szCs w:val="19"/>
          <w:color w:val="auto"/>
        </w:rPr>
      </w:pPr>
    </w:p>
    <w:p>
      <w:pPr>
        <w:ind w:left="880" w:hanging="366"/>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Aggregates product line pricing to increase by 7% to 9% compared with 2014.</w:t>
      </w:r>
    </w:p>
    <w:p>
      <w:pPr>
        <w:spacing w:after="0" w:line="110" w:lineRule="exact"/>
        <w:rPr>
          <w:rFonts w:ascii="Arial" w:cs="Arial" w:eastAsia="Arial" w:hAnsi="Arial"/>
          <w:sz w:val="19"/>
          <w:szCs w:val="19"/>
          <w:color w:val="auto"/>
        </w:rPr>
      </w:pPr>
    </w:p>
    <w:p>
      <w:pPr>
        <w:ind w:left="880" w:hanging="366"/>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Aggregates product line production cost per ton shipped to decline slightly.</w:t>
      </w:r>
    </w:p>
    <w:p>
      <w:pPr>
        <w:spacing w:after="0" w:line="110" w:lineRule="exact"/>
        <w:rPr>
          <w:rFonts w:ascii="Arial" w:cs="Arial" w:eastAsia="Arial" w:hAnsi="Arial"/>
          <w:sz w:val="19"/>
          <w:szCs w:val="19"/>
          <w:color w:val="auto"/>
        </w:rPr>
      </w:pPr>
    </w:p>
    <w:p>
      <w:pPr>
        <w:ind w:left="880" w:hanging="366"/>
        <w:spacing w:after="0" w:line="275" w:lineRule="auto"/>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Aggregates-related downstream product lines to generate between $875 million and $925 million of net sales and $65 million to $70 million of gross profit.</w:t>
      </w:r>
    </w:p>
    <w:p>
      <w:pPr>
        <w:spacing w:after="0" w:line="51" w:lineRule="exact"/>
        <w:rPr>
          <w:rFonts w:ascii="Arial" w:cs="Arial" w:eastAsia="Arial" w:hAnsi="Arial"/>
          <w:sz w:val="19"/>
          <w:szCs w:val="19"/>
          <w:color w:val="auto"/>
        </w:rPr>
      </w:pPr>
    </w:p>
    <w:p>
      <w:pPr>
        <w:ind w:left="880" w:hanging="366"/>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sales for the Cement segment to be between $475 million and $500 million, generating $120 million to $130 million of gross profit.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39 of 49</w:t>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305" w:lineRule="exact"/>
        <w:rPr>
          <w:sz w:val="20"/>
          <w:szCs w:val="20"/>
          <w:color w:val="auto"/>
        </w:rPr>
      </w:pPr>
    </w:p>
    <w:p>
      <w:pPr>
        <w:ind w:left="880" w:right="20" w:hanging="366"/>
        <w:spacing w:after="0" w:line="275" w:lineRule="auto"/>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Net sales for the Magnesia Specialties segment to be between $240 million and $250 million, generating $85 million to $90 million of gross profit.</w:t>
      </w:r>
    </w:p>
    <w:p>
      <w:pPr>
        <w:spacing w:after="0" w:line="51" w:lineRule="exact"/>
        <w:rPr>
          <w:rFonts w:ascii="Arial" w:cs="Arial" w:eastAsia="Arial" w:hAnsi="Arial"/>
          <w:sz w:val="19"/>
          <w:szCs w:val="19"/>
          <w:color w:val="auto"/>
        </w:rPr>
      </w:pPr>
    </w:p>
    <w:p>
      <w:pPr>
        <w:ind w:left="880" w:hanging="366"/>
        <w:spacing w:after="0" w:line="275" w:lineRule="auto"/>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SG&amp;A expenses as a percentage of net sales to be less than 6.0%, despite an $18 million increase in heritage pension costs that resulted from lower discount rate.</w:t>
      </w:r>
    </w:p>
    <w:p>
      <w:pPr>
        <w:spacing w:after="0" w:line="51" w:lineRule="exact"/>
        <w:rPr>
          <w:rFonts w:ascii="Arial" w:cs="Arial" w:eastAsia="Arial" w:hAnsi="Arial"/>
          <w:sz w:val="19"/>
          <w:szCs w:val="19"/>
          <w:color w:val="auto"/>
        </w:rPr>
      </w:pPr>
    </w:p>
    <w:p>
      <w:pPr>
        <w:ind w:left="880" w:hanging="366"/>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Interest expense to approximate $75 million to $80 million.</w:t>
      </w:r>
    </w:p>
    <w:p>
      <w:pPr>
        <w:spacing w:after="0" w:line="110" w:lineRule="exact"/>
        <w:rPr>
          <w:rFonts w:ascii="Arial" w:cs="Arial" w:eastAsia="Arial" w:hAnsi="Arial"/>
          <w:sz w:val="19"/>
          <w:szCs w:val="19"/>
          <w:color w:val="auto"/>
        </w:rPr>
      </w:pPr>
    </w:p>
    <w:p>
      <w:pPr>
        <w:ind w:left="880" w:hanging="366"/>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Estimated effective income tax rate to approximate 31%, excluding discrete events.</w:t>
      </w:r>
    </w:p>
    <w:p>
      <w:pPr>
        <w:spacing w:after="0" w:line="110" w:lineRule="exact"/>
        <w:rPr>
          <w:rFonts w:ascii="Arial" w:cs="Arial" w:eastAsia="Arial" w:hAnsi="Arial"/>
          <w:sz w:val="19"/>
          <w:szCs w:val="19"/>
          <w:color w:val="auto"/>
        </w:rPr>
      </w:pPr>
    </w:p>
    <w:p>
      <w:pPr>
        <w:ind w:left="880" w:hanging="366"/>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Consolidated EBITDA to range from $835 million to $875 million.</w:t>
      </w:r>
    </w:p>
    <w:p>
      <w:pPr>
        <w:spacing w:after="0" w:line="110" w:lineRule="exact"/>
        <w:rPr>
          <w:rFonts w:ascii="Arial" w:cs="Arial" w:eastAsia="Arial" w:hAnsi="Arial"/>
          <w:sz w:val="19"/>
          <w:szCs w:val="19"/>
          <w:color w:val="auto"/>
        </w:rPr>
      </w:pPr>
    </w:p>
    <w:p>
      <w:pPr>
        <w:ind w:left="880" w:hanging="366"/>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Cash taxes paid to approximate $52 million.</w:t>
      </w:r>
    </w:p>
    <w:p>
      <w:pPr>
        <w:spacing w:after="0" w:line="110" w:lineRule="exact"/>
        <w:rPr>
          <w:rFonts w:ascii="Arial" w:cs="Arial" w:eastAsia="Arial" w:hAnsi="Arial"/>
          <w:sz w:val="19"/>
          <w:szCs w:val="19"/>
          <w:color w:val="auto"/>
        </w:rPr>
      </w:pPr>
    </w:p>
    <w:p>
      <w:pPr>
        <w:jc w:val="both"/>
        <w:ind w:left="880" w:hanging="366"/>
        <w:spacing w:after="0" w:line="260" w:lineRule="auto"/>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Capital expenditures to approximate $320 million, including $35 million of synergy-related capital and $80 million for the continued development of the new Medina limestone quarry outside of San Antonio. The Medina quarry is rail connected and will be able to ship aggregates products to South Texas, including Houston.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2015 outlook includes management’s assessment of the likelihood of certain risks and uncertainties that will affect performance. The most significant risks to the Corporation’s performance will be Congress’ actions and timing surrounding federal highway funding and uncertainty over the funding mechanism for the Highway Trust Fund. Management currently expects Congress to extend federal highway funding through continuing resolution through the fall of 2015. Further, a decline in consumer confidence may negatively impact investment in construction projects. While both MAP-21 and TIFIA credit assistance are excluded from the U.S. debt ceiling limit, this issue may have a significant impact on the economy and, consequently, construction activity. Other risks and uncertainties related to the Corporation’s future performance include, but are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a reduction in defense spending, and the subsequent impact on construction activity on or near military bases; a decline in nonresidential construction; a decline in energy-related drilling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Agricultural Act of 2014 and a reduction in capital investment by the railroads; an increase in the cost of compliance with governmental laws and regulations; unexpected equipment failures, unscheduled maintenance, industrial accident or other prolonged and/or significant disruption to our cement production facilities; and the possibility that certain expected synergies and operating efficiencies in connection with the TXI acquisition are not realized within the expected time-frames or at all.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runs at near capacity; therefore any unplanned changes in costs or realignment of customers introduce volatility to the earnings of this segment.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Corporation’s principal business serves customers in aggregates-related construction markets. This concentration could increase the risk of potential losses on customer receivables; however, payment bonds normally posted on public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40 of 49</w:t>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projects, together with lien rights on private projects, 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fluctuations in the price of coal affects costs. The Magnesia Specialties business is sensitive to changes in domestic steel capacity utilization and the absolute price and fluctuations in the cost of natural gas.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Transportation in the Corporation’s long-haul network, particularly the supply of railcars and locomotive power and condition of rail infrastructure to move trains, affects the Corporation’s ability to efficiently transport aggregate into certain markets, most notably Texas, Florida and the Gulf Coast. In addition, availability of railcars and locomotives affects the Corporation’s ability to move dolomitic lime, a key raw material for magnesia chemicals, to both the Corporation’s plant in Manistee, Michigan, and customers. The availability of trucks, drivers and railcars to transport the Corporation’s products, particularly in markets experiencing high growth and increased demand, is also a risk and pressures the associated costs.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Risks to the outlook also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Corporation’s future performance is also exposed to risks from tax reform at the federal and state levels.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OTHER MATTERS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41 of 49</w:t>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connection with future events or future operating or financial performance. Any or all of our forward-looking statements here and in other publications may turn out to be wrong.</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Factors that the Corporation currently believes could cause actual results to differ materially from the forward-looking statements in this Annual Report include, but are not limited to, Congress’ actions and timing surrounding federal highway funding and uncertainty over the funding mechanism for the Highway Trust Fund; the performance of the United States economy and the resolution and impact of the debt ceiling and sequestration issues; widespread decline in aggregates pricing; the history of both cement and ready mixed concrete, to be subject to significant changes in supply, demand and price; the termination, capping and/or reduction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Cement and Magnesia Specialties businesses,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42 of 49</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RESULTS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INVESTOR ACCESS TO COMPANY FILINGS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 Exchange Commission for the fiscal year ended December 31, 2014, by writing to:</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Martin Marietta</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Attn: Corporate Secretary</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2710 Wycliff Road</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Raleigh, North Carolina 27607-3033</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Telephone: (919) 783-4540</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Website address: www.martinmarietta.com</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43 of 49</w:t>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Item 3. Quantitative and Qualitative Disclosures About Market Risk.</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Management has considered the current economic environment and its potential impact to the Corporation’s business. Demand for aggregates products, particularly in the infrastructure construction market, has already been negatively affected by federal and state budget and deficit issues and the uncertainty over future highway funding levels beyond the expiration of MAP-21.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Demand in the residential construction market is affected by interest rates. The Federal Reserve kept the federal funds rate near zero percent during the three months ended March 31, 2015, unchanged since 2008. The residential construction market accounted for 14% of the Corporation’s aggregates product line shipments in 2014.</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Variable-Rate Borrowing Facilities. </w:t>
      </w:r>
      <w:r>
        <w:rPr>
          <w:rFonts w:ascii="Arial" w:cs="Arial" w:eastAsia="Arial" w:hAnsi="Arial"/>
          <w:sz w:val="18"/>
          <w:szCs w:val="18"/>
          <w:color w:val="auto"/>
        </w:rPr>
        <w:t>At March 31, 2015, the Corporation had a $600 million Credit Agreement, comprised of a $350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Facility and $250 million Term Loan Facility, and a $250 million Trade Receivable Facility. Borrowings under these facilities bear interest at a variable interest rate. A hypothetical 100-basis-point increase in interest rates on borrowings of $233.2 million, which was the collective outstanding balance at March 31, 2015, would increase interest expense by $2.3 million on an annual basis.</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2014.</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Energy Costs</w:t>
      </w:r>
      <w:r>
        <w:rPr>
          <w:rFonts w:ascii="Arial" w:cs="Arial" w:eastAsia="Arial" w:hAnsi="Arial"/>
          <w:sz w:val="18"/>
          <w:szCs w:val="18"/>
          <w:color w:val="auto"/>
        </w:rPr>
        <w:t>. Energy costs, including diesel fuel, natural gas, coal and liquid asphalt, represent significant production costs of the 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does not hedge its diesel fuel price risk. The Magnesia Specialties business has fixed price agreements covering half of its 2015 coal requirements and the cement business has fixed pricing agreements on 100% of its 2015 coal requirements. A hypothetical 10% change in the Corporation’s energy prices in 2015 as compared with 2014, assuming constant volumes, would change 2015 energy expense by $27.9 million. However, the impact would be partially offset by the change in the amount capitalized into inventory standards.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44 of 49</w:t>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competition is based principally on price, which is highly sensitive to changes in supply and demand.</w:t>
      </w:r>
      <w:r>
        <w:rPr>
          <w:rFonts w:ascii="Arial" w:cs="Arial" w:eastAsia="Arial" w:hAnsi="Arial"/>
          <w:sz w:val="19"/>
          <w:szCs w:val="19"/>
          <w:i w:val="1"/>
          <w:iCs w:val="1"/>
          <w:color w:val="auto"/>
        </w:rPr>
        <w:t xml:space="preserve"> </w:t>
      </w:r>
      <w:r>
        <w:rPr>
          <w:rFonts w:ascii="Arial" w:cs="Arial" w:eastAsia="Arial" w:hAnsi="Arial"/>
          <w:sz w:val="19"/>
          <w:szCs w:val="19"/>
          <w:color w:val="auto"/>
        </w:rPr>
        <w:t>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annualizing net sales of the Cement business for the second half of 2014, the period the Corporation owned the cement operations, a hypothetical 10% change in sales price would impact net sales by $41.9 million.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Item 4. Controls and Procedures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Due to the acquisition with TXI, the Corporation modified internal controls around the consolidations process. As of March 31, 2015,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March 31, 2015. As permitted by the Securities and Exchange Commission, management’s assessment of and conclusion on the effectiveness of internal control over financial reporting did not include the internal controls of its newly-acquired TXI ready mixed concrete and cement operations, which are included in the consolidated financial statements for the period ending March 31, 2015. The excluded assets constituted 17% of consolidated total assets as of 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45 of 49</w:t>
      </w:r>
    </w:p>
    <w:p>
      <w:pPr>
        <w:sectPr>
          <w:pgSz w:w="11900" w:h="16838" w:orient="portrait"/>
          <w:cols w:equalWidth="0" w:num="1">
            <w:col w:w="11420"/>
          </w:cols>
          <w:pgMar w:left="240" w:top="122"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PART II- OTHER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 Legal Proceedings.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 is made to </w:t>
      </w:r>
      <w:r>
        <w:rPr>
          <w:rFonts w:ascii="Arial" w:cs="Arial" w:eastAsia="Arial" w:hAnsi="Arial"/>
          <w:sz w:val="17"/>
          <w:szCs w:val="17"/>
          <w:i w:val="1"/>
          <w:iCs w:val="1"/>
          <w:color w:val="auto"/>
        </w:rPr>
        <w:t>Part I</w:t>
      </w:r>
      <w:r>
        <w:rPr>
          <w:rFonts w:ascii="Arial" w:cs="Arial" w:eastAsia="Arial" w:hAnsi="Arial"/>
          <w:sz w:val="17"/>
          <w:szCs w:val="17"/>
          <w:color w:val="auto"/>
        </w:rPr>
        <w:t xml:space="preserve">. </w:t>
      </w:r>
      <w:r>
        <w:rPr>
          <w:rFonts w:ascii="Arial" w:cs="Arial" w:eastAsia="Arial" w:hAnsi="Arial"/>
          <w:sz w:val="17"/>
          <w:szCs w:val="17"/>
          <w:i w:val="1"/>
          <w:iCs w:val="1"/>
          <w:color w:val="auto"/>
        </w:rPr>
        <w:t>Item 3. Legal Proceedings</w:t>
      </w:r>
      <w:r>
        <w:rPr>
          <w:rFonts w:ascii="Arial" w:cs="Arial" w:eastAsia="Arial" w:hAnsi="Arial"/>
          <w:sz w:val="17"/>
          <w:szCs w:val="17"/>
          <w:color w:val="auto"/>
        </w:rPr>
        <w:t xml:space="preserve"> of the Martin Marietta Annual Report on Form 10-K for the year ended December 31, 2014.</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1A. Risk Factors.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Reference is made to </w:t>
      </w:r>
      <w:r>
        <w:rPr>
          <w:rFonts w:ascii="Arial" w:cs="Arial" w:eastAsia="Arial" w:hAnsi="Arial"/>
          <w:sz w:val="19"/>
          <w:szCs w:val="19"/>
          <w:i w:val="1"/>
          <w:iCs w:val="1"/>
          <w:color w:val="auto"/>
        </w:rPr>
        <w:t>Part I. Item 1A. Risk Factors and Forward-Looking Statements</w:t>
      </w:r>
      <w:r>
        <w:rPr>
          <w:rFonts w:ascii="Arial" w:cs="Arial" w:eastAsia="Arial" w:hAnsi="Arial"/>
          <w:sz w:val="19"/>
          <w:szCs w:val="19"/>
          <w:color w:val="auto"/>
        </w:rPr>
        <w:t xml:space="preserve"> of the Martin Marietta Annual Report on Form 10-K for the year ended December 31, 2014.</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2. Unregistered Sales of Equity Securities and Use of Proceeds</w:t>
      </w:r>
      <w:r>
        <w:rPr>
          <w:rFonts w:ascii="Arial" w:cs="Arial" w:eastAsia="Arial" w:hAnsi="Arial"/>
          <w:sz w:val="19"/>
          <w:szCs w:val="19"/>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ISSUER PURCHASES OF EQUITY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9"/>
                <w:szCs w:val="19"/>
                <w:color w:val="auto"/>
                <w:w w:val="91"/>
              </w:rPr>
              <w:t>Total Number of Shares</w:t>
            </w:r>
          </w:p>
        </w:tc>
        <w:tc>
          <w:tcPr>
            <w:tcW w:w="1960" w:type="dxa"/>
            <w:vAlign w:val="bottom"/>
          </w:tcPr>
          <w:p>
            <w:pPr>
              <w:jc w:val="center"/>
              <w:spacing w:after="0"/>
              <w:rPr>
                <w:sz w:val="20"/>
                <w:szCs w:val="20"/>
                <w:color w:val="auto"/>
              </w:rPr>
            </w:pPr>
            <w:r>
              <w:rPr>
                <w:rFonts w:ascii="Arial" w:cs="Arial" w:eastAsia="Arial" w:hAnsi="Arial"/>
                <w:sz w:val="19"/>
                <w:szCs w:val="19"/>
                <w:color w:val="auto"/>
                <w:w w:val="95"/>
              </w:rPr>
              <w:t>Maximum Number of</w:t>
            </w: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9"/>
                <w:szCs w:val="19"/>
                <w:color w:val="auto"/>
                <w:w w:val="95"/>
              </w:rPr>
              <w:t>Total Number of</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9"/>
                <w:szCs w:val="19"/>
                <w:color w:val="auto"/>
                <w:w w:val="87"/>
              </w:rPr>
              <w:t>Purchased as Part of</w:t>
            </w:r>
          </w:p>
        </w:tc>
        <w:tc>
          <w:tcPr>
            <w:tcW w:w="1960" w:type="dxa"/>
            <w:vAlign w:val="bottom"/>
          </w:tcPr>
          <w:p>
            <w:pPr>
              <w:jc w:val="center"/>
              <w:spacing w:after="0"/>
              <w:rPr>
                <w:sz w:val="20"/>
                <w:szCs w:val="20"/>
                <w:color w:val="auto"/>
              </w:rPr>
            </w:pPr>
            <w:r>
              <w:rPr>
                <w:rFonts w:ascii="Arial" w:cs="Arial" w:eastAsia="Arial" w:hAnsi="Arial"/>
                <w:sz w:val="19"/>
                <w:szCs w:val="19"/>
                <w:color w:val="auto"/>
                <w:w w:val="90"/>
              </w:rPr>
              <w:t>Shares that May Yet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540" w:type="dxa"/>
            <w:vAlign w:val="bottom"/>
            <w:gridSpan w:val="2"/>
          </w:tcPr>
          <w:p>
            <w:pPr>
              <w:ind w:left="120"/>
              <w:spacing w:after="0" w:line="211" w:lineRule="exact"/>
              <w:rPr>
                <w:sz w:val="20"/>
                <w:szCs w:val="20"/>
                <w:color w:val="auto"/>
              </w:rPr>
            </w:pPr>
            <w:r>
              <w:rPr>
                <w:rFonts w:ascii="Arial" w:cs="Arial" w:eastAsia="Arial" w:hAnsi="Arial"/>
                <w:sz w:val="19"/>
                <w:szCs w:val="19"/>
                <w:color w:val="auto"/>
              </w:rPr>
              <w:t>Average Price</w:t>
            </w:r>
          </w:p>
        </w:tc>
        <w:tc>
          <w:tcPr>
            <w:tcW w:w="2340" w:type="dxa"/>
            <w:vAlign w:val="bottom"/>
            <w:gridSpan w:val="2"/>
          </w:tcPr>
          <w:p>
            <w:pPr>
              <w:jc w:val="center"/>
              <w:ind w:right="220"/>
              <w:spacing w:after="0" w:line="211" w:lineRule="exact"/>
              <w:rPr>
                <w:sz w:val="20"/>
                <w:szCs w:val="20"/>
                <w:color w:val="auto"/>
              </w:rPr>
            </w:pPr>
            <w:r>
              <w:rPr>
                <w:rFonts w:ascii="Arial" w:cs="Arial" w:eastAsia="Arial" w:hAnsi="Arial"/>
                <w:sz w:val="19"/>
                <w:szCs w:val="19"/>
                <w:color w:val="auto"/>
                <w:w w:val="93"/>
              </w:rPr>
              <w:t>Publicly Announced</w:t>
            </w:r>
          </w:p>
        </w:tc>
        <w:tc>
          <w:tcPr>
            <w:tcW w:w="1960" w:type="dxa"/>
            <w:vAlign w:val="bottom"/>
          </w:tcPr>
          <w:p>
            <w:pPr>
              <w:jc w:val="center"/>
              <w:spacing w:after="0" w:line="211" w:lineRule="exact"/>
              <w:rPr>
                <w:sz w:val="20"/>
                <w:szCs w:val="20"/>
                <w:color w:val="auto"/>
              </w:rPr>
            </w:pPr>
            <w:r>
              <w:rPr>
                <w:rFonts w:ascii="Arial" w:cs="Arial" w:eastAsia="Arial" w:hAnsi="Arial"/>
                <w:sz w:val="19"/>
                <w:szCs w:val="19"/>
                <w:color w:val="auto"/>
                <w:w w:val="89"/>
              </w:rPr>
              <w:t>be Purchased Under</w:t>
            </w:r>
          </w:p>
        </w:tc>
        <w:tc>
          <w:tcPr>
            <w:tcW w:w="0" w:type="dxa"/>
            <w:vAlign w:val="bottom"/>
          </w:tcPr>
          <w:p>
            <w:pPr>
              <w:spacing w:after="0"/>
              <w:rPr>
                <w:sz w:val="1"/>
                <w:szCs w:val="1"/>
                <w:color w:val="auto"/>
              </w:rPr>
            </w:pPr>
          </w:p>
        </w:tc>
      </w:tr>
      <w:tr>
        <w:trPr>
          <w:trHeight w:val="254"/>
        </w:trPr>
        <w:tc>
          <w:tcPr>
            <w:tcW w:w="17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Period</w:t>
            </w:r>
          </w:p>
        </w:tc>
        <w:tc>
          <w:tcPr>
            <w:tcW w:w="1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5"/>
              </w:rPr>
              <w:t>Shares Purchased</w:t>
            </w:r>
          </w:p>
        </w:tc>
        <w:tc>
          <w:tcPr>
            <w:tcW w:w="120" w:type="dxa"/>
            <w:vAlign w:val="bottom"/>
          </w:tcPr>
          <w:p>
            <w:pPr>
              <w:spacing w:after="0"/>
              <w:rPr>
                <w:sz w:val="22"/>
                <w:szCs w:val="22"/>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w w:val="93"/>
              </w:rPr>
              <w:t>Paid per Share</w:t>
            </w:r>
          </w:p>
        </w:tc>
        <w:tc>
          <w:tcPr>
            <w:tcW w:w="240" w:type="dxa"/>
            <w:vAlign w:val="bottom"/>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Plans or Programs</w:t>
            </w:r>
          </w:p>
        </w:tc>
        <w:tc>
          <w:tcPr>
            <w:tcW w:w="24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the Plans or Programs</w:t>
            </w: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0"/>
                <w:szCs w:val="20"/>
                <w:color w:val="auto"/>
              </w:rPr>
            </w:pPr>
            <w:r>
              <w:rPr>
                <w:rFonts w:ascii="Arial" w:cs="Arial" w:eastAsia="Arial" w:hAnsi="Arial"/>
                <w:sz w:val="19"/>
                <w:szCs w:val="19"/>
                <w:color w:val="auto"/>
              </w:rPr>
              <w:t>January 1, 2015 –</w:t>
            </w:r>
          </w:p>
        </w:tc>
        <w:tc>
          <w:tcPr>
            <w:tcW w:w="2080" w:type="dxa"/>
            <w:vAlign w:val="bottom"/>
            <w:gridSpan w:val="2"/>
          </w:tcPr>
          <w:p>
            <w:pPr>
              <w:ind w:left="340"/>
              <w:spacing w:after="0"/>
              <w:rPr>
                <w:sz w:val="20"/>
                <w:szCs w:val="20"/>
                <w:color w:val="auto"/>
              </w:rPr>
            </w:pPr>
            <w:r>
              <w:rPr>
                <w:rFonts w:ascii="Arial" w:cs="Arial" w:eastAsia="Arial" w:hAnsi="Arial"/>
                <w:sz w:val="19"/>
                <w:szCs w:val="19"/>
                <w:color w:val="auto"/>
              </w:rPr>
              <w:t>March 31, 2015</w:t>
            </w:r>
          </w:p>
        </w:tc>
        <w:tc>
          <w:tcPr>
            <w:tcW w:w="1660" w:type="dxa"/>
            <w:vAlign w:val="bottom"/>
            <w:gridSpan w:val="2"/>
          </w:tcPr>
          <w:p>
            <w:pPr>
              <w:ind w:left="1360"/>
              <w:spacing w:after="0"/>
              <w:rPr>
                <w:sz w:val="20"/>
                <w:szCs w:val="20"/>
                <w:color w:val="auto"/>
              </w:rPr>
            </w:pPr>
            <w:r>
              <w:rPr>
                <w:rFonts w:ascii="Arial" w:cs="Arial" w:eastAsia="Arial" w:hAnsi="Arial"/>
                <w:sz w:val="19"/>
                <w:szCs w:val="19"/>
                <w:color w:val="auto"/>
              </w:rPr>
              <w:t>—</w:t>
            </w:r>
          </w:p>
        </w:tc>
        <w:tc>
          <w:tcPr>
            <w:tcW w:w="1540" w:type="dxa"/>
            <w:vAlign w:val="bottom"/>
            <w:gridSpan w:val="2"/>
          </w:tcPr>
          <w:p>
            <w:pPr>
              <w:ind w:left="720"/>
              <w:spacing w:after="0"/>
              <w:rPr>
                <w:sz w:val="20"/>
                <w:szCs w:val="20"/>
                <w:color w:val="auto"/>
              </w:rPr>
            </w:pPr>
            <w:r>
              <w:rPr>
                <w:rFonts w:ascii="Arial" w:cs="Arial" w:eastAsia="Arial" w:hAnsi="Arial"/>
                <w:sz w:val="19"/>
                <w:szCs w:val="19"/>
                <w:color w:val="auto"/>
              </w:rPr>
              <w:t>$   —</w:t>
            </w:r>
          </w:p>
        </w:tc>
        <w:tc>
          <w:tcPr>
            <w:tcW w:w="2340" w:type="dxa"/>
            <w:vAlign w:val="bottom"/>
            <w:gridSpan w:val="2"/>
          </w:tcPr>
          <w:p>
            <w:pPr>
              <w:ind w:left="1920"/>
              <w:spacing w:after="0"/>
              <w:rPr>
                <w:sz w:val="20"/>
                <w:szCs w:val="20"/>
                <w:color w:val="auto"/>
              </w:rPr>
            </w:pPr>
            <w:r>
              <w:rPr>
                <w:rFonts w:ascii="Arial" w:cs="Arial" w:eastAsia="Arial" w:hAnsi="Arial"/>
                <w:sz w:val="19"/>
                <w:szCs w:val="19"/>
                <w:color w:val="auto"/>
              </w:rPr>
              <w:t>—</w:t>
            </w:r>
          </w:p>
        </w:tc>
        <w:tc>
          <w:tcPr>
            <w:tcW w:w="1960" w:type="dxa"/>
            <w:vAlign w:val="bottom"/>
          </w:tcPr>
          <w:p>
            <w:pPr>
              <w:jc w:val="right"/>
              <w:spacing w:after="0"/>
              <w:rPr>
                <w:sz w:val="20"/>
                <w:szCs w:val="20"/>
                <w:color w:val="auto"/>
              </w:rPr>
            </w:pPr>
            <w:r>
              <w:rPr>
                <w:rFonts w:ascii="Arial" w:cs="Arial" w:eastAsia="Arial" w:hAnsi="Arial"/>
                <w:sz w:val="19"/>
                <w:szCs w:val="19"/>
                <w:color w:val="auto"/>
              </w:rPr>
              <w:t>20,000,000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Corporation’s initial stock repurchase program, which authorized the repurchase of 2.5 million shares of common stock, was announced in a press release dated May 6, 1994, and has subsequently been updated. The Corporation’s Board of Directors authorized a maximum of 20,000,000 shares to be repurchased under the program. The program does not have an expiration date.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4. Mine Safety Disclosures.</w:t>
      </w:r>
    </w:p>
    <w:p>
      <w:pPr>
        <w:spacing w:after="0" w:line="110"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Page 46 of 49</w:t>
      </w:r>
    </w:p>
    <w:p>
      <w:pPr>
        <w:sectPr>
          <w:pgSz w:w="11900" w:h="16838" w:orient="portrait"/>
          <w:cols w:equalWidth="0" w:num="1">
            <w:col w:w="11420"/>
          </w:cols>
          <w:pgMar w:left="240" w:top="33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5"/>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20" w:type="dxa"/>
            <w:vAlign w:val="bottom"/>
          </w:tcPr>
          <w:p>
            <w:pPr>
              <w:jc w:val="center"/>
              <w:ind w:right="1184"/>
              <w:spacing w:after="0"/>
              <w:rPr>
                <w:sz w:val="20"/>
                <w:szCs w:val="20"/>
                <w:color w:val="auto"/>
              </w:rPr>
            </w:pPr>
            <w:r>
              <w:rPr>
                <w:rFonts w:ascii="Arial" w:cs="Arial" w:eastAsia="Arial" w:hAnsi="Arial"/>
                <w:sz w:val="19"/>
                <w:szCs w:val="19"/>
                <w:color w:val="auto"/>
                <w:w w:val="99"/>
              </w:rPr>
              <w:t>MARTIN MARIETTA MATERIALS, INC. AND CONSOLIDATED SUBSIDIARIES</w:t>
            </w:r>
          </w:p>
        </w:tc>
      </w:tr>
      <w:tr>
        <w:trPr>
          <w:trHeight w:val="224"/>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20" w:type="dxa"/>
            <w:vAlign w:val="bottom"/>
          </w:tcPr>
          <w:p>
            <w:pPr>
              <w:jc w:val="center"/>
              <w:ind w:right="1204"/>
              <w:spacing w:after="0"/>
              <w:rPr>
                <w:sz w:val="20"/>
                <w:szCs w:val="20"/>
                <w:color w:val="auto"/>
              </w:rPr>
            </w:pPr>
            <w:r>
              <w:rPr>
                <w:rFonts w:ascii="Arial" w:cs="Arial" w:eastAsia="Arial" w:hAnsi="Arial"/>
                <w:sz w:val="19"/>
                <w:szCs w:val="19"/>
                <w:color w:val="auto"/>
                <w:w w:val="94"/>
              </w:rPr>
              <w:t>FORM 10-Q</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20" w:type="dxa"/>
            <w:vAlign w:val="bottom"/>
          </w:tcPr>
          <w:p>
            <w:pPr>
              <w:jc w:val="center"/>
              <w:ind w:right="1204"/>
              <w:spacing w:after="0"/>
              <w:rPr>
                <w:sz w:val="20"/>
                <w:szCs w:val="20"/>
                <w:color w:val="auto"/>
              </w:rPr>
            </w:pPr>
            <w:r>
              <w:rPr>
                <w:rFonts w:ascii="Arial" w:cs="Arial" w:eastAsia="Arial" w:hAnsi="Arial"/>
                <w:sz w:val="19"/>
                <w:szCs w:val="19"/>
                <w:color w:val="auto"/>
                <w:w w:val="91"/>
              </w:rPr>
              <w:t>For the Quarter Ended March 31, 2015</w:t>
            </w:r>
          </w:p>
        </w:tc>
      </w:tr>
      <w:tr>
        <w:trPr>
          <w:trHeight w:val="41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20" w:type="dxa"/>
            <w:vAlign w:val="bottom"/>
          </w:tcPr>
          <w:p>
            <w:pPr>
              <w:jc w:val="center"/>
              <w:ind w:right="1204"/>
              <w:spacing w:after="0"/>
              <w:rPr>
                <w:sz w:val="20"/>
                <w:szCs w:val="20"/>
                <w:color w:val="auto"/>
              </w:rPr>
            </w:pPr>
            <w:r>
              <w:rPr>
                <w:rFonts w:ascii="Arial" w:cs="Arial" w:eastAsia="Arial" w:hAnsi="Arial"/>
                <w:sz w:val="19"/>
                <w:szCs w:val="19"/>
                <w:color w:val="auto"/>
                <w:w w:val="98"/>
              </w:rPr>
              <w:t>PART II- OTHER INFORMATION</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20" w:type="dxa"/>
            <w:vAlign w:val="bottom"/>
          </w:tcPr>
          <w:p>
            <w:pPr>
              <w:jc w:val="center"/>
              <w:ind w:right="1204"/>
              <w:spacing w:after="0"/>
              <w:rPr>
                <w:sz w:val="20"/>
                <w:szCs w:val="20"/>
                <w:color w:val="auto"/>
              </w:rPr>
            </w:pPr>
            <w:r>
              <w:rPr>
                <w:rFonts w:ascii="Arial" w:cs="Arial" w:eastAsia="Arial" w:hAnsi="Arial"/>
                <w:sz w:val="19"/>
                <w:szCs w:val="19"/>
                <w:color w:val="auto"/>
                <w:w w:val="94"/>
              </w:rPr>
              <w:t>(Continued)</w:t>
            </w:r>
          </w:p>
        </w:tc>
      </w:tr>
      <w:tr>
        <w:trPr>
          <w:trHeight w:val="389"/>
        </w:trPr>
        <w:tc>
          <w:tcPr>
            <w:tcW w:w="11420" w:type="dxa"/>
            <w:vAlign w:val="bottom"/>
            <w:gridSpan w:val="4"/>
          </w:tcPr>
          <w:p>
            <w:pPr>
              <w:spacing w:after="0"/>
              <w:rPr>
                <w:sz w:val="20"/>
                <w:szCs w:val="20"/>
                <w:color w:val="auto"/>
              </w:rPr>
            </w:pPr>
            <w:r>
              <w:rPr>
                <w:rFonts w:ascii="Arial" w:cs="Arial" w:eastAsia="Arial" w:hAnsi="Arial"/>
                <w:sz w:val="19"/>
                <w:szCs w:val="19"/>
                <w:color w:val="auto"/>
              </w:rPr>
              <w:t>Item 6. Exhibits.</w:t>
            </w:r>
          </w:p>
        </w:tc>
      </w:tr>
      <w:tr>
        <w:trPr>
          <w:trHeight w:val="480"/>
        </w:trPr>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9"/>
                <w:szCs w:val="19"/>
                <w:color w:val="auto"/>
              </w:rPr>
              <w:t>Exhibit No.</w:t>
            </w:r>
          </w:p>
        </w:tc>
        <w:tc>
          <w:tcPr>
            <w:tcW w:w="260" w:type="dxa"/>
            <w:vAlign w:val="bottom"/>
            <w:tcBorders>
              <w:top w:val="single" w:sz="8" w:color="auto"/>
            </w:tcBorders>
          </w:tcPr>
          <w:p>
            <w:pPr>
              <w:spacing w:after="0"/>
              <w:rPr>
                <w:sz w:val="24"/>
                <w:szCs w:val="24"/>
                <w:color w:val="auto"/>
              </w:rPr>
            </w:pPr>
          </w:p>
        </w:tc>
        <w:tc>
          <w:tcPr>
            <w:tcW w:w="10120" w:type="dxa"/>
            <w:vAlign w:val="bottom"/>
          </w:tcPr>
          <w:p>
            <w:pPr>
              <w:ind w:left="4540"/>
              <w:spacing w:after="0"/>
              <w:rPr>
                <w:sz w:val="20"/>
                <w:szCs w:val="20"/>
                <w:color w:val="auto"/>
              </w:rPr>
            </w:pPr>
            <w:r>
              <w:rPr>
                <w:rFonts w:ascii="Arial" w:cs="Arial" w:eastAsia="Arial" w:hAnsi="Arial"/>
                <w:sz w:val="19"/>
                <w:szCs w:val="19"/>
                <w:color w:val="auto"/>
              </w:rPr>
              <w:t>Document</w:t>
            </w:r>
          </w:p>
        </w:tc>
      </w:tr>
      <w:tr>
        <w:trPr>
          <w:trHeight w:val="424"/>
        </w:trPr>
        <w:tc>
          <w:tcPr>
            <w:tcW w:w="92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31.01</w:t>
            </w:r>
          </w:p>
        </w:tc>
        <w:tc>
          <w:tcPr>
            <w:tcW w:w="120" w:type="dxa"/>
            <w:vAlign w:val="bottom"/>
          </w:tcPr>
          <w:p>
            <w:pPr>
              <w:spacing w:after="0"/>
              <w:rPr>
                <w:sz w:val="24"/>
                <w:szCs w:val="24"/>
                <w:color w:val="auto"/>
              </w:rPr>
            </w:pPr>
          </w:p>
        </w:tc>
        <w:tc>
          <w:tcPr>
            <w:tcW w:w="103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w w:val="94"/>
              </w:rPr>
              <w:t>Certification dated May 5, 2015 of Chief Executive Officer pursuant to Securities and Exchange Act of 1934 rule 13a-14 as adopted</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rPr>
              <w:t>pursuant to Section 302 of the Sarbanes-Oxley Act of 2002</w:t>
            </w:r>
          </w:p>
        </w:tc>
      </w:tr>
      <w:tr>
        <w:trPr>
          <w:trHeight w:val="425"/>
        </w:trPr>
        <w:tc>
          <w:tcPr>
            <w:tcW w:w="920" w:type="dxa"/>
            <w:vAlign w:val="bottom"/>
          </w:tcPr>
          <w:p>
            <w:pPr>
              <w:spacing w:after="0"/>
              <w:rPr>
                <w:sz w:val="20"/>
                <w:szCs w:val="20"/>
                <w:color w:val="auto"/>
              </w:rPr>
            </w:pPr>
            <w:r>
              <w:rPr>
                <w:rFonts w:ascii="Arial" w:cs="Arial" w:eastAsia="Arial" w:hAnsi="Arial"/>
                <w:sz w:val="19"/>
                <w:szCs w:val="19"/>
                <w:color w:val="auto"/>
              </w:rPr>
              <w:t>31.02</w:t>
            </w:r>
          </w:p>
        </w:tc>
        <w:tc>
          <w:tcPr>
            <w:tcW w:w="1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w w:val="94"/>
              </w:rPr>
              <w:t>Certification dated May 5, 2015 of Chief Financial Officer pursuant to Securities and Exchange Act of 1934 rule 13a-14 as adopted</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rPr>
              <w:t>pursuant to Section 302 of the Sarbanes-Oxley Act of 2002</w:t>
            </w:r>
          </w:p>
        </w:tc>
      </w:tr>
      <w:tr>
        <w:trPr>
          <w:trHeight w:val="425"/>
        </w:trPr>
        <w:tc>
          <w:tcPr>
            <w:tcW w:w="920" w:type="dxa"/>
            <w:vAlign w:val="bottom"/>
          </w:tcPr>
          <w:p>
            <w:pPr>
              <w:spacing w:after="0"/>
              <w:rPr>
                <w:sz w:val="20"/>
                <w:szCs w:val="20"/>
                <w:color w:val="auto"/>
              </w:rPr>
            </w:pPr>
            <w:r>
              <w:rPr>
                <w:rFonts w:ascii="Arial" w:cs="Arial" w:eastAsia="Arial" w:hAnsi="Arial"/>
                <w:sz w:val="19"/>
                <w:szCs w:val="19"/>
                <w:color w:val="auto"/>
              </w:rPr>
              <w:t>32.01</w:t>
            </w:r>
          </w:p>
        </w:tc>
        <w:tc>
          <w:tcPr>
            <w:tcW w:w="1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w w:val="94"/>
              </w:rPr>
              <w:t>Written Statement dated May 5, 2015 of Chief Executive Officer required by 18 U.S.C. 1350, as adopted pursuant to Section 906 of</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rPr>
              <w:t>the Sarbanes-Oxley Act of 2002</w:t>
            </w:r>
          </w:p>
        </w:tc>
      </w:tr>
      <w:tr>
        <w:trPr>
          <w:trHeight w:val="425"/>
        </w:trPr>
        <w:tc>
          <w:tcPr>
            <w:tcW w:w="920" w:type="dxa"/>
            <w:vAlign w:val="bottom"/>
          </w:tcPr>
          <w:p>
            <w:pPr>
              <w:spacing w:after="0"/>
              <w:rPr>
                <w:sz w:val="20"/>
                <w:szCs w:val="20"/>
                <w:color w:val="auto"/>
              </w:rPr>
            </w:pPr>
            <w:r>
              <w:rPr>
                <w:rFonts w:ascii="Arial" w:cs="Arial" w:eastAsia="Arial" w:hAnsi="Arial"/>
                <w:sz w:val="19"/>
                <w:szCs w:val="19"/>
                <w:color w:val="auto"/>
              </w:rPr>
              <w:t>32.02</w:t>
            </w:r>
          </w:p>
        </w:tc>
        <w:tc>
          <w:tcPr>
            <w:tcW w:w="1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w w:val="94"/>
              </w:rPr>
              <w:t>Written Statement dated May 5, 2015 of Chief Financial Officer required by 18 U.S.C. 1350, as adopted pursuant to Section 906 of</w:t>
            </w:r>
          </w:p>
        </w:tc>
      </w:tr>
      <w:tr>
        <w:trPr>
          <w:trHeight w:val="246"/>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rPr>
              <w:t>the Sarbanes-Oxley Act of 2002</w:t>
            </w:r>
          </w:p>
        </w:tc>
      </w:tr>
      <w:tr>
        <w:trPr>
          <w:trHeight w:val="447"/>
        </w:trPr>
        <w:tc>
          <w:tcPr>
            <w:tcW w:w="920" w:type="dxa"/>
            <w:vAlign w:val="bottom"/>
          </w:tcPr>
          <w:p>
            <w:pPr>
              <w:spacing w:after="0"/>
              <w:rPr>
                <w:sz w:val="20"/>
                <w:szCs w:val="20"/>
                <w:color w:val="auto"/>
              </w:rPr>
            </w:pPr>
            <w:r>
              <w:rPr>
                <w:rFonts w:ascii="Arial" w:cs="Arial" w:eastAsia="Arial" w:hAnsi="Arial"/>
                <w:sz w:val="19"/>
                <w:szCs w:val="19"/>
                <w:color w:val="auto"/>
              </w:rPr>
              <w:t>95</w:t>
            </w:r>
          </w:p>
        </w:tc>
        <w:tc>
          <w:tcPr>
            <w:tcW w:w="1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9"/>
                <w:szCs w:val="19"/>
                <w:color w:val="auto"/>
              </w:rPr>
              <w:t>Mine Safety Disclosures</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101.INS</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Instance Document</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101.SCH</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Taxonomy Extension Schema Document</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101.CAL</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Taxonomy Extension Calculation Linkbase Document</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101.LAB</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Taxonomy Extension Label Linkbase Document</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101.PRE</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Taxonomy Extension Presentation Linkbase Document</w:t>
            </w:r>
          </w:p>
        </w:tc>
      </w:tr>
      <w:tr>
        <w:trPr>
          <w:trHeight w:val="447"/>
        </w:trPr>
        <w:tc>
          <w:tcPr>
            <w:tcW w:w="1040" w:type="dxa"/>
            <w:vAlign w:val="bottom"/>
            <w:gridSpan w:val="2"/>
          </w:tcPr>
          <w:p>
            <w:pPr>
              <w:spacing w:after="0"/>
              <w:rPr>
                <w:sz w:val="20"/>
                <w:szCs w:val="20"/>
                <w:color w:val="auto"/>
              </w:rPr>
            </w:pPr>
            <w:r>
              <w:rPr>
                <w:rFonts w:ascii="Arial" w:cs="Arial" w:eastAsia="Arial" w:hAnsi="Arial"/>
                <w:sz w:val="19"/>
                <w:szCs w:val="19"/>
                <w:color w:val="auto"/>
              </w:rPr>
              <w:t>101.DEF</w:t>
            </w:r>
          </w:p>
        </w:tc>
        <w:tc>
          <w:tcPr>
            <w:tcW w:w="10380" w:type="dxa"/>
            <w:vAlign w:val="bottom"/>
            <w:gridSpan w:val="2"/>
          </w:tcPr>
          <w:p>
            <w:pPr>
              <w:spacing w:after="0"/>
              <w:rPr>
                <w:sz w:val="20"/>
                <w:szCs w:val="20"/>
                <w:color w:val="auto"/>
              </w:rPr>
            </w:pPr>
            <w:r>
              <w:rPr>
                <w:rFonts w:ascii="Arial" w:cs="Arial" w:eastAsia="Arial" w:hAnsi="Arial"/>
                <w:sz w:val="19"/>
                <w:szCs w:val="19"/>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47 of 49</w:t>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color w:val="auto"/>
        </w:rPr>
        <w:t>SIGNATURES</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9"/>
                <w:szCs w:val="19"/>
                <w:color w:val="auto"/>
              </w:rPr>
              <w:t>MARTIN MARIETTA MATERIALS, INC.</w:t>
            </w:r>
          </w:p>
        </w:tc>
      </w:tr>
      <w:tr>
        <w:trPr>
          <w:trHeight w:val="246"/>
        </w:trPr>
        <w:tc>
          <w:tcPr>
            <w:tcW w:w="41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220" w:type="dxa"/>
            <w:vAlign w:val="bottom"/>
          </w:tcPr>
          <w:p>
            <w:pPr>
              <w:jc w:val="center"/>
              <w:ind w:right="2044"/>
              <w:spacing w:after="0"/>
              <w:rPr>
                <w:sz w:val="20"/>
                <w:szCs w:val="20"/>
                <w:color w:val="auto"/>
              </w:rPr>
            </w:pPr>
            <w:r>
              <w:rPr>
                <w:rFonts w:ascii="Arial" w:cs="Arial" w:eastAsia="Arial" w:hAnsi="Arial"/>
                <w:sz w:val="19"/>
                <w:szCs w:val="19"/>
                <w:color w:val="auto"/>
                <w:w w:val="92"/>
              </w:rPr>
              <w:t>(Registrant)</w:t>
            </w:r>
          </w:p>
        </w:tc>
      </w:tr>
      <w:tr>
        <w:trPr>
          <w:trHeight w:val="442"/>
        </w:trPr>
        <w:tc>
          <w:tcPr>
            <w:tcW w:w="4120" w:type="dxa"/>
            <w:vAlign w:val="bottom"/>
          </w:tcPr>
          <w:p>
            <w:pPr>
              <w:spacing w:after="0"/>
              <w:rPr>
                <w:sz w:val="20"/>
                <w:szCs w:val="20"/>
                <w:color w:val="auto"/>
              </w:rPr>
            </w:pPr>
            <w:r>
              <w:rPr>
                <w:rFonts w:ascii="Arial" w:cs="Arial" w:eastAsia="Arial" w:hAnsi="Arial"/>
                <w:sz w:val="19"/>
                <w:szCs w:val="19"/>
                <w:color w:val="auto"/>
              </w:rPr>
              <w:t>Date: May 5, 2015</w:t>
            </w:r>
          </w:p>
        </w:tc>
        <w:tc>
          <w:tcPr>
            <w:tcW w:w="7300" w:type="dxa"/>
            <w:vAlign w:val="bottom"/>
            <w:gridSpan w:val="2"/>
          </w:tcPr>
          <w:p>
            <w:pPr>
              <w:ind w:left="2680"/>
              <w:spacing w:after="0"/>
              <w:rPr>
                <w:sz w:val="20"/>
                <w:szCs w:val="20"/>
                <w:color w:val="auto"/>
              </w:rPr>
            </w:pPr>
            <w:r>
              <w:rPr>
                <w:rFonts w:ascii="Arial" w:cs="Arial" w:eastAsia="Arial" w:hAnsi="Arial"/>
                <w:sz w:val="19"/>
                <w:szCs w:val="19"/>
                <w:color w:val="auto"/>
              </w:rPr>
              <w:t>By: /s/ Anne H. Lloyd</w:t>
            </w:r>
          </w:p>
        </w:tc>
      </w:tr>
      <w:tr>
        <w:trPr>
          <w:trHeight w:val="200"/>
        </w:trPr>
        <w:tc>
          <w:tcPr>
            <w:tcW w:w="4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22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color w:val="auto"/>
              </w:rPr>
              <w:t>Anne H. Lloyd</w:t>
            </w:r>
          </w:p>
        </w:tc>
      </w:tr>
      <w:tr>
        <w:trPr>
          <w:trHeight w:val="224"/>
        </w:trPr>
        <w:tc>
          <w:tcPr>
            <w:tcW w:w="4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9"/>
                <w:szCs w:val="19"/>
                <w:color w:val="auto"/>
              </w:rPr>
              <w:t>Executive Vice President and</w:t>
            </w:r>
          </w:p>
        </w:tc>
      </w:tr>
      <w:tr>
        <w:trPr>
          <w:trHeight w:val="246"/>
        </w:trPr>
        <w:tc>
          <w:tcPr>
            <w:tcW w:w="41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220" w:type="dxa"/>
            <w:vAlign w:val="bottom"/>
          </w:tcPr>
          <w:p>
            <w:pPr>
              <w:jc w:val="center"/>
              <w:ind w:right="2044"/>
              <w:spacing w:after="0"/>
              <w:rPr>
                <w:sz w:val="20"/>
                <w:szCs w:val="20"/>
                <w:color w:val="auto"/>
              </w:rPr>
            </w:pPr>
            <w:r>
              <w:rPr>
                <w:rFonts w:ascii="Arial" w:cs="Arial" w:eastAsia="Arial" w:hAnsi="Arial"/>
                <w:sz w:val="19"/>
                <w:szCs w:val="19"/>
                <w:color w:val="auto"/>
                <w:w w:val="96"/>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48 of 49</w:t>
      </w:r>
    </w:p>
    <w:p>
      <w:pPr>
        <w:sectPr>
          <w:pgSz w:w="11900" w:h="16838" w:orient="portrait"/>
          <w:cols w:equalWidth="0" w:num="1">
            <w:col w:w="11420"/>
          </w:cols>
          <w:pgMar w:left="240" w:top="33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Quarter Ended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INDEX</w:t>
      </w:r>
    </w:p>
    <w:p>
      <w:pPr>
        <w:spacing w:after="0" w:line="229"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9"/>
          <w:szCs w:val="19"/>
          <w:u w:val="single" w:color="auto"/>
          <w:color w:val="auto"/>
        </w:rPr>
        <w:t>Exhibit No.</w:t>
      </w:r>
      <w:r>
        <w:rPr>
          <w:sz w:val="20"/>
          <w:szCs w:val="20"/>
          <w:color w:val="auto"/>
        </w:rPr>
        <w:tab/>
      </w:r>
      <w:r>
        <w:rPr>
          <w:rFonts w:ascii="Arial" w:cs="Arial" w:eastAsia="Arial" w:hAnsi="Arial"/>
          <w:sz w:val="17"/>
          <w:szCs w:val="17"/>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22225</wp:posOffset>
            </wp:positionV>
            <wp:extent cx="6590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9"/>
                <w:szCs w:val="19"/>
                <w:color w:val="auto"/>
              </w:rPr>
              <w:t>31.01</w:t>
            </w:r>
          </w:p>
        </w:tc>
        <w:tc>
          <w:tcPr>
            <w:tcW w:w="10540" w:type="dxa"/>
            <w:vAlign w:val="bottom"/>
          </w:tcPr>
          <w:p>
            <w:pPr>
              <w:ind w:left="160"/>
              <w:spacing w:after="0"/>
              <w:rPr>
                <w:sz w:val="20"/>
                <w:szCs w:val="20"/>
                <w:color w:val="auto"/>
              </w:rPr>
            </w:pPr>
            <w:r>
              <w:rPr>
                <w:rFonts w:ascii="Arial" w:cs="Arial" w:eastAsia="Arial" w:hAnsi="Arial"/>
                <w:sz w:val="19"/>
                <w:szCs w:val="19"/>
                <w:color w:val="auto"/>
                <w:w w:val="94"/>
              </w:rPr>
              <w:t>Certification dated May 5, 2015 of Chief Executive Officer pursuant to Securities and Exchange Act of 1934 rule 13a-14 as adopted</w:t>
            </w:r>
          </w:p>
        </w:tc>
      </w:tr>
      <w:tr>
        <w:trPr>
          <w:trHeight w:val="246"/>
        </w:trPr>
        <w:tc>
          <w:tcPr>
            <w:tcW w:w="880" w:type="dxa"/>
            <w:vAlign w:val="bottom"/>
          </w:tcPr>
          <w:p>
            <w:pPr>
              <w:spacing w:after="0"/>
              <w:rPr>
                <w:sz w:val="21"/>
                <w:szCs w:val="21"/>
                <w:color w:val="auto"/>
              </w:rPr>
            </w:pPr>
          </w:p>
        </w:tc>
        <w:tc>
          <w:tcPr>
            <w:tcW w:w="10540" w:type="dxa"/>
            <w:vAlign w:val="bottom"/>
          </w:tcPr>
          <w:p>
            <w:pPr>
              <w:ind w:left="160"/>
              <w:spacing w:after="0"/>
              <w:rPr>
                <w:sz w:val="20"/>
                <w:szCs w:val="20"/>
                <w:color w:val="auto"/>
              </w:rPr>
            </w:pPr>
            <w:r>
              <w:rPr>
                <w:rFonts w:ascii="Arial" w:cs="Arial" w:eastAsia="Arial" w:hAnsi="Arial"/>
                <w:sz w:val="19"/>
                <w:szCs w:val="19"/>
                <w:color w:val="auto"/>
              </w:rPr>
              <w:t>pursuant to Section 302 of the Sarbanes-Oxley Act of 2002</w:t>
            </w:r>
          </w:p>
        </w:tc>
      </w:tr>
      <w:tr>
        <w:trPr>
          <w:trHeight w:val="425"/>
        </w:trPr>
        <w:tc>
          <w:tcPr>
            <w:tcW w:w="880" w:type="dxa"/>
            <w:vAlign w:val="bottom"/>
          </w:tcPr>
          <w:p>
            <w:pPr>
              <w:spacing w:after="0"/>
              <w:rPr>
                <w:sz w:val="20"/>
                <w:szCs w:val="20"/>
                <w:color w:val="auto"/>
              </w:rPr>
            </w:pPr>
            <w:r>
              <w:rPr>
                <w:rFonts w:ascii="Arial" w:cs="Arial" w:eastAsia="Arial" w:hAnsi="Arial"/>
                <w:sz w:val="19"/>
                <w:szCs w:val="19"/>
                <w:color w:val="auto"/>
              </w:rPr>
              <w:t>31.02</w:t>
            </w:r>
          </w:p>
        </w:tc>
        <w:tc>
          <w:tcPr>
            <w:tcW w:w="10540" w:type="dxa"/>
            <w:vAlign w:val="bottom"/>
          </w:tcPr>
          <w:p>
            <w:pPr>
              <w:ind w:left="160"/>
              <w:spacing w:after="0"/>
              <w:rPr>
                <w:sz w:val="20"/>
                <w:szCs w:val="20"/>
                <w:color w:val="auto"/>
              </w:rPr>
            </w:pPr>
            <w:r>
              <w:rPr>
                <w:rFonts w:ascii="Arial" w:cs="Arial" w:eastAsia="Arial" w:hAnsi="Arial"/>
                <w:sz w:val="19"/>
                <w:szCs w:val="19"/>
                <w:color w:val="auto"/>
                <w:w w:val="94"/>
              </w:rPr>
              <w:t>Certification dated May 5, 2015 of Chief Financial Officer pursuant to Securities and Exchange Act of 1934 rule 13a-14 as adopted</w:t>
            </w:r>
          </w:p>
        </w:tc>
      </w:tr>
      <w:tr>
        <w:trPr>
          <w:trHeight w:val="246"/>
        </w:trPr>
        <w:tc>
          <w:tcPr>
            <w:tcW w:w="880" w:type="dxa"/>
            <w:vAlign w:val="bottom"/>
          </w:tcPr>
          <w:p>
            <w:pPr>
              <w:spacing w:after="0"/>
              <w:rPr>
                <w:sz w:val="21"/>
                <w:szCs w:val="21"/>
                <w:color w:val="auto"/>
              </w:rPr>
            </w:pPr>
          </w:p>
        </w:tc>
        <w:tc>
          <w:tcPr>
            <w:tcW w:w="10540" w:type="dxa"/>
            <w:vAlign w:val="bottom"/>
          </w:tcPr>
          <w:p>
            <w:pPr>
              <w:ind w:left="160"/>
              <w:spacing w:after="0"/>
              <w:rPr>
                <w:sz w:val="20"/>
                <w:szCs w:val="20"/>
                <w:color w:val="auto"/>
              </w:rPr>
            </w:pPr>
            <w:r>
              <w:rPr>
                <w:rFonts w:ascii="Arial" w:cs="Arial" w:eastAsia="Arial" w:hAnsi="Arial"/>
                <w:sz w:val="19"/>
                <w:szCs w:val="19"/>
                <w:color w:val="auto"/>
              </w:rPr>
              <w:t>pursuant to Section 302 of the Sarbanes-Oxley Act of 2002</w:t>
            </w:r>
          </w:p>
        </w:tc>
      </w:tr>
      <w:tr>
        <w:trPr>
          <w:trHeight w:val="425"/>
        </w:trPr>
        <w:tc>
          <w:tcPr>
            <w:tcW w:w="880" w:type="dxa"/>
            <w:vAlign w:val="bottom"/>
          </w:tcPr>
          <w:p>
            <w:pPr>
              <w:spacing w:after="0"/>
              <w:rPr>
                <w:sz w:val="20"/>
                <w:szCs w:val="20"/>
                <w:color w:val="auto"/>
              </w:rPr>
            </w:pPr>
            <w:r>
              <w:rPr>
                <w:rFonts w:ascii="Arial" w:cs="Arial" w:eastAsia="Arial" w:hAnsi="Arial"/>
                <w:sz w:val="19"/>
                <w:szCs w:val="19"/>
                <w:color w:val="auto"/>
              </w:rPr>
              <w:t>32.01</w:t>
            </w:r>
          </w:p>
        </w:tc>
        <w:tc>
          <w:tcPr>
            <w:tcW w:w="10540" w:type="dxa"/>
            <w:vAlign w:val="bottom"/>
          </w:tcPr>
          <w:p>
            <w:pPr>
              <w:ind w:left="160"/>
              <w:spacing w:after="0"/>
              <w:rPr>
                <w:sz w:val="20"/>
                <w:szCs w:val="20"/>
                <w:color w:val="auto"/>
              </w:rPr>
            </w:pPr>
            <w:r>
              <w:rPr>
                <w:rFonts w:ascii="Arial" w:cs="Arial" w:eastAsia="Arial" w:hAnsi="Arial"/>
                <w:sz w:val="19"/>
                <w:szCs w:val="19"/>
                <w:color w:val="auto"/>
                <w:w w:val="94"/>
              </w:rPr>
              <w:t>Written Statement dated May 5, 2015 of Chief Executive Officer required by 18 U.S.C. 1350, as adopted pursuant to Section 906 of</w:t>
            </w:r>
          </w:p>
        </w:tc>
      </w:tr>
      <w:tr>
        <w:trPr>
          <w:trHeight w:val="246"/>
        </w:trPr>
        <w:tc>
          <w:tcPr>
            <w:tcW w:w="880" w:type="dxa"/>
            <w:vAlign w:val="bottom"/>
          </w:tcPr>
          <w:p>
            <w:pPr>
              <w:spacing w:after="0"/>
              <w:rPr>
                <w:sz w:val="21"/>
                <w:szCs w:val="21"/>
                <w:color w:val="auto"/>
              </w:rPr>
            </w:pPr>
          </w:p>
        </w:tc>
        <w:tc>
          <w:tcPr>
            <w:tcW w:w="10540" w:type="dxa"/>
            <w:vAlign w:val="bottom"/>
          </w:tcPr>
          <w:p>
            <w:pPr>
              <w:ind w:left="160"/>
              <w:spacing w:after="0"/>
              <w:rPr>
                <w:sz w:val="20"/>
                <w:szCs w:val="20"/>
                <w:color w:val="auto"/>
              </w:rPr>
            </w:pPr>
            <w:r>
              <w:rPr>
                <w:rFonts w:ascii="Arial" w:cs="Arial" w:eastAsia="Arial" w:hAnsi="Arial"/>
                <w:sz w:val="19"/>
                <w:szCs w:val="19"/>
                <w:color w:val="auto"/>
              </w:rPr>
              <w:t>the Sarbanes-Oxley Act of 2002</w:t>
            </w:r>
          </w:p>
        </w:tc>
      </w:tr>
      <w:tr>
        <w:trPr>
          <w:trHeight w:val="425"/>
        </w:trPr>
        <w:tc>
          <w:tcPr>
            <w:tcW w:w="880" w:type="dxa"/>
            <w:vAlign w:val="bottom"/>
          </w:tcPr>
          <w:p>
            <w:pPr>
              <w:spacing w:after="0"/>
              <w:rPr>
                <w:sz w:val="20"/>
                <w:szCs w:val="20"/>
                <w:color w:val="auto"/>
              </w:rPr>
            </w:pPr>
            <w:r>
              <w:rPr>
                <w:rFonts w:ascii="Arial" w:cs="Arial" w:eastAsia="Arial" w:hAnsi="Arial"/>
                <w:sz w:val="19"/>
                <w:szCs w:val="19"/>
                <w:color w:val="auto"/>
              </w:rPr>
              <w:t>32.02</w:t>
            </w:r>
          </w:p>
        </w:tc>
        <w:tc>
          <w:tcPr>
            <w:tcW w:w="10540" w:type="dxa"/>
            <w:vAlign w:val="bottom"/>
          </w:tcPr>
          <w:p>
            <w:pPr>
              <w:ind w:left="160"/>
              <w:spacing w:after="0"/>
              <w:rPr>
                <w:sz w:val="20"/>
                <w:szCs w:val="20"/>
                <w:color w:val="auto"/>
              </w:rPr>
            </w:pPr>
            <w:r>
              <w:rPr>
                <w:rFonts w:ascii="Arial" w:cs="Arial" w:eastAsia="Arial" w:hAnsi="Arial"/>
                <w:sz w:val="19"/>
                <w:szCs w:val="19"/>
                <w:color w:val="auto"/>
                <w:w w:val="94"/>
              </w:rPr>
              <w:t>Written Statement dated May 5, 2015 of Chief Financial Officer required by 18 U.S.C. 1350, as adopted pursuant to Section 906 of</w:t>
            </w:r>
          </w:p>
        </w:tc>
      </w:tr>
      <w:tr>
        <w:trPr>
          <w:trHeight w:val="246"/>
        </w:trPr>
        <w:tc>
          <w:tcPr>
            <w:tcW w:w="880" w:type="dxa"/>
            <w:vAlign w:val="bottom"/>
          </w:tcPr>
          <w:p>
            <w:pPr>
              <w:spacing w:after="0"/>
              <w:rPr>
                <w:sz w:val="21"/>
                <w:szCs w:val="21"/>
                <w:color w:val="auto"/>
              </w:rPr>
            </w:pPr>
          </w:p>
        </w:tc>
        <w:tc>
          <w:tcPr>
            <w:tcW w:w="10540" w:type="dxa"/>
            <w:vAlign w:val="bottom"/>
          </w:tcPr>
          <w:p>
            <w:pPr>
              <w:ind w:left="160"/>
              <w:spacing w:after="0"/>
              <w:rPr>
                <w:sz w:val="20"/>
                <w:szCs w:val="20"/>
                <w:color w:val="auto"/>
              </w:rPr>
            </w:pPr>
            <w:r>
              <w:rPr>
                <w:rFonts w:ascii="Arial" w:cs="Arial" w:eastAsia="Arial" w:hAnsi="Arial"/>
                <w:sz w:val="19"/>
                <w:szCs w:val="19"/>
                <w:color w:val="auto"/>
              </w:rPr>
              <w:t>the Sarbanes-Oxley Act of 2002</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95</w:t>
            </w:r>
          </w:p>
        </w:tc>
        <w:tc>
          <w:tcPr>
            <w:tcW w:w="10540" w:type="dxa"/>
            <w:vAlign w:val="bottom"/>
          </w:tcPr>
          <w:p>
            <w:pPr>
              <w:ind w:left="160"/>
              <w:spacing w:after="0"/>
              <w:rPr>
                <w:sz w:val="20"/>
                <w:szCs w:val="20"/>
                <w:color w:val="auto"/>
              </w:rPr>
            </w:pPr>
            <w:r>
              <w:rPr>
                <w:rFonts w:ascii="Arial" w:cs="Arial" w:eastAsia="Arial" w:hAnsi="Arial"/>
                <w:sz w:val="19"/>
                <w:szCs w:val="19"/>
                <w:color w:val="auto"/>
              </w:rPr>
              <w:t>Mine Safety Disclosures</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101.INS</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Instance Document</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101.SCH</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Taxonomy Extension Schema Document</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101.CAL</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Taxonomy Extension Calculation Linkbase Document</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101.LAB</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Taxonomy Extension Label Linkbase Document</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101.PRE</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Taxonomy Extension Presentation Linkbase Document</w:t>
            </w:r>
          </w:p>
        </w:tc>
      </w:tr>
      <w:tr>
        <w:trPr>
          <w:trHeight w:val="447"/>
        </w:trPr>
        <w:tc>
          <w:tcPr>
            <w:tcW w:w="880" w:type="dxa"/>
            <w:vAlign w:val="bottom"/>
          </w:tcPr>
          <w:p>
            <w:pPr>
              <w:spacing w:after="0"/>
              <w:rPr>
                <w:sz w:val="20"/>
                <w:szCs w:val="20"/>
                <w:color w:val="auto"/>
              </w:rPr>
            </w:pPr>
            <w:r>
              <w:rPr>
                <w:rFonts w:ascii="Arial" w:cs="Arial" w:eastAsia="Arial" w:hAnsi="Arial"/>
                <w:sz w:val="19"/>
                <w:szCs w:val="19"/>
                <w:color w:val="auto"/>
              </w:rPr>
              <w:t>101.DEF</w:t>
            </w:r>
          </w:p>
        </w:tc>
        <w:tc>
          <w:tcPr>
            <w:tcW w:w="10540" w:type="dxa"/>
            <w:vAlign w:val="bottom"/>
          </w:tcPr>
          <w:p>
            <w:pPr>
              <w:ind w:left="160"/>
              <w:spacing w:after="0"/>
              <w:rPr>
                <w:sz w:val="20"/>
                <w:szCs w:val="20"/>
                <w:color w:val="auto"/>
              </w:rPr>
            </w:pPr>
            <w:r>
              <w:rPr>
                <w:rFonts w:ascii="Arial" w:cs="Arial" w:eastAsia="Arial" w:hAnsi="Arial"/>
                <w:sz w:val="19"/>
                <w:szCs w:val="19"/>
                <w:color w:val="auto"/>
              </w:rPr>
              <w:t>XBRL Taxonomy Extension Definition Linkbase</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49 of 49</w:t>
      </w:r>
    </w:p>
    <w:p>
      <w:pPr>
        <w:sectPr>
          <w:pgSz w:w="11900" w:h="16838" w:orient="portrait"/>
          <w:cols w:equalWidth="0" w:num="1">
            <w:col w:w="11420"/>
          </w:cols>
          <w:pgMar w:left="240" w:top="33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9"/>
          <w:szCs w:val="19"/>
          <w:b w:val="1"/>
          <w:bCs w:val="1"/>
          <w:color w:val="auto"/>
        </w:rPr>
        <w:t>EXHIBIT 31.01</w:t>
      </w:r>
    </w:p>
    <w:p>
      <w:pPr>
        <w:spacing w:after="0" w:line="200" w:lineRule="exact"/>
        <w:rPr>
          <w:sz w:val="20"/>
          <w:szCs w:val="20"/>
          <w:color w:val="auto"/>
        </w:rPr>
      </w:pPr>
    </w:p>
    <w:p>
      <w:pPr>
        <w:spacing w:after="0" w:line="279" w:lineRule="exact"/>
        <w:rPr>
          <w:sz w:val="20"/>
          <w:szCs w:val="20"/>
          <w:color w:val="auto"/>
        </w:rPr>
      </w:pPr>
    </w:p>
    <w:p>
      <w:pPr>
        <w:jc w:val="center"/>
        <w:spacing w:after="0" w:line="282" w:lineRule="auto"/>
        <w:rPr>
          <w:sz w:val="20"/>
          <w:szCs w:val="20"/>
          <w:color w:val="auto"/>
        </w:rPr>
      </w:pPr>
      <w:r>
        <w:rPr>
          <w:rFonts w:ascii="Arial" w:cs="Arial" w:eastAsia="Arial" w:hAnsi="Arial"/>
          <w:sz w:val="19"/>
          <w:szCs w:val="19"/>
          <w:b w:val="1"/>
          <w:bCs w:val="1"/>
          <w:color w:val="auto"/>
        </w:rPr>
        <w:t>CERTIFICATION PURSUANT TO SECURITIES AND EXCHANGE ACT OF 1934 RULE 13a-14 AS ADOPTED PURSUANT TO SECTION 302 OF SARBANES-OXLEY ACT OF 2002</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I, C. Howard Nye, certify that:</w:t>
      </w:r>
    </w:p>
    <w:p>
      <w:pPr>
        <w:spacing w:after="0" w:line="229" w:lineRule="exact"/>
        <w:rPr>
          <w:sz w:val="20"/>
          <w:szCs w:val="20"/>
          <w:color w:val="auto"/>
        </w:rPr>
      </w:pPr>
    </w:p>
    <w:p>
      <w:pPr>
        <w:ind w:left="1300" w:hanging="417"/>
        <w:spacing w:after="0"/>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have reviewed this Form 10-Q of Martin Marietta Materials, Inc.;</w:t>
      </w:r>
    </w:p>
    <w:p>
      <w:pPr>
        <w:spacing w:after="0" w:line="228" w:lineRule="exact"/>
        <w:rPr>
          <w:rFonts w:ascii="Arial" w:cs="Arial" w:eastAsia="Arial" w:hAnsi="Arial"/>
          <w:sz w:val="19"/>
          <w:szCs w:val="19"/>
          <w:color w:val="auto"/>
        </w:rPr>
      </w:pPr>
    </w:p>
    <w:p>
      <w:pPr>
        <w:jc w:val="both"/>
        <w:ind w:left="1300" w:hanging="417"/>
        <w:spacing w:after="0" w:line="260"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9"/>
          <w:szCs w:val="19"/>
          <w:color w:val="auto"/>
        </w:rPr>
      </w:pPr>
    </w:p>
    <w:p>
      <w:pPr>
        <w:jc w:val="both"/>
        <w:ind w:left="1300" w:hanging="417"/>
        <w:spacing w:after="0" w:line="260"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4" w:lineRule="exact"/>
        <w:rPr>
          <w:rFonts w:ascii="Arial" w:cs="Arial" w:eastAsia="Arial" w:hAnsi="Arial"/>
          <w:sz w:val="19"/>
          <w:szCs w:val="19"/>
          <w:color w:val="auto"/>
        </w:rPr>
      </w:pPr>
    </w:p>
    <w:p>
      <w:pPr>
        <w:jc w:val="both"/>
        <w:ind w:left="1300" w:right="20" w:hanging="417"/>
        <w:spacing w:after="0" w:line="260"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9"/>
          <w:szCs w:val="19"/>
          <w:color w:val="auto"/>
        </w:rPr>
      </w:pPr>
    </w:p>
    <w:p>
      <w:pPr>
        <w:jc w:val="both"/>
        <w:ind w:left="2140" w:hanging="379"/>
        <w:spacing w:after="0" w:line="255"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9"/>
          <w:szCs w:val="19"/>
          <w:color w:val="auto"/>
        </w:rPr>
      </w:pPr>
    </w:p>
    <w:p>
      <w:pPr>
        <w:jc w:val="both"/>
        <w:ind w:left="2140" w:hanging="379"/>
        <w:spacing w:after="0" w:line="255"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9" w:lineRule="exact"/>
        <w:rPr>
          <w:rFonts w:ascii="Arial" w:cs="Arial" w:eastAsia="Arial" w:hAnsi="Arial"/>
          <w:sz w:val="19"/>
          <w:szCs w:val="19"/>
          <w:color w:val="auto"/>
        </w:rPr>
      </w:pPr>
    </w:p>
    <w:p>
      <w:pPr>
        <w:jc w:val="both"/>
        <w:ind w:left="2140" w:hanging="379"/>
        <w:spacing w:after="0" w:line="260"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9"/>
          <w:szCs w:val="19"/>
          <w:color w:val="auto"/>
        </w:rPr>
      </w:pPr>
    </w:p>
    <w:p>
      <w:pPr>
        <w:jc w:val="both"/>
        <w:ind w:left="2140" w:right="20" w:hanging="379"/>
        <w:spacing w:after="0" w:line="260"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ectPr>
          <w:pgSz w:w="11900" w:h="16838" w:orient="portrait"/>
          <w:cols w:equalWidth="0" w:num="1">
            <w:col w:w="11420"/>
          </w:cols>
          <w:pgMar w:left="240" w:top="564" w:right="239" w:bottom="1440" w:gutter="0" w:footer="0" w:header="0"/>
        </w:sectPr>
      </w:pPr>
    </w:p>
    <w:bookmarkStart w:id="50" w:name="page51"/>
    <w:bookmarkEnd w:id="50"/>
    <w:p>
      <w:pPr>
        <w:jc w:val="both"/>
        <w:ind w:left="1300" w:hanging="417"/>
        <w:spacing w:after="0" w:line="260" w:lineRule="auto"/>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9"/>
          <w:szCs w:val="19"/>
          <w:color w:val="auto"/>
        </w:rPr>
      </w:pPr>
    </w:p>
    <w:p>
      <w:pPr>
        <w:jc w:val="both"/>
        <w:ind w:left="2140" w:hanging="379"/>
        <w:spacing w:after="0" w:line="260" w:lineRule="auto"/>
        <w:tabs>
          <w:tab w:leader="none" w:pos="21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9"/>
          <w:szCs w:val="19"/>
          <w:color w:val="auto"/>
        </w:rPr>
      </w:pPr>
    </w:p>
    <w:p>
      <w:pPr>
        <w:ind w:left="2140" w:right="20" w:hanging="379"/>
        <w:spacing w:after="0" w:line="275" w:lineRule="auto"/>
        <w:tabs>
          <w:tab w:leader="none" w:pos="21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80" w:type="dxa"/>
            <w:vAlign w:val="bottom"/>
          </w:tcPr>
          <w:p>
            <w:pPr>
              <w:spacing w:after="0"/>
              <w:rPr>
                <w:sz w:val="20"/>
                <w:szCs w:val="20"/>
                <w:color w:val="auto"/>
              </w:rPr>
            </w:pPr>
            <w:r>
              <w:rPr>
                <w:rFonts w:ascii="Arial" w:cs="Arial" w:eastAsia="Arial" w:hAnsi="Arial"/>
                <w:sz w:val="19"/>
                <w:szCs w:val="19"/>
                <w:color w:val="auto"/>
              </w:rPr>
              <w:t>Date: May 5, 2015</w:t>
            </w:r>
          </w:p>
        </w:tc>
        <w:tc>
          <w:tcPr>
            <w:tcW w:w="7240" w:type="dxa"/>
            <w:vAlign w:val="bottom"/>
            <w:gridSpan w:val="2"/>
          </w:tcPr>
          <w:p>
            <w:pPr>
              <w:ind w:left="2700"/>
              <w:spacing w:after="0"/>
              <w:rPr>
                <w:sz w:val="20"/>
                <w:szCs w:val="20"/>
                <w:color w:val="auto"/>
              </w:rPr>
            </w:pPr>
            <w:r>
              <w:rPr>
                <w:rFonts w:ascii="Arial" w:cs="Arial" w:eastAsia="Arial" w:hAnsi="Arial"/>
                <w:sz w:val="19"/>
                <w:szCs w:val="19"/>
                <w:color w:val="auto"/>
              </w:rPr>
              <w:t>By:  /s/ C. Howard Nye</w:t>
            </w:r>
          </w:p>
        </w:tc>
      </w:tr>
      <w:tr>
        <w:trPr>
          <w:trHeight w:val="200"/>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0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color w:val="auto"/>
              </w:rPr>
              <w:t>C. Howard Nye</w:t>
            </w:r>
          </w:p>
        </w:tc>
      </w:tr>
      <w:tr>
        <w:trPr>
          <w:trHeight w:val="224"/>
        </w:trPr>
        <w:tc>
          <w:tcPr>
            <w:tcW w:w="4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9"/>
                <w:szCs w:val="19"/>
                <w:color w:val="auto"/>
              </w:rPr>
              <w:t>Chairman, President and</w:t>
            </w:r>
          </w:p>
        </w:tc>
      </w:tr>
      <w:tr>
        <w:trPr>
          <w:trHeight w:val="246"/>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19"/>
                <w:szCs w:val="19"/>
                <w:color w:val="auto"/>
              </w:rPr>
              <w:t>Chief Executive Officer</w:t>
            </w:r>
          </w:p>
        </w:tc>
      </w:tr>
    </w:tbl>
    <w:p>
      <w:pPr>
        <w:sectPr>
          <w:pgSz w:w="11900" w:h="16838" w:orient="portrait"/>
          <w:cols w:equalWidth="0" w:num="1">
            <w:col w:w="11420"/>
          </w:cols>
          <w:pgMar w:left="240" w:top="101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9"/>
          <w:szCs w:val="19"/>
          <w:b w:val="1"/>
          <w:bCs w:val="1"/>
          <w:color w:val="auto"/>
        </w:rPr>
        <w:t>EXHIBIT 31.02</w:t>
      </w:r>
    </w:p>
    <w:p>
      <w:pPr>
        <w:spacing w:after="0" w:line="200" w:lineRule="exact"/>
        <w:rPr>
          <w:sz w:val="20"/>
          <w:szCs w:val="20"/>
          <w:color w:val="auto"/>
        </w:rPr>
      </w:pPr>
    </w:p>
    <w:p>
      <w:pPr>
        <w:spacing w:after="0" w:line="279" w:lineRule="exact"/>
        <w:rPr>
          <w:sz w:val="20"/>
          <w:szCs w:val="20"/>
          <w:color w:val="auto"/>
        </w:rPr>
      </w:pPr>
    </w:p>
    <w:p>
      <w:pPr>
        <w:jc w:val="center"/>
        <w:spacing w:after="0" w:line="282" w:lineRule="auto"/>
        <w:rPr>
          <w:sz w:val="20"/>
          <w:szCs w:val="20"/>
          <w:color w:val="auto"/>
        </w:rPr>
      </w:pPr>
      <w:r>
        <w:rPr>
          <w:rFonts w:ascii="Arial" w:cs="Arial" w:eastAsia="Arial" w:hAnsi="Arial"/>
          <w:sz w:val="19"/>
          <w:szCs w:val="19"/>
          <w:b w:val="1"/>
          <w:bCs w:val="1"/>
          <w:color w:val="auto"/>
        </w:rPr>
        <w:t>CERTIFICATION PURSUANT TO SECURITIES AND EXCHANGE ACT OF 1934 RULE 13a-14 AS ADOPTED PURSUANT TO SECTION 302 OF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I, Anne H. Lloyd, certify that:</w:t>
      </w:r>
    </w:p>
    <w:p>
      <w:pPr>
        <w:spacing w:after="0" w:line="229" w:lineRule="exact"/>
        <w:rPr>
          <w:sz w:val="20"/>
          <w:szCs w:val="20"/>
          <w:color w:val="auto"/>
        </w:rPr>
      </w:pPr>
    </w:p>
    <w:p>
      <w:pPr>
        <w:ind w:left="1300" w:hanging="417"/>
        <w:spacing w:after="0"/>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have reviewed this Form 10-Q of Martin Marietta Materials, Inc.;</w:t>
      </w:r>
    </w:p>
    <w:p>
      <w:pPr>
        <w:spacing w:after="0" w:line="228" w:lineRule="exact"/>
        <w:rPr>
          <w:rFonts w:ascii="Arial" w:cs="Arial" w:eastAsia="Arial" w:hAnsi="Arial"/>
          <w:sz w:val="19"/>
          <w:szCs w:val="19"/>
          <w:color w:val="auto"/>
        </w:rPr>
      </w:pPr>
    </w:p>
    <w:p>
      <w:pPr>
        <w:jc w:val="both"/>
        <w:ind w:left="1300" w:hanging="417"/>
        <w:spacing w:after="0" w:line="260" w:lineRule="auto"/>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9"/>
          <w:szCs w:val="19"/>
          <w:color w:val="auto"/>
        </w:rPr>
      </w:pPr>
    </w:p>
    <w:p>
      <w:pPr>
        <w:jc w:val="both"/>
        <w:ind w:left="1300" w:hanging="417"/>
        <w:spacing w:after="0" w:line="260" w:lineRule="auto"/>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4" w:lineRule="exact"/>
        <w:rPr>
          <w:rFonts w:ascii="Arial" w:cs="Arial" w:eastAsia="Arial" w:hAnsi="Arial"/>
          <w:sz w:val="19"/>
          <w:szCs w:val="19"/>
          <w:color w:val="auto"/>
        </w:rPr>
      </w:pPr>
    </w:p>
    <w:p>
      <w:pPr>
        <w:jc w:val="both"/>
        <w:ind w:left="1300" w:right="20" w:hanging="417"/>
        <w:spacing w:after="0" w:line="260" w:lineRule="auto"/>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9"/>
          <w:szCs w:val="19"/>
          <w:color w:val="auto"/>
        </w:rPr>
      </w:pPr>
    </w:p>
    <w:p>
      <w:pPr>
        <w:jc w:val="both"/>
        <w:ind w:left="2140" w:hanging="379"/>
        <w:spacing w:after="0" w:line="255" w:lineRule="auto"/>
        <w:tabs>
          <w:tab w:leader="none" w:pos="21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9"/>
          <w:szCs w:val="19"/>
          <w:color w:val="auto"/>
        </w:rPr>
      </w:pPr>
    </w:p>
    <w:p>
      <w:pPr>
        <w:jc w:val="both"/>
        <w:ind w:left="2140" w:hanging="379"/>
        <w:spacing w:after="0" w:line="255" w:lineRule="auto"/>
        <w:tabs>
          <w:tab w:leader="none" w:pos="21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9" w:lineRule="exact"/>
        <w:rPr>
          <w:rFonts w:ascii="Arial" w:cs="Arial" w:eastAsia="Arial" w:hAnsi="Arial"/>
          <w:sz w:val="19"/>
          <w:szCs w:val="19"/>
          <w:color w:val="auto"/>
        </w:rPr>
      </w:pPr>
    </w:p>
    <w:p>
      <w:pPr>
        <w:jc w:val="both"/>
        <w:ind w:left="2140" w:hanging="379"/>
        <w:spacing w:after="0" w:line="260" w:lineRule="auto"/>
        <w:tabs>
          <w:tab w:leader="none" w:pos="21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9"/>
          <w:szCs w:val="19"/>
          <w:color w:val="auto"/>
        </w:rPr>
      </w:pPr>
    </w:p>
    <w:p>
      <w:pPr>
        <w:jc w:val="both"/>
        <w:ind w:left="2140" w:right="20" w:hanging="379"/>
        <w:spacing w:after="0" w:line="260" w:lineRule="auto"/>
        <w:tabs>
          <w:tab w:leader="none" w:pos="21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ectPr>
          <w:pgSz w:w="11900" w:h="16838" w:orient="portrait"/>
          <w:cols w:equalWidth="0" w:num="1">
            <w:col w:w="11420"/>
          </w:cols>
          <w:pgMar w:left="240" w:top="590" w:right="239" w:bottom="1440" w:gutter="0" w:footer="0" w:header="0"/>
        </w:sectPr>
      </w:pPr>
    </w:p>
    <w:bookmarkStart w:id="52" w:name="page53"/>
    <w:bookmarkEnd w:id="52"/>
    <w:p>
      <w:pPr>
        <w:jc w:val="both"/>
        <w:ind w:left="1300" w:hanging="417"/>
        <w:spacing w:after="0" w:line="260" w:lineRule="auto"/>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9"/>
          <w:szCs w:val="19"/>
          <w:color w:val="auto"/>
        </w:rPr>
      </w:pPr>
    </w:p>
    <w:p>
      <w:pPr>
        <w:jc w:val="both"/>
        <w:ind w:left="2140" w:hanging="379"/>
        <w:spacing w:after="0" w:line="260" w:lineRule="auto"/>
        <w:tabs>
          <w:tab w:leader="none" w:pos="21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9"/>
          <w:szCs w:val="19"/>
          <w:color w:val="auto"/>
        </w:rPr>
      </w:pPr>
    </w:p>
    <w:p>
      <w:pPr>
        <w:ind w:left="2140" w:right="20" w:hanging="379"/>
        <w:spacing w:after="0" w:line="275" w:lineRule="auto"/>
        <w:tabs>
          <w:tab w:leader="none" w:pos="21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60" w:type="dxa"/>
            <w:vAlign w:val="bottom"/>
          </w:tcPr>
          <w:p>
            <w:pPr>
              <w:spacing w:after="0"/>
              <w:rPr>
                <w:sz w:val="20"/>
                <w:szCs w:val="20"/>
                <w:color w:val="auto"/>
              </w:rPr>
            </w:pPr>
            <w:r>
              <w:rPr>
                <w:rFonts w:ascii="Arial" w:cs="Arial" w:eastAsia="Arial" w:hAnsi="Arial"/>
                <w:sz w:val="19"/>
                <w:szCs w:val="19"/>
                <w:color w:val="auto"/>
              </w:rPr>
              <w:t>Date: May 5, 2015</w:t>
            </w:r>
          </w:p>
        </w:tc>
        <w:tc>
          <w:tcPr>
            <w:tcW w:w="7260" w:type="dxa"/>
            <w:vAlign w:val="bottom"/>
            <w:gridSpan w:val="2"/>
          </w:tcPr>
          <w:p>
            <w:pPr>
              <w:ind w:left="2720"/>
              <w:spacing w:after="0"/>
              <w:rPr>
                <w:sz w:val="20"/>
                <w:szCs w:val="20"/>
                <w:color w:val="auto"/>
              </w:rPr>
            </w:pPr>
            <w:r>
              <w:rPr>
                <w:rFonts w:ascii="Arial" w:cs="Arial" w:eastAsia="Arial" w:hAnsi="Arial"/>
                <w:sz w:val="19"/>
                <w:szCs w:val="19"/>
                <w:color w:val="auto"/>
              </w:rPr>
              <w:t>By:  /s/ Anne H. Lloyd</w:t>
            </w:r>
          </w:p>
        </w:tc>
      </w:tr>
      <w:tr>
        <w:trPr>
          <w:trHeight w:val="200"/>
        </w:trPr>
        <w:tc>
          <w:tcPr>
            <w:tcW w:w="4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10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color w:val="auto"/>
              </w:rPr>
              <w:t>Anne H. Lloyd</w:t>
            </w:r>
          </w:p>
        </w:tc>
      </w:tr>
      <w:tr>
        <w:trPr>
          <w:trHeight w:val="224"/>
        </w:trPr>
        <w:tc>
          <w:tcPr>
            <w:tcW w:w="4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9"/>
                <w:szCs w:val="19"/>
                <w:color w:val="auto"/>
              </w:rPr>
              <w:t>Executive Vice President and</w:t>
            </w:r>
          </w:p>
        </w:tc>
      </w:tr>
      <w:tr>
        <w:trPr>
          <w:trHeight w:val="246"/>
        </w:trPr>
        <w:tc>
          <w:tcPr>
            <w:tcW w:w="41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19"/>
                <w:szCs w:val="19"/>
                <w:color w:val="auto"/>
              </w:rPr>
              <w:t>Chief Financial Officer</w:t>
            </w:r>
          </w:p>
        </w:tc>
      </w:tr>
    </w:tbl>
    <w:p>
      <w:pPr>
        <w:sectPr>
          <w:pgSz w:w="11900" w:h="16838" w:orient="portrait"/>
          <w:cols w:equalWidth="0" w:num="1">
            <w:col w:w="11420"/>
          </w:cols>
          <w:pgMar w:left="240" w:top="101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9"/>
          <w:szCs w:val="19"/>
          <w:b w:val="1"/>
          <w:bCs w:val="1"/>
          <w:color w:val="auto"/>
        </w:rPr>
        <w:t>EXHIBIT 32.01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9"/>
          <w:szCs w:val="19"/>
          <w:color w:val="auto"/>
        </w:rPr>
        <w:t>In connection with the Quarterly Report on Form 10-Q for the period ended March 31, 2015 (the “Report”) of Martin Marietta Materials, Inc. (the “Registrant”), as filed with the Securities and Exchange Commission on the date hereof, I, C. Howard Nye, the Chief Executive Officer of the Registrant, certify, to the best of my knowledge, that:</w:t>
      </w:r>
    </w:p>
    <w:p>
      <w:pPr>
        <w:spacing w:after="0" w:line="184" w:lineRule="exact"/>
        <w:rPr>
          <w:sz w:val="20"/>
          <w:szCs w:val="20"/>
          <w:color w:val="auto"/>
        </w:rPr>
      </w:pPr>
    </w:p>
    <w:p>
      <w:pPr>
        <w:ind w:left="1700" w:hanging="817"/>
        <w:spacing w:after="0" w:line="275" w:lineRule="auto"/>
        <w:tabs>
          <w:tab w:leader="none" w:pos="17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170" w:lineRule="exact"/>
        <w:rPr>
          <w:rFonts w:ascii="Arial" w:cs="Arial" w:eastAsia="Arial" w:hAnsi="Arial"/>
          <w:sz w:val="19"/>
          <w:szCs w:val="19"/>
          <w:color w:val="auto"/>
        </w:rPr>
      </w:pPr>
    </w:p>
    <w:p>
      <w:pPr>
        <w:ind w:left="1700" w:right="20" w:hanging="817"/>
        <w:spacing w:after="0" w:line="275" w:lineRule="auto"/>
        <w:tabs>
          <w:tab w:leader="none" w:pos="17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C. Howard Nye</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Chairman, President and</w:t>
      </w:r>
    </w:p>
    <w:p>
      <w:pPr>
        <w:spacing w:after="0" w:line="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Dated: May 5, 2015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9"/>
          <w:szCs w:val="19"/>
          <w:b w:val="1"/>
          <w:bCs w:val="1"/>
          <w:color w:val="auto"/>
        </w:rPr>
        <w:t>EXHIBIT 32.02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9"/>
          <w:szCs w:val="19"/>
          <w:color w:val="auto"/>
        </w:rPr>
        <w:t>In connection with the Quarterly Report on Form 10-Q for the period ended March 31, 2015 (the “Report”) of Martin Marietta Materials, Inc. (the “Registrant”), as filed with the Securities and Exchange Commission on the date hereof, I, Anne H. Lloyd, the Chief Financial Officer of the Registrant, certify, to the best of my knowledge, that:</w:t>
      </w:r>
    </w:p>
    <w:p>
      <w:pPr>
        <w:spacing w:after="0" w:line="184" w:lineRule="exact"/>
        <w:rPr>
          <w:sz w:val="20"/>
          <w:szCs w:val="20"/>
          <w:color w:val="auto"/>
        </w:rPr>
      </w:pPr>
    </w:p>
    <w:p>
      <w:pPr>
        <w:ind w:left="1700" w:hanging="817"/>
        <w:spacing w:after="0" w:line="275" w:lineRule="auto"/>
        <w:tabs>
          <w:tab w:leader="none" w:pos="1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170" w:lineRule="exact"/>
        <w:rPr>
          <w:rFonts w:ascii="Arial" w:cs="Arial" w:eastAsia="Arial" w:hAnsi="Arial"/>
          <w:sz w:val="19"/>
          <w:szCs w:val="19"/>
          <w:color w:val="auto"/>
        </w:rPr>
      </w:pPr>
    </w:p>
    <w:p>
      <w:pPr>
        <w:ind w:left="1700" w:right="20" w:hanging="817"/>
        <w:spacing w:after="0" w:line="275" w:lineRule="auto"/>
        <w:tabs>
          <w:tab w:leader="none" w:pos="1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Anne H. Lloyd</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Executive Vice President and</w:t>
      </w:r>
    </w:p>
    <w:p>
      <w:pPr>
        <w:spacing w:after="0" w:line="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Dated: May 5, 2015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53"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9"/>
          <w:szCs w:val="19"/>
          <w:b w:val="1"/>
          <w:bCs w:val="1"/>
          <w:color w:val="auto"/>
        </w:rPr>
        <w:t>EXHIBIT 95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March 31, 2015:</w:t>
      </w:r>
    </w:p>
    <w:p>
      <w:pPr>
        <w:spacing w:after="0" w:line="240" w:lineRule="exact"/>
        <w:rPr>
          <w:sz w:val="20"/>
          <w:szCs w:val="20"/>
          <w:color w:val="auto"/>
        </w:rPr>
      </w:pPr>
    </w:p>
    <w:p>
      <w:pPr>
        <w:jc w:val="both"/>
        <w:ind w:left="520" w:hanging="444"/>
        <w:spacing w:after="0" w:line="251" w:lineRule="auto"/>
        <w:tabs>
          <w:tab w:leader="none" w:pos="520"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ectPr>
          <w:pgSz w:w="11900" w:h="16838" w:orient="portrait"/>
          <w:cols w:equalWidth="0" w:num="1">
            <w:col w:w="11420"/>
          </w:cols>
          <w:pgMar w:left="240" w:top="340" w:right="239" w:bottom="1440" w:gutter="0" w:footer="0" w:header="0"/>
        </w:sectPr>
      </w:pPr>
    </w:p>
    <w:bookmarkStart w:id="56" w:name="page57"/>
    <w:bookmarkEnd w:id="56"/>
    <w:p>
      <w:pPr>
        <w:jc w:val="both"/>
        <w:ind w:left="444" w:right="20" w:hanging="444"/>
        <w:spacing w:after="0" w:line="255" w:lineRule="auto"/>
        <w:tabs>
          <w:tab w:leader="none" w:pos="444"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89" w:lineRule="exact"/>
        <w:rPr>
          <w:rFonts w:ascii="Arial" w:cs="Arial" w:eastAsia="Arial" w:hAnsi="Arial"/>
          <w:sz w:val="19"/>
          <w:szCs w:val="19"/>
          <w:b w:val="1"/>
          <w:bCs w:val="1"/>
          <w:color w:val="auto"/>
        </w:rPr>
      </w:pPr>
    </w:p>
    <w:p>
      <w:pPr>
        <w:jc w:val="both"/>
        <w:ind w:left="444" w:hanging="442"/>
        <w:spacing w:after="0" w:line="253" w:lineRule="auto"/>
        <w:tabs>
          <w:tab w:leader="none" w:pos="444"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0" w:lineRule="exact"/>
        <w:rPr>
          <w:rFonts w:ascii="Arial" w:cs="Arial" w:eastAsia="Arial" w:hAnsi="Arial"/>
          <w:sz w:val="19"/>
          <w:szCs w:val="19"/>
          <w:b w:val="1"/>
          <w:bCs w:val="1"/>
          <w:color w:val="auto"/>
        </w:rPr>
      </w:pPr>
    </w:p>
    <w:p>
      <w:pPr>
        <w:jc w:val="both"/>
        <w:ind w:left="444" w:hanging="442"/>
        <w:spacing w:after="0" w:line="274" w:lineRule="auto"/>
        <w:tabs>
          <w:tab w:leader="none" w:pos="44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2" w:lineRule="exact"/>
        <w:rPr>
          <w:rFonts w:ascii="Arial" w:cs="Arial" w:eastAsia="Arial" w:hAnsi="Arial"/>
          <w:sz w:val="18"/>
          <w:szCs w:val="18"/>
          <w:b w:val="1"/>
          <w:bCs w:val="1"/>
          <w:color w:val="auto"/>
        </w:rPr>
      </w:pPr>
    </w:p>
    <w:p>
      <w:pPr>
        <w:jc w:val="both"/>
        <w:ind w:left="444" w:right="20" w:hanging="442"/>
        <w:spacing w:after="0" w:line="255" w:lineRule="auto"/>
        <w:tabs>
          <w:tab w:leader="none" w:pos="444"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4" w:hanging="442"/>
        <w:spacing w:after="0" w:line="274" w:lineRule="auto"/>
        <w:tabs>
          <w:tab w:leader="none" w:pos="44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2" w:lineRule="exact"/>
        <w:rPr>
          <w:rFonts w:ascii="Arial" w:cs="Arial" w:eastAsia="Arial" w:hAnsi="Arial"/>
          <w:sz w:val="18"/>
          <w:szCs w:val="18"/>
          <w:b w:val="1"/>
          <w:bCs w:val="1"/>
          <w:color w:val="auto"/>
        </w:rPr>
      </w:pPr>
    </w:p>
    <w:p>
      <w:pPr>
        <w:jc w:val="both"/>
        <w:ind w:left="444" w:right="20" w:hanging="442"/>
        <w:spacing w:after="0" w:line="281" w:lineRule="auto"/>
        <w:tabs>
          <w:tab w:leader="none" w:pos="44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ectPr>
          <w:pgSz w:w="11900" w:h="16838" w:orient="portrait"/>
          <w:cols w:equalWidth="0" w:num="1">
            <w:col w:w="11344"/>
          </w:cols>
          <w:pgMar w:left="316" w:top="346" w:right="239" w:bottom="1440" w:gutter="0" w:footer="0" w:header="0"/>
        </w:sectPr>
      </w:pPr>
    </w:p>
    <w:bookmarkStart w:id="57" w:name="page58"/>
    <w:bookmarkEnd w:id="57"/>
    <w:p>
      <w:pPr>
        <w:jc w:val="both"/>
        <w:ind w:left="442" w:hanging="442"/>
        <w:spacing w:after="0" w:line="255" w:lineRule="auto"/>
        <w:tabs>
          <w:tab w:leader="none" w:pos="442"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89" w:lineRule="exact"/>
        <w:rPr>
          <w:rFonts w:ascii="Arial" w:cs="Arial" w:eastAsia="Arial" w:hAnsi="Arial"/>
          <w:sz w:val="19"/>
          <w:szCs w:val="19"/>
          <w:b w:val="1"/>
          <w:bCs w:val="1"/>
          <w:color w:val="auto"/>
        </w:rPr>
      </w:pPr>
    </w:p>
    <w:p>
      <w:pPr>
        <w:ind w:left="442" w:hanging="442"/>
        <w:spacing w:after="0"/>
        <w:tabs>
          <w:tab w:leader="none" w:pos="442"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Legal actions before the Federal Mine Safety and Health Review Commissions pending as of the last day of period.</w:t>
      </w:r>
    </w:p>
    <w:p>
      <w:pPr>
        <w:spacing w:after="0" w:line="228" w:lineRule="exact"/>
        <w:rPr>
          <w:rFonts w:ascii="Arial" w:cs="Arial" w:eastAsia="Arial" w:hAnsi="Arial"/>
          <w:sz w:val="19"/>
          <w:szCs w:val="19"/>
          <w:b w:val="1"/>
          <w:bCs w:val="1"/>
          <w:color w:val="auto"/>
        </w:rPr>
      </w:pPr>
    </w:p>
    <w:p>
      <w:pPr>
        <w:ind w:left="442" w:hanging="442"/>
        <w:spacing w:after="0"/>
        <w:tabs>
          <w:tab w:leader="none" w:pos="442"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Legal actions before the Federal Mine Safety and Health Review Commissions initiated during period.</w:t>
      </w:r>
    </w:p>
    <w:p>
      <w:pPr>
        <w:spacing w:after="0" w:line="228" w:lineRule="exact"/>
        <w:rPr>
          <w:rFonts w:ascii="Arial" w:cs="Arial" w:eastAsia="Arial" w:hAnsi="Arial"/>
          <w:sz w:val="19"/>
          <w:szCs w:val="19"/>
          <w:b w:val="1"/>
          <w:bCs w:val="1"/>
          <w:color w:val="auto"/>
        </w:rPr>
      </w:pPr>
    </w:p>
    <w:p>
      <w:pPr>
        <w:ind w:left="442" w:hanging="442"/>
        <w:spacing w:after="0"/>
        <w:tabs>
          <w:tab w:leader="none" w:pos="442"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Legal actions before the Federal Mine Safety and Health Review Commissions resolved during period.</w:t>
      </w:r>
    </w:p>
    <w:p>
      <w:pPr>
        <w:spacing w:after="0" w:line="200" w:lineRule="exact"/>
        <w:rPr>
          <w:sz w:val="20"/>
          <w:szCs w:val="20"/>
          <w:color w:val="auto"/>
        </w:rPr>
      </w:pPr>
    </w:p>
    <w:p>
      <w:pPr>
        <w:spacing w:after="0" w:line="252" w:lineRule="exact"/>
        <w:rPr>
          <w:sz w:val="20"/>
          <w:szCs w:val="20"/>
          <w:color w:val="auto"/>
        </w:rPr>
      </w:pPr>
    </w:p>
    <w:p>
      <w:pPr>
        <w:jc w:val="both"/>
        <w:ind w:left="42"/>
        <w:spacing w:after="0" w:line="265"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March 31, 2015,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4" w:lineRule="exact"/>
        <w:rPr>
          <w:sz w:val="20"/>
          <w:szCs w:val="20"/>
          <w:color w:val="auto"/>
        </w:rPr>
      </w:pPr>
    </w:p>
    <w:p>
      <w:pPr>
        <w:ind w:left="42"/>
        <w:spacing w:after="0"/>
        <w:rPr>
          <w:sz w:val="20"/>
          <w:szCs w:val="20"/>
          <w:color w:val="auto"/>
        </w:rPr>
      </w:pPr>
      <w:r>
        <w:rPr>
          <w:rFonts w:ascii="Arial" w:cs="Arial" w:eastAsia="Arial" w:hAnsi="Arial"/>
          <w:sz w:val="19"/>
          <w:szCs w:val="19"/>
          <w:color w:val="auto"/>
        </w:rPr>
        <w:t>Appendix 1 attached.</w:t>
      </w:r>
    </w:p>
    <w:p>
      <w:pPr>
        <w:sectPr>
          <w:pgSz w:w="11900" w:h="16838" w:orient="portrait"/>
          <w:cols w:equalWidth="0" w:num="1">
            <w:col w:w="11342"/>
          </w:cols>
          <w:pgMar w:left="318" w:top="57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gridSpan w:val="2"/>
          </w:tcPr>
          <w:p>
            <w:pPr>
              <w:ind w:left="700"/>
              <w:spacing w:after="0"/>
              <w:rPr>
                <w:sz w:val="20"/>
                <w:szCs w:val="20"/>
                <w:color w:val="auto"/>
              </w:rPr>
            </w:pPr>
            <w:r>
              <w:rPr>
                <w:rFonts w:ascii="Arial" w:cs="Arial" w:eastAsia="Arial" w:hAnsi="Arial"/>
                <w:sz w:val="19"/>
                <w:szCs w:val="19"/>
                <w:color w:val="auto"/>
                <w:w w:val="92"/>
              </w:rPr>
              <w:t>Appendix 1</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9"/>
                <w:szCs w:val="19"/>
                <w:b w:val="1"/>
                <w:bCs w:val="1"/>
                <w:color w:val="auto"/>
                <w:w w:val="89"/>
              </w:rPr>
              <w:t>Received Received</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9"/>
                <w:szCs w:val="19"/>
                <w:b w:val="1"/>
                <w:bCs w:val="1"/>
                <w:color w:val="auto"/>
                <w:w w:val="91"/>
              </w:rPr>
              <w:t>Notice of Notice of</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2"/>
              </w:rPr>
              <w:t>Legal</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92"/>
              </w:rPr>
              <w:t>Total</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4"/>
              </w:rPr>
              <w:t>Pattern</w:t>
            </w:r>
          </w:p>
        </w:tc>
        <w:tc>
          <w:tcPr>
            <w:tcW w:w="1500" w:type="dxa"/>
            <w:vAlign w:val="bottom"/>
            <w:gridSpan w:val="2"/>
          </w:tcPr>
          <w:p>
            <w:pPr>
              <w:ind w:left="60"/>
              <w:spacing w:after="0"/>
              <w:rPr>
                <w:sz w:val="20"/>
                <w:szCs w:val="20"/>
                <w:color w:val="auto"/>
              </w:rPr>
            </w:pPr>
            <w:r>
              <w:rPr>
                <w:rFonts w:ascii="Arial" w:cs="Arial" w:eastAsia="Arial" w:hAnsi="Arial"/>
                <w:sz w:val="19"/>
                <w:szCs w:val="19"/>
                <w:b w:val="1"/>
                <w:bCs w:val="1"/>
                <w:color w:val="auto"/>
                <w:w w:val="91"/>
              </w:rPr>
              <w:t>Potential Actions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87"/>
              </w:rPr>
              <w:t>Section</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97"/>
              </w:rPr>
              <w:t>Number</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88"/>
              </w:rPr>
              <w:t>of</w:t>
            </w:r>
          </w:p>
        </w:tc>
        <w:tc>
          <w:tcPr>
            <w:tcW w:w="1500" w:type="dxa"/>
            <w:vAlign w:val="bottom"/>
            <w:gridSpan w:val="2"/>
          </w:tcPr>
          <w:p>
            <w:pPr>
              <w:ind w:left="120"/>
              <w:spacing w:after="0"/>
              <w:rPr>
                <w:sz w:val="20"/>
                <w:szCs w:val="20"/>
                <w:color w:val="auto"/>
              </w:rPr>
            </w:pPr>
            <w:r>
              <w:rPr>
                <w:rFonts w:ascii="Arial" w:cs="Arial" w:eastAsia="Arial" w:hAnsi="Arial"/>
                <w:sz w:val="19"/>
                <w:szCs w:val="19"/>
                <w:b w:val="1"/>
                <w:bCs w:val="1"/>
                <w:color w:val="auto"/>
                <w:w w:val="92"/>
              </w:rPr>
              <w:t>to have Pending</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2"/>
              </w:rPr>
              <w:t>Legal</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92"/>
              </w:rPr>
              <w:t>Legal</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2"/>
              </w:rPr>
              <w:t>104(d)</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9"/>
                <w:szCs w:val="19"/>
                <w:b w:val="1"/>
                <w:bCs w:val="1"/>
                <w:color w:val="auto"/>
                <w:w w:val="93"/>
              </w:rPr>
              <w:t>Total Dollar</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88"/>
              </w:rPr>
              <w:t>of</w:t>
            </w:r>
          </w:p>
        </w:tc>
        <w:tc>
          <w:tcPr>
            <w:tcW w:w="1580" w:type="dxa"/>
            <w:vAlign w:val="bottom"/>
            <w:gridSpan w:val="2"/>
          </w:tcPr>
          <w:p>
            <w:pPr>
              <w:spacing w:after="0"/>
              <w:rPr>
                <w:sz w:val="20"/>
                <w:szCs w:val="20"/>
                <w:color w:val="auto"/>
              </w:rPr>
            </w:pPr>
            <w:r>
              <w:rPr>
                <w:rFonts w:ascii="Arial" w:cs="Arial" w:eastAsia="Arial" w:hAnsi="Arial"/>
                <w:sz w:val="19"/>
                <w:szCs w:val="19"/>
                <w:b w:val="1"/>
                <w:bCs w:val="1"/>
                <w:color w:val="auto"/>
              </w:rPr>
              <w:t>Violation Pattern</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5"/>
              </w:rPr>
              <w:t>as of</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88"/>
              </w:rPr>
              <w:t>Actions</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88"/>
              </w:rPr>
              <w:t>Actions</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87"/>
              </w:rPr>
              <w:t>Section</w:t>
            </w:r>
          </w:p>
        </w:tc>
        <w:tc>
          <w:tcPr>
            <w:tcW w:w="1440" w:type="dxa"/>
            <w:vAlign w:val="bottom"/>
            <w:gridSpan w:val="2"/>
          </w:tcPr>
          <w:p>
            <w:pPr>
              <w:ind w:left="40"/>
              <w:spacing w:after="0"/>
              <w:rPr>
                <w:sz w:val="20"/>
                <w:szCs w:val="20"/>
                <w:color w:val="auto"/>
              </w:rPr>
            </w:pPr>
            <w:r>
              <w:rPr>
                <w:rFonts w:ascii="Arial" w:cs="Arial" w:eastAsia="Arial" w:hAnsi="Arial"/>
                <w:sz w:val="19"/>
                <w:szCs w:val="19"/>
                <w:b w:val="1"/>
                <w:bCs w:val="1"/>
                <w:color w:val="auto"/>
                <w:w w:val="88"/>
              </w:rPr>
              <w:t>Section Citations</w:t>
            </w:r>
          </w:p>
        </w:tc>
        <w:tc>
          <w:tcPr>
            <w:tcW w:w="820" w:type="dxa"/>
            <w:vAlign w:val="bottom"/>
          </w:tcPr>
          <w:p>
            <w:pPr>
              <w:ind w:left="120"/>
              <w:spacing w:after="0"/>
              <w:rPr>
                <w:sz w:val="20"/>
                <w:szCs w:val="20"/>
                <w:color w:val="auto"/>
              </w:rPr>
            </w:pPr>
            <w:r>
              <w:rPr>
                <w:rFonts w:ascii="Arial" w:cs="Arial" w:eastAsia="Arial" w:hAnsi="Arial"/>
                <w:sz w:val="19"/>
                <w:szCs w:val="19"/>
                <w:b w:val="1"/>
                <w:bCs w:val="1"/>
                <w:color w:val="auto"/>
                <w:w w:val="99"/>
              </w:rPr>
              <w:t>Section</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w w:val="90"/>
              </w:rPr>
              <w:t>Section</w:t>
            </w:r>
          </w:p>
        </w:tc>
        <w:tc>
          <w:tcPr>
            <w:tcW w:w="180" w:type="dxa"/>
            <w:vAlign w:val="bottom"/>
          </w:tcPr>
          <w:p>
            <w:pPr>
              <w:spacing w:after="0"/>
              <w:rPr>
                <w:sz w:val="19"/>
                <w:szCs w:val="19"/>
                <w:color w:val="auto"/>
              </w:rPr>
            </w:pPr>
          </w:p>
        </w:tc>
        <w:tc>
          <w:tcPr>
            <w:tcW w:w="1020" w:type="dxa"/>
            <w:vAlign w:val="bottom"/>
          </w:tcPr>
          <w:p>
            <w:pPr>
              <w:jc w:val="center"/>
              <w:ind w:right="104"/>
              <w:spacing w:after="0"/>
              <w:rPr>
                <w:sz w:val="20"/>
                <w:szCs w:val="20"/>
                <w:color w:val="auto"/>
              </w:rPr>
            </w:pPr>
            <w:r>
              <w:rPr>
                <w:rFonts w:ascii="Arial" w:cs="Arial" w:eastAsia="Arial" w:hAnsi="Arial"/>
                <w:sz w:val="19"/>
                <w:szCs w:val="19"/>
                <w:b w:val="1"/>
                <w:bCs w:val="1"/>
                <w:color w:val="auto"/>
                <w:w w:val="89"/>
              </w:rPr>
              <w:t>Value of</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97"/>
              </w:rPr>
              <w:t>Mining</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4"/>
              </w:rPr>
              <w:t>Under</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90"/>
              </w:rPr>
              <w:t>under</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2"/>
              </w:rPr>
              <w:t>Last</w:t>
            </w:r>
          </w:p>
        </w:tc>
        <w:tc>
          <w:tcPr>
            <w:tcW w:w="1600" w:type="dxa"/>
            <w:vAlign w:val="bottom"/>
            <w:gridSpan w:val="2"/>
          </w:tcPr>
          <w:p>
            <w:pPr>
              <w:ind w:left="20"/>
              <w:spacing w:after="0"/>
              <w:rPr>
                <w:sz w:val="20"/>
                <w:szCs w:val="20"/>
                <w:color w:val="auto"/>
              </w:rPr>
            </w:pPr>
            <w:r>
              <w:rPr>
                <w:rFonts w:ascii="Arial" w:cs="Arial" w:eastAsia="Arial" w:hAnsi="Arial"/>
                <w:sz w:val="19"/>
                <w:szCs w:val="19"/>
                <w:b w:val="1"/>
                <w:bCs w:val="1"/>
                <w:color w:val="auto"/>
                <w:w w:val="88"/>
              </w:rPr>
              <w:t>Instituted Resolved</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4"/>
              </w:rPr>
              <w:t>104 S&amp;S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2"/>
              </w:rPr>
              <w:t>104(b)</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4"/>
              </w:rPr>
              <w:t>and</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3"/>
              </w:rPr>
              <w:t>110(b)(2)</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4"/>
              </w:rPr>
              <w:t>107(a)</w:t>
            </w:r>
          </w:p>
        </w:tc>
        <w:tc>
          <w:tcPr>
            <w:tcW w:w="180" w:type="dxa"/>
            <w:vAlign w:val="bottom"/>
          </w:tcPr>
          <w:p>
            <w:pPr>
              <w:spacing w:after="0"/>
              <w:rPr>
                <w:sz w:val="19"/>
                <w:szCs w:val="19"/>
                <w:color w:val="auto"/>
              </w:rPr>
            </w:pPr>
          </w:p>
        </w:tc>
        <w:tc>
          <w:tcPr>
            <w:tcW w:w="1020" w:type="dxa"/>
            <w:vAlign w:val="bottom"/>
          </w:tcPr>
          <w:p>
            <w:pPr>
              <w:jc w:val="center"/>
              <w:ind w:right="104"/>
              <w:spacing w:after="0"/>
              <w:rPr>
                <w:sz w:val="20"/>
                <w:szCs w:val="20"/>
                <w:color w:val="auto"/>
              </w:rPr>
            </w:pPr>
            <w:r>
              <w:rPr>
                <w:rFonts w:ascii="Arial" w:cs="Arial" w:eastAsia="Arial" w:hAnsi="Arial"/>
                <w:sz w:val="19"/>
                <w:szCs w:val="19"/>
                <w:b w:val="1"/>
                <w:bCs w:val="1"/>
                <w:color w:val="auto"/>
              </w:rPr>
              <w:t>MSHA</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90"/>
              </w:rPr>
              <w:t>Related</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87"/>
              </w:rPr>
              <w:t>Section</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87"/>
              </w:rPr>
              <w:t>Section</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2"/>
              </w:rPr>
              <w:t>Day of</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7"/>
              </w:rPr>
              <w:t>During</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94"/>
              </w:rPr>
              <w:t>During</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19"/>
                <w:szCs w:val="19"/>
                <w:b w:val="1"/>
                <w:bCs w:val="1"/>
                <w:color w:val="auto"/>
                <w:w w:val="98"/>
              </w:rPr>
              <w:t>MSHA Citations Orders</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3"/>
              </w:rPr>
              <w:t>Orders</w:t>
            </w:r>
          </w:p>
        </w:tc>
        <w:tc>
          <w:tcPr>
            <w:tcW w:w="1520" w:type="dxa"/>
            <w:vAlign w:val="bottom"/>
            <w:gridSpan w:val="2"/>
          </w:tcPr>
          <w:p>
            <w:pPr>
              <w:jc w:val="right"/>
              <w:spacing w:after="0"/>
              <w:rPr>
                <w:sz w:val="20"/>
                <w:szCs w:val="20"/>
                <w:color w:val="auto"/>
              </w:rPr>
            </w:pPr>
            <w:r>
              <w:rPr>
                <w:rFonts w:ascii="Arial" w:cs="Arial" w:eastAsia="Arial" w:hAnsi="Arial"/>
                <w:sz w:val="19"/>
                <w:szCs w:val="19"/>
                <w:b w:val="1"/>
                <w:bCs w:val="1"/>
                <w:color w:val="auto"/>
                <w:w w:val="90"/>
              </w:rPr>
              <w:t>Violations Orders</w:t>
            </w:r>
          </w:p>
        </w:tc>
        <w:tc>
          <w:tcPr>
            <w:tcW w:w="2000" w:type="dxa"/>
            <w:vAlign w:val="bottom"/>
            <w:gridSpan w:val="3"/>
          </w:tcPr>
          <w:p>
            <w:pPr>
              <w:ind w:left="40"/>
              <w:spacing w:after="0"/>
              <w:rPr>
                <w:sz w:val="20"/>
                <w:szCs w:val="20"/>
                <w:color w:val="auto"/>
              </w:rPr>
            </w:pPr>
            <w:r>
              <w:rPr>
                <w:rFonts w:ascii="Arial" w:cs="Arial" w:eastAsia="Arial" w:hAnsi="Arial"/>
                <w:sz w:val="19"/>
                <w:szCs w:val="19"/>
                <w:b w:val="1"/>
                <w:bCs w:val="1"/>
                <w:color w:val="auto"/>
                <w:w w:val="90"/>
              </w:rPr>
              <w:t>Assessment/$ Fatalities</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0"/>
              </w:rPr>
              <w:t>104(e)</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94"/>
              </w:rPr>
              <w:t>104(e)</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1"/>
              </w:rPr>
              <w:t>Period</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4"/>
              </w:rPr>
              <w:t>Period</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91"/>
              </w:rPr>
              <w:t>Period</w:t>
            </w:r>
          </w:p>
        </w:tc>
        <w:tc>
          <w:tcPr>
            <w:tcW w:w="0" w:type="dxa"/>
            <w:vAlign w:val="bottom"/>
          </w:tcPr>
          <w:p>
            <w:pPr>
              <w:spacing w:after="0"/>
              <w:rPr>
                <w:sz w:val="1"/>
                <w:szCs w:val="1"/>
                <w:color w:val="auto"/>
              </w:rPr>
            </w:pPr>
          </w:p>
        </w:tc>
      </w:tr>
      <w:tr>
        <w:trPr>
          <w:trHeight w:val="246"/>
        </w:trPr>
        <w:tc>
          <w:tcPr>
            <w:tcW w:w="1140" w:type="dxa"/>
            <w:vAlign w:val="bottom"/>
          </w:tcPr>
          <w:p>
            <w:pPr>
              <w:ind w:left="200"/>
              <w:spacing w:after="0"/>
              <w:rPr>
                <w:sz w:val="20"/>
                <w:szCs w:val="20"/>
                <w:color w:val="auto"/>
              </w:rPr>
            </w:pPr>
            <w:r>
              <w:rPr>
                <w:rFonts w:ascii="Arial" w:cs="Arial" w:eastAsia="Arial" w:hAnsi="Arial"/>
                <w:sz w:val="19"/>
                <w:szCs w:val="19"/>
                <w:b w:val="1"/>
                <w:bCs w:val="1"/>
                <w:color w:val="auto"/>
              </w:rPr>
              <w:t>Location</w:t>
            </w:r>
          </w:p>
        </w:tc>
        <w:tc>
          <w:tcPr>
            <w:tcW w:w="720" w:type="dxa"/>
            <w:vAlign w:val="bottom"/>
          </w:tcPr>
          <w:p>
            <w:pPr>
              <w:jc w:val="right"/>
              <w:ind w:right="164"/>
              <w:spacing w:after="0"/>
              <w:rPr>
                <w:sz w:val="20"/>
                <w:szCs w:val="20"/>
                <w:color w:val="auto"/>
              </w:rPr>
            </w:pPr>
            <w:r>
              <w:rPr>
                <w:rFonts w:ascii="Arial" w:cs="Arial" w:eastAsia="Arial" w:hAnsi="Arial"/>
                <w:sz w:val="19"/>
                <w:szCs w:val="19"/>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70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180" w:type="dxa"/>
            <w:vAlign w:val="bottom"/>
          </w:tcPr>
          <w:p>
            <w:pPr>
              <w:spacing w:after="0"/>
              <w:rPr>
                <w:sz w:val="21"/>
                <w:szCs w:val="21"/>
                <w:color w:val="auto"/>
              </w:rPr>
            </w:pPr>
          </w:p>
        </w:tc>
        <w:tc>
          <w:tcPr>
            <w:tcW w:w="1020" w:type="dxa"/>
            <w:vAlign w:val="bottom"/>
          </w:tcPr>
          <w:p>
            <w:pPr>
              <w:jc w:val="center"/>
              <w:ind w:right="104"/>
              <w:spacing w:after="0"/>
              <w:rPr>
                <w:sz w:val="20"/>
                <w:szCs w:val="20"/>
                <w:color w:val="auto"/>
              </w:rPr>
            </w:pPr>
            <w:r>
              <w:rPr>
                <w:rFonts w:ascii="Arial" w:cs="Arial" w:eastAsia="Arial" w:hAnsi="Arial"/>
                <w:sz w:val="19"/>
                <w:szCs w:val="19"/>
                <w:b w:val="1"/>
                <w:bCs w:val="1"/>
                <w:color w:val="auto"/>
                <w:w w:val="88"/>
              </w:rPr>
              <w:t>Proposed</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740" w:type="dxa"/>
            <w:vAlign w:val="bottom"/>
          </w:tcPr>
          <w:p>
            <w:pPr>
              <w:jc w:val="center"/>
              <w:spacing w:after="0"/>
              <w:rPr>
                <w:sz w:val="20"/>
                <w:szCs w:val="20"/>
                <w:color w:val="auto"/>
              </w:rPr>
            </w:pPr>
            <w:r>
              <w:rPr>
                <w:rFonts w:ascii="Arial" w:cs="Arial" w:eastAsia="Arial" w:hAnsi="Arial"/>
                <w:sz w:val="19"/>
                <w:szCs w:val="19"/>
                <w:b w:val="1"/>
                <w:bCs w:val="1"/>
                <w:color w:val="auto"/>
                <w:w w:val="87"/>
              </w:rPr>
              <w:t>(yes/no)</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auto"/>
                <w:w w:val="87"/>
              </w:rPr>
              <w:t>(yes/no)</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American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w w:val="99"/>
              </w:rPr>
              <w:t>Stone 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3100189</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Anderson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Creek</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4402963</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Arrowood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3100059</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Asheboro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3100066</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37"/>
        </w:trPr>
        <w:tc>
          <w:tcPr>
            <w:tcW w:w="1860" w:type="dxa"/>
            <w:vAlign w:val="bottom"/>
            <w:gridSpan w:val="2"/>
          </w:tcPr>
          <w:p>
            <w:pPr>
              <w:spacing w:after="0"/>
              <w:rPr>
                <w:sz w:val="20"/>
                <w:szCs w:val="20"/>
                <w:color w:val="auto"/>
              </w:rPr>
            </w:pPr>
            <w:r>
              <w:rPr>
                <w:rFonts w:ascii="Arial" w:cs="Arial" w:eastAsia="Arial" w:hAnsi="Arial"/>
                <w:sz w:val="19"/>
                <w:szCs w:val="19"/>
                <w:color w:val="auto"/>
                <w:w w:val="93"/>
              </w:rPr>
              <w:t>Bakers Quarry3100071</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Belgrade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3100064</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Benson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3101979</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Berkeley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3800072</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w w:val="90"/>
              </w:rPr>
              <w:t>Bessemer City</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3101105</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Black Ankle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3102220</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w w:val="97"/>
              </w:rPr>
              <w:t>Bonds Gravel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Pit</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3101963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Boonsboro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1800024</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Burlington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3100042</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1</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Caldwell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3101869</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Carmel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20"/>
                <w:szCs w:val="20"/>
                <w:color w:val="auto"/>
              </w:rPr>
            </w:pPr>
            <w:r>
              <w:rPr>
                <w:rFonts w:ascii="Arial" w:cs="Arial" w:eastAsia="Arial" w:hAnsi="Arial"/>
                <w:sz w:val="19"/>
                <w:szCs w:val="19"/>
                <w:color w:val="auto"/>
              </w:rPr>
              <w:t>Church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4405633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w w:val="98"/>
              </w:rPr>
              <w:t>Castle Hayne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3100063</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37"/>
        </w:trPr>
        <w:tc>
          <w:tcPr>
            <w:tcW w:w="1860" w:type="dxa"/>
            <w:vAlign w:val="bottom"/>
            <w:gridSpan w:val="2"/>
          </w:tcPr>
          <w:p>
            <w:pPr>
              <w:spacing w:after="0"/>
              <w:rPr>
                <w:sz w:val="20"/>
                <w:szCs w:val="20"/>
                <w:color w:val="auto"/>
              </w:rPr>
            </w:pPr>
            <w:r>
              <w:rPr>
                <w:rFonts w:ascii="Arial" w:cs="Arial" w:eastAsia="Arial" w:hAnsi="Arial"/>
                <w:sz w:val="19"/>
                <w:szCs w:val="19"/>
                <w:color w:val="auto"/>
                <w:w w:val="93"/>
              </w:rPr>
              <w:t>Cayce Quarry 3800016</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Central Rock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3100050</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Charlotte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Quarry</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3100057</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1</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Chesterfield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3800682</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37"/>
        </w:trPr>
        <w:tc>
          <w:tcPr>
            <w:tcW w:w="1860" w:type="dxa"/>
            <w:vAlign w:val="bottom"/>
            <w:gridSpan w:val="2"/>
          </w:tcPr>
          <w:p>
            <w:pPr>
              <w:spacing w:after="0"/>
              <w:rPr>
                <w:sz w:val="20"/>
                <w:szCs w:val="20"/>
                <w:color w:val="auto"/>
              </w:rPr>
            </w:pPr>
            <w:r>
              <w:rPr>
                <w:rFonts w:ascii="Arial" w:cs="Arial" w:eastAsia="Arial" w:hAnsi="Arial"/>
                <w:sz w:val="19"/>
                <w:szCs w:val="19"/>
                <w:color w:val="auto"/>
                <w:w w:val="93"/>
              </w:rPr>
              <w:t>Clarks Quarry 3102009</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Cumberland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3102237</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9"/>
                <w:szCs w:val="19"/>
                <w:color w:val="auto"/>
              </w:rPr>
              <w:t>Denver</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3101971</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Doswell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FF0FC"/>
          </w:tcPr>
          <w:p>
            <w:pPr>
              <w:spacing w:after="0"/>
              <w:rPr>
                <w:sz w:val="20"/>
                <w:szCs w:val="20"/>
                <w:color w:val="auto"/>
              </w:rPr>
            </w:pPr>
            <w:r>
              <w:rPr>
                <w:rFonts w:ascii="Arial" w:cs="Arial" w:eastAsia="Arial" w:hAnsi="Arial"/>
                <w:sz w:val="19"/>
                <w:szCs w:val="19"/>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1"/>
              </w:rPr>
              <w:t>4400045</w:t>
            </w:r>
          </w:p>
        </w:tc>
        <w:tc>
          <w:tcPr>
            <w:tcW w:w="7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20"/>
                <w:szCs w:val="20"/>
                <w:color w:val="auto"/>
              </w:rPr>
            </w:pPr>
            <w:r>
              <w:rPr>
                <w:rFonts w:ascii="Arial" w:cs="Arial" w:eastAsia="Arial" w:hAnsi="Arial"/>
                <w:sz w:val="19"/>
                <w:szCs w:val="19"/>
                <w:color w:val="auto"/>
              </w:rPr>
              <w:t>East</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0"/>
                <w:szCs w:val="20"/>
                <w:color w:val="auto"/>
              </w:rPr>
            </w:pPr>
            <w:r>
              <w:rPr>
                <w:rFonts w:ascii="Arial" w:cs="Arial" w:eastAsia="Arial" w:hAnsi="Arial"/>
                <w:sz w:val="19"/>
                <w:szCs w:val="19"/>
                <w:color w:val="auto"/>
              </w:rPr>
              <w:t>Alamance</w:t>
            </w:r>
          </w:p>
        </w:tc>
        <w:tc>
          <w:tcPr>
            <w:tcW w:w="720" w:type="dxa"/>
            <w:vAlign w:val="bottom"/>
          </w:tcPr>
          <w:p>
            <w:pPr>
              <w:jc w:val="right"/>
              <w:spacing w:after="0"/>
              <w:rPr>
                <w:sz w:val="20"/>
                <w:szCs w:val="20"/>
                <w:color w:val="auto"/>
              </w:rPr>
            </w:pPr>
            <w:r>
              <w:rPr>
                <w:rFonts w:ascii="Arial" w:cs="Arial" w:eastAsia="Arial" w:hAnsi="Arial"/>
                <w:sz w:val="19"/>
                <w:szCs w:val="19"/>
                <w:color w:val="auto"/>
                <w:w w:val="91"/>
              </w:rPr>
              <w:t>3102021</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0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no</w:t>
            </w:r>
          </w:p>
        </w:tc>
        <w:tc>
          <w:tcPr>
            <w:tcW w:w="66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820" w:type="dxa"/>
            <w:vAlign w:val="bottom"/>
          </w:tcPr>
          <w:p>
            <w:pPr>
              <w:jc w:val="center"/>
              <w:spacing w:after="0"/>
              <w:rPr>
                <w:sz w:val="20"/>
                <w:szCs w:val="20"/>
                <w:color w:val="auto"/>
              </w:rPr>
            </w:pPr>
            <w:r>
              <w:rPr>
                <w:rFonts w:ascii="Arial" w:cs="Arial" w:eastAsia="Arial" w:hAnsi="Arial"/>
                <w:sz w:val="19"/>
                <w:szCs w:val="19"/>
                <w:color w:val="auto"/>
                <w:w w:val="75"/>
              </w:rPr>
              <w:t>0</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Fountain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3100065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Franklin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3102130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Fuquay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3102055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Garner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3100072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Georgetown ll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3800525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Hickory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3100043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Hicone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3102088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Jamestown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3100051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Kannapolis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3100070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Kings Mountain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3100047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Lemon Springs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3101104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w w:val="97"/>
              </w:rPr>
              <w:t>Loamy Sand and Gravel</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3800721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Maiden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3102125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Mallard Creek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3102006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Matthews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3102084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Midlothian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4403767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North Columbia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3800146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Onslow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3102120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Pinesburg</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1800021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Pomona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3100052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w w:val="99"/>
              </w:rPr>
              <w:t>Raleigh Durham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3101941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Red Hill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4400072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Reidsville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3100068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Rock Hill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3800026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2</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3</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Rocky River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3102033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Salem Stone Company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3102038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Siler City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3100044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Statesville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3100055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Thomasville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3101475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Wilson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3102230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Woodleaf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3100069</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9"/>
                <w:szCs w:val="19"/>
                <w:color w:val="auto"/>
              </w:rPr>
              <w:t>(45) North Indianapolis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vMerge w:val="restart"/>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40" w:type="dxa"/>
            <w:vAlign w:val="bottom"/>
            <w:gridSpan w:val="2"/>
          </w:tcPr>
          <w:p>
            <w:pPr>
              <w:spacing w:after="0"/>
              <w:rPr>
                <w:sz w:val="20"/>
                <w:szCs w:val="20"/>
                <w:color w:val="auto"/>
              </w:rPr>
            </w:pPr>
            <w:r>
              <w:rPr>
                <w:rFonts w:ascii="Arial" w:cs="Arial" w:eastAsia="Arial" w:hAnsi="Arial"/>
                <w:sz w:val="19"/>
                <w:szCs w:val="19"/>
                <w:color w:val="auto"/>
              </w:rPr>
              <w:t>SURFACE</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1200002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9"/>
                <w:szCs w:val="19"/>
                <w:color w:val="auto"/>
              </w:rPr>
              <w:t>Apple Grove</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3301676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520" w:type="dxa"/>
            <w:vAlign w:val="bottom"/>
            <w:shd w:val="clear" w:color="auto" w:fill="CFF0FC"/>
          </w:tcPr>
          <w:p>
            <w:pPr>
              <w:jc w:val="right"/>
              <w:ind w:right="144"/>
              <w:spacing w:after="0"/>
              <w:rPr>
                <w:sz w:val="20"/>
                <w:szCs w:val="20"/>
                <w:color w:val="auto"/>
              </w:rPr>
            </w:pPr>
            <w:r>
              <w:rPr>
                <w:rFonts w:ascii="Arial" w:cs="Arial" w:eastAsia="Arial" w:hAnsi="Arial"/>
                <w:sz w:val="19"/>
                <w:szCs w:val="19"/>
                <w:b w:val="1"/>
                <w:bCs w:val="1"/>
                <w:color w:val="auto"/>
              </w:rPr>
              <w:t>$</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r>
      <w:tr>
        <w:trPr>
          <w:trHeight w:val="455"/>
        </w:trPr>
        <w:tc>
          <w:tcPr>
            <w:tcW w:w="2000" w:type="dxa"/>
            <w:vAlign w:val="bottom"/>
          </w:tcPr>
          <w:p>
            <w:pPr>
              <w:spacing w:after="0"/>
              <w:rPr>
                <w:sz w:val="20"/>
                <w:szCs w:val="20"/>
                <w:color w:val="auto"/>
              </w:rPr>
            </w:pPr>
            <w:r>
              <w:rPr>
                <w:rFonts w:ascii="Arial" w:cs="Arial" w:eastAsia="Arial" w:hAnsi="Arial"/>
                <w:sz w:val="19"/>
                <w:szCs w:val="19"/>
                <w:color w:val="auto"/>
              </w:rPr>
              <w:t>Belmont Sand</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1201911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Blue Rock</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3300016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Burning Springs</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4608862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Carmel SandG</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1202124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Cedarville</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3304072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Clinton County</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3304546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Cloverdale</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1201744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Cook Road</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3304534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E-Town SandG</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3304279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Fairborn Gravel</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3301388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Fairfield</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3301396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Franklin Gravel</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3302940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Hamilton Gravel</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3301394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Harrison</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3301395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Kentucky Ave Mine</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1201762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2</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Kokomo Mine</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1202105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Kokomo Sand</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1202203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Kokomo Stone</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1200142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Lynchburg Quarry</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3304281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Noblesville SandG</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1201994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2</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Noblesville Stone</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1202176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1</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North Indianapolis</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1201993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Ohio Recycle</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3304394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Petersburg</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1516895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Phillipsburg</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3300006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Ross Gravel</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3301587</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Troy Gravel</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3301678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Waverly Sand</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1202038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Xenia</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3301393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Alabaster Quarry Co19</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103068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Appling Quarry</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901083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Auburn, Al Quarry</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100006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tcPr>
          <w:p>
            <w:pPr>
              <w:spacing w:after="0"/>
              <w:rPr>
                <w:sz w:val="20"/>
                <w:szCs w:val="20"/>
                <w:color w:val="auto"/>
              </w:rPr>
            </w:pPr>
            <w:r>
              <w:rPr>
                <w:rFonts w:ascii="Arial" w:cs="Arial" w:eastAsia="Arial" w:hAnsi="Arial"/>
                <w:sz w:val="19"/>
                <w:szCs w:val="19"/>
                <w:color w:val="auto"/>
              </w:rPr>
              <w:t>Auburn, GA Quarry</w:t>
            </w:r>
          </w:p>
        </w:tc>
        <w:tc>
          <w:tcPr>
            <w:tcW w:w="1040" w:type="dxa"/>
            <w:vAlign w:val="bottom"/>
          </w:tcPr>
          <w:p>
            <w:pPr>
              <w:jc w:val="right"/>
              <w:ind w:right="84"/>
              <w:spacing w:after="0"/>
              <w:rPr>
                <w:sz w:val="20"/>
                <w:szCs w:val="20"/>
                <w:color w:val="auto"/>
              </w:rPr>
            </w:pPr>
            <w:r>
              <w:rPr>
                <w:rFonts w:ascii="Arial" w:cs="Arial" w:eastAsia="Arial" w:hAnsi="Arial"/>
                <w:sz w:val="19"/>
                <w:szCs w:val="19"/>
                <w:color w:val="auto"/>
              </w:rPr>
              <w:t>900436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00" w:type="dxa"/>
            <w:vAlign w:val="bottom"/>
            <w:shd w:val="clear" w:color="auto" w:fill="CFF0FC"/>
          </w:tcPr>
          <w:p>
            <w:pPr>
              <w:spacing w:after="0"/>
              <w:rPr>
                <w:sz w:val="20"/>
                <w:szCs w:val="20"/>
                <w:color w:val="auto"/>
              </w:rPr>
            </w:pPr>
            <w:r>
              <w:rPr>
                <w:rFonts w:ascii="Arial" w:cs="Arial" w:eastAsia="Arial" w:hAnsi="Arial"/>
                <w:sz w:val="19"/>
                <w:szCs w:val="19"/>
                <w:color w:val="auto"/>
              </w:rPr>
              <w:t>Augusta Quarry-GA</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900065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1</w:t>
            </w: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r>
      <w:tr>
        <w:trPr>
          <w:trHeight w:val="455"/>
        </w:trPr>
        <w:tc>
          <w:tcPr>
            <w:tcW w:w="2040" w:type="dxa"/>
            <w:vAlign w:val="bottom"/>
          </w:tcPr>
          <w:p>
            <w:pPr>
              <w:spacing w:after="0"/>
              <w:rPr>
                <w:sz w:val="20"/>
                <w:szCs w:val="20"/>
                <w:color w:val="auto"/>
              </w:rPr>
            </w:pPr>
            <w:r>
              <w:rPr>
                <w:rFonts w:ascii="Arial" w:cs="Arial" w:eastAsia="Arial" w:hAnsi="Arial"/>
                <w:sz w:val="19"/>
                <w:szCs w:val="19"/>
                <w:color w:val="auto"/>
              </w:rPr>
              <w:t>Birmingham Shop</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102096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Cabbage Grove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800008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Camak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900075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Chattanooga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4003159</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412</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Forsyth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901035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Jefferson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901106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Junction City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901029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Lithonia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900023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Maylene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100634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1</w:t>
            </w:r>
          </w:p>
        </w:tc>
        <w:tc>
          <w:tcPr>
            <w:tcW w:w="420" w:type="dxa"/>
            <w:vAlign w:val="bottom"/>
          </w:tcPr>
          <w:p>
            <w:pPr>
              <w:jc w:val="right"/>
              <w:spacing w:after="0"/>
              <w:rPr>
                <w:sz w:val="20"/>
                <w:szCs w:val="20"/>
                <w:color w:val="auto"/>
              </w:rPr>
            </w:pPr>
            <w:r>
              <w:rPr>
                <w:rFonts w:ascii="Arial" w:cs="Arial" w:eastAsia="Arial" w:hAnsi="Arial"/>
                <w:sz w:val="19"/>
                <w:szCs w:val="19"/>
                <w:color w:val="auto"/>
              </w:rPr>
              <w:t>1</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Morgan Co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901126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Newton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900899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ONeal Quarry Co19</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103076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Paulding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901107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Perry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801083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Red Oak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900069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138</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R-S Sand and Gravel</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2200381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Ruby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900074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w w:val="96"/>
              </w:rPr>
              <w:t>Shorter Sand and Gravel</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102852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Six Mile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901144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Tyrone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900306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Vance Quarry Co19</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103022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Warrenton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900580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Alden Portable Sand</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1302037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Alden Portable Plant 1</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1302031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Alden Portable Plant 2</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1302033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354</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Alden Portable Wash</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1302122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Alden Quarry - Shop</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1300228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308</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Alden Shop</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1302320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Ames Mine</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1300014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2</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1,329</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Beaver Lake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4503347</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Cedar Rapids Quarry</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1300122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Des Moines Portable</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1300150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tcPr>
          <w:p>
            <w:pPr>
              <w:spacing w:after="0"/>
              <w:rPr>
                <w:sz w:val="20"/>
                <w:szCs w:val="20"/>
                <w:color w:val="auto"/>
              </w:rPr>
            </w:pPr>
            <w:r>
              <w:rPr>
                <w:rFonts w:ascii="Arial" w:cs="Arial" w:eastAsia="Arial" w:hAnsi="Arial"/>
                <w:sz w:val="19"/>
                <w:szCs w:val="19"/>
                <w:color w:val="auto"/>
              </w:rPr>
              <w:t>Des Moines Shop</w:t>
            </w:r>
          </w:p>
        </w:tc>
        <w:tc>
          <w:tcPr>
            <w:tcW w:w="1000" w:type="dxa"/>
            <w:vAlign w:val="bottom"/>
          </w:tcPr>
          <w:p>
            <w:pPr>
              <w:jc w:val="right"/>
              <w:ind w:right="84"/>
              <w:spacing w:after="0"/>
              <w:rPr>
                <w:sz w:val="20"/>
                <w:szCs w:val="20"/>
                <w:color w:val="auto"/>
              </w:rPr>
            </w:pPr>
            <w:r>
              <w:rPr>
                <w:rFonts w:ascii="Arial" w:cs="Arial" w:eastAsia="Arial" w:hAnsi="Arial"/>
                <w:sz w:val="19"/>
                <w:szCs w:val="19"/>
                <w:color w:val="auto"/>
              </w:rPr>
              <w:t>1300932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r>
      <w:tr>
        <w:trPr>
          <w:trHeight w:val="237"/>
        </w:trPr>
        <w:tc>
          <w:tcPr>
            <w:tcW w:w="2040" w:type="dxa"/>
            <w:vAlign w:val="bottom"/>
            <w:shd w:val="clear" w:color="auto" w:fill="CFF0FC"/>
          </w:tcPr>
          <w:p>
            <w:pPr>
              <w:spacing w:after="0"/>
              <w:rPr>
                <w:sz w:val="20"/>
                <w:szCs w:val="20"/>
                <w:color w:val="auto"/>
              </w:rPr>
            </w:pPr>
            <w:r>
              <w:rPr>
                <w:rFonts w:ascii="Arial" w:cs="Arial" w:eastAsia="Arial" w:hAnsi="Arial"/>
                <w:sz w:val="19"/>
                <w:szCs w:val="19"/>
                <w:color w:val="auto"/>
              </w:rPr>
              <w:t>Dubois Quarry</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2501046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c>
          <w:tcPr>
            <w:tcW w:w="0" w:type="dxa"/>
            <w:vAlign w:val="bottom"/>
          </w:tcPr>
          <w:p>
            <w:pPr>
              <w:spacing w:after="0"/>
              <w:rPr>
                <w:sz w:val="1"/>
                <w:szCs w:val="1"/>
                <w:color w:val="auto"/>
              </w:rPr>
            </w:pPr>
          </w:p>
        </w:tc>
      </w:tr>
      <w:tr>
        <w:trPr>
          <w:trHeight w:val="455"/>
        </w:trPr>
        <w:tc>
          <w:tcPr>
            <w:tcW w:w="2160" w:type="dxa"/>
            <w:vAlign w:val="bottom"/>
          </w:tcPr>
          <w:p>
            <w:pPr>
              <w:spacing w:after="0"/>
              <w:rPr>
                <w:sz w:val="20"/>
                <w:szCs w:val="20"/>
                <w:color w:val="auto"/>
              </w:rPr>
            </w:pPr>
            <w:r>
              <w:rPr>
                <w:rFonts w:ascii="Arial" w:cs="Arial" w:eastAsia="Arial" w:hAnsi="Arial"/>
                <w:sz w:val="19"/>
                <w:szCs w:val="19"/>
                <w:color w:val="auto"/>
              </w:rPr>
              <w:t>Durham Mine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1301225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400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Earlham Quarry</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1302123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9"/>
                <w:szCs w:val="19"/>
                <w:color w:val="auto"/>
                <w:w w:val="94"/>
              </w:rPr>
              <w:t>Environmental Crew (Plant</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60" w:type="dxa"/>
            <w:vAlign w:val="bottom"/>
          </w:tcPr>
          <w:p>
            <w:pPr>
              <w:spacing w:after="0"/>
              <w:rPr>
                <w:sz w:val="20"/>
                <w:szCs w:val="20"/>
                <w:color w:val="auto"/>
              </w:rPr>
            </w:pPr>
            <w:r>
              <w:rPr>
                <w:rFonts w:ascii="Arial" w:cs="Arial" w:eastAsia="Arial" w:hAnsi="Arial"/>
                <w:sz w:val="19"/>
                <w:szCs w:val="19"/>
                <w:color w:val="auto"/>
              </w:rPr>
              <w:t>854)</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1302126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Ferguson Quarry</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1300124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Fort Calhoun</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2500006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Fort Dodge Mine</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1300032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484</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Greenwood</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2300141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250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Iowa Grading</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1302316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LeGrand Portable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1302317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Linn County Sand</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1302208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Malcom Mine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1300112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1,111</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Marshalltown Sand</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1300718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Moore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1302188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New Harvey Sand</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1301778</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Northwest Division OH</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rPr>
              <w:t>A2354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Ottawa Quarry</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1401590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300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Pacific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4500844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Parkville Mine</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2301883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Pederson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1302192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Raccoon River Sand</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1302315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Randolph Deep Mine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2302308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3</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6</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Reasoner Sand</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1300814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Saylorville Sand</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1302290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Springfield Quarry</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2501103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St Cloud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2100081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Stamper Mine</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2302232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3</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1</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Sully Mine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1300063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Sunflower</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1401556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Weeping Water Mine</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2500998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2,101</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84"/>
              </w:rPr>
              <w:t>12</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Yellow Medicine Quarry</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2100033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9"/>
                <w:szCs w:val="19"/>
                <w:color w:val="auto"/>
              </w:rPr>
              <w:t>211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4103829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160" w:type="dxa"/>
            <w:vAlign w:val="bottom"/>
            <w:shd w:val="clear" w:color="auto" w:fill="CFF0FC"/>
          </w:tcPr>
          <w:p>
            <w:pPr>
              <w:spacing w:after="0"/>
              <w:rPr>
                <w:sz w:val="20"/>
                <w:szCs w:val="20"/>
                <w:color w:val="auto"/>
              </w:rPr>
            </w:pPr>
            <w:r>
              <w:rPr>
                <w:rFonts w:ascii="Arial" w:cs="Arial" w:eastAsia="Arial" w:hAnsi="Arial"/>
                <w:sz w:val="19"/>
                <w:szCs w:val="19"/>
                <w:color w:val="auto"/>
              </w:rPr>
              <w:t>Augusta Quarry-KS</w:t>
            </w: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1"/>
              </w:rPr>
              <w:t>1400126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52"/>
        </w:trPr>
        <w:tc>
          <w:tcPr>
            <w:tcW w:w="2160" w:type="dxa"/>
            <w:vAlign w:val="bottom"/>
          </w:tcPr>
          <w:p>
            <w:pPr>
              <w:spacing w:after="0"/>
              <w:rPr>
                <w:sz w:val="20"/>
                <w:szCs w:val="20"/>
                <w:color w:val="auto"/>
              </w:rPr>
            </w:pPr>
            <w:r>
              <w:rPr>
                <w:rFonts w:ascii="Arial" w:cs="Arial" w:eastAsia="Arial" w:hAnsi="Arial"/>
                <w:sz w:val="19"/>
                <w:szCs w:val="19"/>
                <w:color w:val="auto"/>
              </w:rPr>
              <w:t>Beckman Quarry</w:t>
            </w:r>
          </w:p>
        </w:tc>
        <w:tc>
          <w:tcPr>
            <w:tcW w:w="880" w:type="dxa"/>
            <w:vAlign w:val="bottom"/>
          </w:tcPr>
          <w:p>
            <w:pPr>
              <w:jc w:val="right"/>
              <w:ind w:right="84"/>
              <w:spacing w:after="0"/>
              <w:rPr>
                <w:sz w:val="20"/>
                <w:szCs w:val="20"/>
                <w:color w:val="auto"/>
              </w:rPr>
            </w:pPr>
            <w:r>
              <w:rPr>
                <w:rFonts w:ascii="Arial" w:cs="Arial" w:eastAsia="Arial" w:hAnsi="Arial"/>
                <w:sz w:val="19"/>
                <w:szCs w:val="19"/>
                <w:color w:val="auto"/>
                <w:w w:val="91"/>
              </w:rPr>
              <w:t>4101335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Bedrock Plant</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4103283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Bells Savoy SG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4104019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Black Rock Quarry</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300011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Black Spur Quarry</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4104159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3</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Blake Quarry</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1401584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734</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Bridgeport Stone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4100007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2</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Broken Bow SandG</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3400460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138</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Chico</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4103360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Cobey</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4104140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Davis</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3401299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1</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Garfield SG TXI</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4103909</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Garwood</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4102886</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933</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GMS - TXI</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C335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Hatton Quarry</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rPr>
              <w:t>301614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Helotes</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4103137</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Hondo</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4104708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Hondo-1</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4104090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Hugo</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3400061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Idabel</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3400507</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Jena Aggregates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1601298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Jones Mill Quarry</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301586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Koontz McCombs Pit</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4105048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Mill Creek</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3401285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Mill Creek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3401859</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New Braunfels Quarry</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4104264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w w:val="96"/>
              </w:rPr>
              <w:t>Perryville Aggregates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1601417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Poteet (Sand Plant)</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4101342</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Rio Medina</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4103594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S.T. Porter Pit</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4102673</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San Pedro Quarry</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4101337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Sawyer</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3401634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Snyder</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3401651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9"/>
                <w:szCs w:val="19"/>
                <w:color w:val="auto"/>
              </w:rPr>
              <w:t>South Texas Port No.2</w:t>
            </w:r>
          </w:p>
        </w:tc>
        <w:tc>
          <w:tcPr>
            <w:tcW w:w="92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7"/>
              </w:rPr>
              <w:t>4104204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19"/>
                <w:szCs w:val="19"/>
                <w:color w:val="auto"/>
              </w:rPr>
              <w:t>Tin Top SG TXI</w:t>
            </w:r>
          </w:p>
        </w:tc>
        <w:tc>
          <w:tcPr>
            <w:tcW w:w="920" w:type="dxa"/>
            <w:vAlign w:val="bottom"/>
          </w:tcPr>
          <w:p>
            <w:pPr>
              <w:jc w:val="right"/>
              <w:ind w:right="84"/>
              <w:spacing w:after="0"/>
              <w:rPr>
                <w:sz w:val="20"/>
                <w:szCs w:val="20"/>
                <w:color w:val="auto"/>
              </w:rPr>
            </w:pPr>
            <w:r>
              <w:rPr>
                <w:rFonts w:ascii="Arial" w:cs="Arial" w:eastAsia="Arial" w:hAnsi="Arial"/>
                <w:sz w:val="19"/>
                <w:szCs w:val="19"/>
                <w:color w:val="auto"/>
                <w:w w:val="97"/>
              </w:rPr>
              <w:t>4102852</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4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60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Washita Quarry</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4"/>
              </w:rPr>
              <w:t>3402049</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300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Webberville TXI</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w w:val="94"/>
              </w:rPr>
              <w:t>4104363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Woodworth Aggregates</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TXI</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4"/>
              </w:rPr>
              <w:t>1601070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Cottonwood Sand 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100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gridSpan w:val="2"/>
          </w:tcPr>
          <w:p>
            <w:pPr>
              <w:spacing w:after="0"/>
              <w:rPr>
                <w:sz w:val="20"/>
                <w:szCs w:val="20"/>
                <w:color w:val="auto"/>
              </w:rPr>
            </w:pPr>
            <w:r>
              <w:rPr>
                <w:rFonts w:ascii="Arial" w:cs="Arial" w:eastAsia="Arial" w:hAnsi="Arial"/>
                <w:sz w:val="19"/>
                <w:szCs w:val="19"/>
                <w:color w:val="auto"/>
              </w:rPr>
              <w:t>Gravel</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504418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w w:val="94"/>
              </w:rPr>
              <w:t>Fountain Sand and Gravel</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503821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Granite Canyon Quarry</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w w:val="94"/>
              </w:rPr>
              <w:t>4800018</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Greeley 35th Ready Mix</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503215</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Greeley 35th Sand 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gridSpan w:val="2"/>
          </w:tcPr>
          <w:p>
            <w:pPr>
              <w:spacing w:after="0"/>
              <w:rPr>
                <w:sz w:val="20"/>
                <w:szCs w:val="20"/>
                <w:color w:val="auto"/>
              </w:rPr>
            </w:pPr>
            <w:r>
              <w:rPr>
                <w:rFonts w:ascii="Arial" w:cs="Arial" w:eastAsia="Arial" w:hAnsi="Arial"/>
                <w:sz w:val="19"/>
                <w:szCs w:val="19"/>
                <w:color w:val="auto"/>
              </w:rPr>
              <w:t>Gravel</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504613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Guernsey</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4"/>
              </w:rPr>
              <w:t>4800004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254</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Gypsum Portable 4 - 11</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504320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w w:val="97"/>
              </w:rPr>
              <w:t>Mamm Creek Portable 15</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504647</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Milford</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w w:val="94"/>
              </w:rPr>
              <w:t>4202177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200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Mustang Quarry</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4"/>
              </w:rPr>
              <w:t>2602484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Portable Crushing</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503984</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Portable Plant 10</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503984</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Portable Recycle 18</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501057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Portable Recycle 2</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504360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Portable Recycle 21</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504520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Powers Portable</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504531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Riverbend Sand 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gridSpan w:val="2"/>
          </w:tcPr>
          <w:p>
            <w:pPr>
              <w:spacing w:after="0"/>
              <w:rPr>
                <w:sz w:val="20"/>
                <w:szCs w:val="20"/>
                <w:color w:val="auto"/>
              </w:rPr>
            </w:pPr>
            <w:r>
              <w:rPr>
                <w:rFonts w:ascii="Arial" w:cs="Arial" w:eastAsia="Arial" w:hAnsi="Arial"/>
                <w:sz w:val="19"/>
                <w:szCs w:val="19"/>
                <w:color w:val="auto"/>
              </w:rPr>
              <w:t>Gravel</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504841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Sievers Portable 19 - 20</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504531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Spanish Springs Co 2</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w w:val="94"/>
              </w:rPr>
              <w:t>2600803</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w w:val="91"/>
              </w:rPr>
              <w:t>Spec Agg Sand and Gravel</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500860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Table Mountain Quarry</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404847</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Taft Sand and Gravel</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504526</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785</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Taft Shop</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504735</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276</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California District</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400011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Hunter Cement TXI</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w w:val="94"/>
              </w:rPr>
              <w:t>4102820</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3</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b w:val="1"/>
                <w:bCs w:val="1"/>
                <w:color w:val="auto"/>
              </w:rPr>
              <w:t>1,307</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6</w:t>
            </w:r>
          </w:p>
        </w:tc>
        <w:tc>
          <w:tcPr>
            <w:tcW w:w="420" w:type="dxa"/>
            <w:vAlign w:val="bottom"/>
          </w:tcPr>
          <w:p>
            <w:pPr>
              <w:jc w:val="right"/>
              <w:spacing w:after="0"/>
              <w:rPr>
                <w:sz w:val="20"/>
                <w:szCs w:val="20"/>
                <w:color w:val="auto"/>
              </w:rPr>
            </w:pPr>
            <w:r>
              <w:rPr>
                <w:rFonts w:ascii="Arial" w:cs="Arial" w:eastAsia="Arial" w:hAnsi="Arial"/>
                <w:sz w:val="19"/>
                <w:szCs w:val="19"/>
                <w:color w:val="auto"/>
              </w:rPr>
              <w:t>1</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Midlothian Cement TXI</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w w:val="94"/>
              </w:rPr>
              <w:t>4100071</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1</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9"/>
                <w:szCs w:val="19"/>
                <w:color w:val="auto"/>
              </w:rPr>
              <w:t>Riverside Cement - OG</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gridSpan w:val="2"/>
          </w:tcPr>
          <w:p>
            <w:pPr>
              <w:spacing w:after="0"/>
              <w:rPr>
                <w:sz w:val="20"/>
                <w:szCs w:val="20"/>
                <w:color w:val="auto"/>
              </w:rPr>
            </w:pPr>
            <w:r>
              <w:rPr>
                <w:rFonts w:ascii="Arial" w:cs="Arial" w:eastAsia="Arial" w:hAnsi="Arial"/>
                <w:sz w:val="19"/>
                <w:szCs w:val="19"/>
                <w:color w:val="auto"/>
              </w:rPr>
              <w:t>Distrib</w:t>
            </w:r>
          </w:p>
        </w:tc>
        <w:tc>
          <w:tcPr>
            <w:tcW w:w="900" w:type="dxa"/>
            <w:vAlign w:val="bottom"/>
          </w:tcPr>
          <w:p>
            <w:pPr>
              <w:jc w:val="right"/>
              <w:ind w:right="84"/>
              <w:spacing w:after="0"/>
              <w:rPr>
                <w:sz w:val="20"/>
                <w:szCs w:val="20"/>
                <w:color w:val="auto"/>
              </w:rPr>
            </w:pPr>
            <w:r>
              <w:rPr>
                <w:rFonts w:ascii="Arial" w:cs="Arial" w:eastAsia="Arial" w:hAnsi="Arial"/>
                <w:sz w:val="19"/>
                <w:szCs w:val="19"/>
                <w:color w:val="auto"/>
              </w:rPr>
              <w:t>400011</w:t>
            </w:r>
          </w:p>
        </w:tc>
        <w:tc>
          <w:tcPr>
            <w:tcW w:w="660" w:type="dxa"/>
            <w:vAlign w:val="bottom"/>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800" w:type="dxa"/>
            <w:vAlign w:val="bottom"/>
          </w:tcPr>
          <w:p>
            <w:pPr>
              <w:ind w:left="300"/>
              <w:spacing w:after="0"/>
              <w:rPr>
                <w:sz w:val="20"/>
                <w:szCs w:val="20"/>
                <w:color w:val="auto"/>
              </w:rPr>
            </w:pPr>
            <w:r>
              <w:rPr>
                <w:rFonts w:ascii="Arial" w:cs="Arial" w:eastAsia="Arial" w:hAnsi="Arial"/>
                <w:sz w:val="19"/>
                <w:szCs w:val="19"/>
                <w:color w:val="auto"/>
              </w:rPr>
              <w:t>no</w:t>
            </w:r>
          </w:p>
        </w:tc>
        <w:tc>
          <w:tcPr>
            <w:tcW w:w="740" w:type="dxa"/>
            <w:vAlign w:val="bottom"/>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Riverside CMT -</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660" w:type="dxa"/>
            <w:vAlign w:val="bottom"/>
            <w:vMerge w:val="restart"/>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9"/>
                <w:szCs w:val="19"/>
                <w:color w:val="auto"/>
              </w:rPr>
              <w:t>Crestmore TXI</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400010</w:t>
            </w:r>
          </w:p>
        </w:tc>
        <w:tc>
          <w:tcPr>
            <w:tcW w:w="660" w:type="dxa"/>
            <w:vAlign w:val="bottom"/>
            <w:shd w:val="clear" w:color="auto" w:fill="CFF0FC"/>
          </w:tcPr>
          <w:p>
            <w:pPr>
              <w:jc w:val="right"/>
              <w:ind w:right="284"/>
              <w:spacing w:after="0"/>
              <w:rPr>
                <w:sz w:val="20"/>
                <w:szCs w:val="20"/>
                <w:color w:val="auto"/>
              </w:rPr>
            </w:pPr>
            <w:r>
              <w:rPr>
                <w:rFonts w:ascii="Arial" w:cs="Arial" w:eastAsia="Arial" w:hAnsi="Arial"/>
                <w:sz w:val="19"/>
                <w:szCs w:val="19"/>
                <w:color w:val="auto"/>
              </w:rPr>
              <w:t>0</w:t>
            </w:r>
          </w:p>
        </w:tc>
        <w:tc>
          <w:tcPr>
            <w:tcW w:w="76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60" w:type="dxa"/>
            <w:vAlign w:val="bottom"/>
            <w:vMerge w:val="continue"/>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40" w:type="dxa"/>
            <w:vAlign w:val="bottom"/>
            <w:shd w:val="clear" w:color="auto" w:fill="CFF0FC"/>
          </w:tcPr>
          <w:p>
            <w:pPr>
              <w:jc w:val="right"/>
              <w:ind w:right="224"/>
              <w:spacing w:after="0"/>
              <w:rPr>
                <w:sz w:val="20"/>
                <w:szCs w:val="20"/>
                <w:color w:val="auto"/>
              </w:rPr>
            </w:pPr>
            <w:r>
              <w:rPr>
                <w:rFonts w:ascii="Arial" w:cs="Arial" w:eastAsia="Arial" w:hAnsi="Arial"/>
                <w:sz w:val="19"/>
                <w:szCs w:val="19"/>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Appendix 1</w:t>
            </w:r>
          </w:p>
        </w:tc>
        <w:tc>
          <w:tcPr>
            <w:tcW w:w="0" w:type="dxa"/>
            <w:vAlign w:val="bottom"/>
          </w:tcPr>
          <w:p>
            <w:pPr>
              <w:spacing w:after="0"/>
              <w:rPr>
                <w:sz w:val="1"/>
                <w:szCs w:val="1"/>
                <w:color w:val="auto"/>
              </w:rPr>
            </w:pPr>
          </w:p>
        </w:tc>
      </w:tr>
      <w:tr>
        <w:trPr>
          <w:trHeight w:val="438"/>
        </w:trPr>
        <w:tc>
          <w:tcPr>
            <w:tcW w:w="1920" w:type="dxa"/>
            <w:vAlign w:val="bottom"/>
          </w:tcPr>
          <w:p>
            <w:pPr>
              <w:spacing w:after="0"/>
              <w:rPr>
                <w:sz w:val="20"/>
                <w:szCs w:val="20"/>
                <w:color w:val="auto"/>
              </w:rPr>
            </w:pPr>
            <w:r>
              <w:rPr>
                <w:rFonts w:ascii="Arial" w:cs="Arial" w:eastAsia="Arial" w:hAnsi="Arial"/>
                <w:sz w:val="19"/>
                <w:szCs w:val="19"/>
                <w:color w:val="auto"/>
              </w:rPr>
              <w:t>Riverside CMT - Oro</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r>
              <w:rPr>
                <w:rFonts w:ascii="Arial" w:cs="Arial" w:eastAsia="Arial" w:hAnsi="Arial"/>
                <w:sz w:val="19"/>
                <w:szCs w:val="19"/>
                <w:color w:val="auto"/>
              </w:rPr>
              <w:t>Grande TXI</w:t>
            </w:r>
          </w:p>
        </w:tc>
        <w:tc>
          <w:tcPr>
            <w:tcW w:w="1100" w:type="dxa"/>
            <w:vAlign w:val="bottom"/>
          </w:tcPr>
          <w:p>
            <w:pPr>
              <w:jc w:val="right"/>
              <w:ind w:right="64"/>
              <w:spacing w:after="0"/>
              <w:rPr>
                <w:sz w:val="20"/>
                <w:szCs w:val="20"/>
                <w:color w:val="auto"/>
              </w:rPr>
            </w:pPr>
            <w:r>
              <w:rPr>
                <w:rFonts w:ascii="Arial" w:cs="Arial" w:eastAsia="Arial" w:hAnsi="Arial"/>
                <w:sz w:val="19"/>
                <w:szCs w:val="19"/>
                <w:color w:val="auto"/>
              </w:rPr>
              <w:t>400011</w:t>
            </w:r>
          </w:p>
        </w:tc>
        <w:tc>
          <w:tcPr>
            <w:tcW w:w="700" w:type="dxa"/>
            <w:vAlign w:val="bottom"/>
          </w:tcPr>
          <w:p>
            <w:pPr>
              <w:jc w:val="center"/>
              <w:ind w:right="84"/>
              <w:spacing w:after="0"/>
              <w:rPr>
                <w:sz w:val="20"/>
                <w:szCs w:val="20"/>
                <w:color w:val="auto"/>
              </w:rPr>
            </w:pPr>
            <w:r>
              <w:rPr>
                <w:rFonts w:ascii="Arial" w:cs="Arial" w:eastAsia="Arial" w:hAnsi="Arial"/>
                <w:sz w:val="19"/>
                <w:szCs w:val="19"/>
                <w:color w:val="auto"/>
                <w:w w:val="75"/>
              </w:rPr>
              <w:t>0</w:t>
            </w:r>
          </w:p>
        </w:tc>
        <w:tc>
          <w:tcPr>
            <w:tcW w:w="7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1920" w:type="dxa"/>
            <w:vAlign w:val="bottom"/>
            <w:shd w:val="clear" w:color="auto" w:fill="CFF0FC"/>
          </w:tcPr>
          <w:p>
            <w:pPr>
              <w:spacing w:after="0"/>
              <w:rPr>
                <w:sz w:val="20"/>
                <w:szCs w:val="20"/>
                <w:color w:val="auto"/>
              </w:rPr>
            </w:pPr>
            <w:r>
              <w:rPr>
                <w:rFonts w:ascii="Arial" w:cs="Arial" w:eastAsia="Arial" w:hAnsi="Arial"/>
                <w:sz w:val="19"/>
                <w:szCs w:val="19"/>
                <w:color w:val="auto"/>
              </w:rPr>
              <w:t>Salisbury Shop</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9"/>
                <w:szCs w:val="19"/>
                <w:color w:val="auto"/>
              </w:rPr>
              <w:t>3101235</w:t>
            </w:r>
          </w:p>
        </w:tc>
        <w:tc>
          <w:tcPr>
            <w:tcW w:w="700" w:type="dxa"/>
            <w:vAlign w:val="bottom"/>
            <w:shd w:val="clear" w:color="auto" w:fill="CFF0FC"/>
          </w:tcPr>
          <w:p>
            <w:pPr>
              <w:jc w:val="center"/>
              <w:ind w:right="84"/>
              <w:spacing w:after="0"/>
              <w:rPr>
                <w:sz w:val="20"/>
                <w:szCs w:val="20"/>
                <w:color w:val="auto"/>
              </w:rPr>
            </w:pPr>
            <w:r>
              <w:rPr>
                <w:rFonts w:ascii="Arial" w:cs="Arial" w:eastAsia="Arial" w:hAnsi="Arial"/>
                <w:sz w:val="19"/>
                <w:szCs w:val="19"/>
                <w:color w:val="auto"/>
                <w:w w:val="75"/>
              </w:rPr>
              <w:t>0</w:t>
            </w:r>
          </w:p>
        </w:tc>
        <w:tc>
          <w:tcPr>
            <w:tcW w:w="7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9"/>
                <w:szCs w:val="19"/>
                <w:color w:val="auto"/>
              </w:rPr>
              <w:t>North Troy Portable</w:t>
            </w:r>
          </w:p>
        </w:tc>
        <w:tc>
          <w:tcPr>
            <w:tcW w:w="1100" w:type="dxa"/>
            <w:vAlign w:val="bottom"/>
          </w:tcPr>
          <w:p>
            <w:pPr>
              <w:jc w:val="right"/>
              <w:ind w:right="64"/>
              <w:spacing w:after="0"/>
              <w:rPr>
                <w:sz w:val="20"/>
                <w:szCs w:val="20"/>
                <w:color w:val="auto"/>
              </w:rPr>
            </w:pPr>
            <w:r>
              <w:rPr>
                <w:rFonts w:ascii="Arial" w:cs="Arial" w:eastAsia="Arial" w:hAnsi="Arial"/>
                <w:sz w:val="19"/>
                <w:szCs w:val="19"/>
                <w:color w:val="auto"/>
              </w:rPr>
              <w:t>3401949</w:t>
            </w:r>
          </w:p>
        </w:tc>
        <w:tc>
          <w:tcPr>
            <w:tcW w:w="700" w:type="dxa"/>
            <w:vAlign w:val="bottom"/>
          </w:tcPr>
          <w:p>
            <w:pPr>
              <w:jc w:val="center"/>
              <w:ind w:right="84"/>
              <w:spacing w:after="0"/>
              <w:rPr>
                <w:sz w:val="20"/>
                <w:szCs w:val="20"/>
                <w:color w:val="auto"/>
              </w:rPr>
            </w:pPr>
            <w:r>
              <w:rPr>
                <w:rFonts w:ascii="Arial" w:cs="Arial" w:eastAsia="Arial" w:hAnsi="Arial"/>
                <w:sz w:val="19"/>
                <w:szCs w:val="19"/>
                <w:color w:val="auto"/>
                <w:w w:val="75"/>
              </w:rPr>
              <w:t>0</w:t>
            </w:r>
          </w:p>
        </w:tc>
        <w:tc>
          <w:tcPr>
            <w:tcW w:w="7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tcPr>
          <w:p>
            <w:pPr>
              <w:jc w:val="right"/>
              <w:ind w:right="84"/>
              <w:spacing w:after="0"/>
              <w:rPr>
                <w:sz w:val="20"/>
                <w:szCs w:val="20"/>
                <w:color w:val="auto"/>
              </w:rPr>
            </w:pPr>
            <w:r>
              <w:rPr>
                <w:rFonts w:ascii="Arial" w:cs="Arial" w:eastAsia="Arial" w:hAnsi="Arial"/>
                <w:sz w:val="19"/>
                <w:szCs w:val="19"/>
                <w:color w:val="auto"/>
              </w:rPr>
              <w:t>0</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720" w:type="dxa"/>
            <w:vAlign w:val="bottom"/>
          </w:tcPr>
          <w:p>
            <w:pPr>
              <w:jc w:val="right"/>
              <w:ind w:right="44"/>
              <w:spacing w:after="0"/>
              <w:rPr>
                <w:sz w:val="20"/>
                <w:szCs w:val="20"/>
                <w:color w:val="auto"/>
              </w:rPr>
            </w:pPr>
            <w:r>
              <w:rPr>
                <w:rFonts w:ascii="Arial" w:cs="Arial" w:eastAsia="Arial" w:hAnsi="Arial"/>
                <w:sz w:val="19"/>
                <w:szCs w:val="19"/>
                <w:b w:val="1"/>
                <w:bCs w:val="1"/>
                <w:color w:val="auto"/>
              </w:rPr>
              <w:t>0</w:t>
            </w:r>
          </w:p>
        </w:tc>
        <w:tc>
          <w:tcPr>
            <w:tcW w:w="480" w:type="dxa"/>
            <w:vAlign w:val="bottom"/>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tcPr>
          <w:p>
            <w:pPr>
              <w:ind w:left="220"/>
              <w:spacing w:after="0"/>
              <w:rPr>
                <w:sz w:val="20"/>
                <w:szCs w:val="20"/>
                <w:color w:val="auto"/>
              </w:rPr>
            </w:pPr>
            <w:r>
              <w:rPr>
                <w:rFonts w:ascii="Arial" w:cs="Arial" w:eastAsia="Arial" w:hAnsi="Arial"/>
                <w:sz w:val="19"/>
                <w:szCs w:val="19"/>
                <w:color w:val="auto"/>
              </w:rPr>
              <w:t>no</w:t>
            </w:r>
          </w:p>
        </w:tc>
        <w:tc>
          <w:tcPr>
            <w:tcW w:w="780" w:type="dxa"/>
            <w:vAlign w:val="bottom"/>
          </w:tcPr>
          <w:p>
            <w:pPr>
              <w:ind w:left="300"/>
              <w:spacing w:after="0"/>
              <w:rPr>
                <w:sz w:val="20"/>
                <w:szCs w:val="20"/>
                <w:color w:val="auto"/>
              </w:rPr>
            </w:pPr>
            <w:r>
              <w:rPr>
                <w:rFonts w:ascii="Arial" w:cs="Arial" w:eastAsia="Arial" w:hAnsi="Arial"/>
                <w:sz w:val="19"/>
                <w:szCs w:val="19"/>
                <w:color w:val="auto"/>
              </w:rPr>
              <w:t>no</w:t>
            </w:r>
          </w:p>
        </w:tc>
        <w:tc>
          <w:tcPr>
            <w:tcW w:w="78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jc w:val="right"/>
              <w:spacing w:after="0"/>
              <w:rPr>
                <w:sz w:val="20"/>
                <w:szCs w:val="20"/>
                <w:color w:val="auto"/>
              </w:rPr>
            </w:pPr>
            <w:r>
              <w:rPr>
                <w:rFonts w:ascii="Arial" w:cs="Arial" w:eastAsia="Arial" w:hAnsi="Arial"/>
                <w:sz w:val="19"/>
                <w:szCs w:val="19"/>
                <w:color w:val="auto"/>
              </w:rPr>
              <w:t>0</w:t>
            </w:r>
          </w:p>
        </w:tc>
        <w:tc>
          <w:tcPr>
            <w:tcW w:w="920" w:type="dxa"/>
            <w:vAlign w:val="bottom"/>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1920" w:type="dxa"/>
            <w:vAlign w:val="bottom"/>
            <w:shd w:val="clear" w:color="auto" w:fill="CFF0FC"/>
          </w:tcPr>
          <w:p>
            <w:pPr>
              <w:spacing w:after="0"/>
              <w:rPr>
                <w:sz w:val="20"/>
                <w:szCs w:val="20"/>
                <w:color w:val="auto"/>
              </w:rPr>
            </w:pPr>
            <w:r>
              <w:rPr>
                <w:rFonts w:ascii="Arial" w:cs="Arial" w:eastAsia="Arial" w:hAnsi="Arial"/>
                <w:sz w:val="19"/>
                <w:szCs w:val="19"/>
                <w:color w:val="auto"/>
              </w:rPr>
              <w:t>Woodville</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9"/>
                <w:szCs w:val="19"/>
                <w:color w:val="auto"/>
              </w:rPr>
              <w:t>3300156</w:t>
            </w:r>
          </w:p>
        </w:tc>
        <w:tc>
          <w:tcPr>
            <w:tcW w:w="700" w:type="dxa"/>
            <w:vAlign w:val="bottom"/>
            <w:shd w:val="clear" w:color="auto" w:fill="CFF0FC"/>
          </w:tcPr>
          <w:p>
            <w:pPr>
              <w:jc w:val="center"/>
              <w:ind w:right="84"/>
              <w:spacing w:after="0"/>
              <w:rPr>
                <w:sz w:val="20"/>
                <w:szCs w:val="20"/>
                <w:color w:val="auto"/>
              </w:rPr>
            </w:pPr>
            <w:r>
              <w:rPr>
                <w:rFonts w:ascii="Arial" w:cs="Arial" w:eastAsia="Arial" w:hAnsi="Arial"/>
                <w:sz w:val="19"/>
                <w:szCs w:val="19"/>
                <w:color w:val="auto"/>
                <w:w w:val="75"/>
              </w:rPr>
              <w:t>7</w:t>
            </w:r>
          </w:p>
        </w:tc>
        <w:tc>
          <w:tcPr>
            <w:tcW w:w="7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66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640" w:type="dxa"/>
            <w:vAlign w:val="bottom"/>
            <w:shd w:val="clear" w:color="auto" w:fill="CFF0FC"/>
          </w:tcPr>
          <w:p>
            <w:pPr>
              <w:jc w:val="right"/>
              <w:ind w:right="204"/>
              <w:spacing w:after="0"/>
              <w:rPr>
                <w:sz w:val="20"/>
                <w:szCs w:val="20"/>
                <w:color w:val="auto"/>
              </w:rPr>
            </w:pPr>
            <w:r>
              <w:rPr>
                <w:rFonts w:ascii="Arial" w:cs="Arial" w:eastAsia="Arial" w:hAnsi="Arial"/>
                <w:sz w:val="19"/>
                <w:szCs w:val="19"/>
                <w:color w:val="auto"/>
              </w:rPr>
              <w:t>0</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9"/>
                <w:szCs w:val="19"/>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9"/>
                <w:szCs w:val="19"/>
                <w:b w:val="1"/>
                <w:bCs w:val="1"/>
                <w:color w:val="auto"/>
              </w:rPr>
              <w:t>$</w:t>
            </w: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9"/>
                <w:szCs w:val="19"/>
                <w:b w:val="1"/>
                <w:bCs w:val="1"/>
                <w:color w:val="auto"/>
                <w:w w:val="96"/>
              </w:rPr>
              <w:t>17,883</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9"/>
                <w:szCs w:val="19"/>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19"/>
                <w:szCs w:val="19"/>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w:t>
            </w:r>
          </w:p>
        </w:tc>
        <w:tc>
          <w:tcPr>
            <w:tcW w:w="920" w:type="dxa"/>
            <w:vAlign w:val="bottom"/>
            <w:shd w:val="clear" w:color="auto" w:fill="CFF0FC"/>
          </w:tcPr>
          <w:p>
            <w:pPr>
              <w:jc w:val="right"/>
              <w:ind w:right="164"/>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7"/>
        </w:trPr>
        <w:tc>
          <w:tcPr>
            <w:tcW w:w="1920" w:type="dxa"/>
            <w:vAlign w:val="bottom"/>
            <w:shd w:val="clear" w:color="auto" w:fill="D9D9D9"/>
          </w:tcPr>
          <w:p>
            <w:pPr>
              <w:ind w:left="680"/>
              <w:spacing w:after="0"/>
              <w:rPr>
                <w:sz w:val="20"/>
                <w:szCs w:val="20"/>
                <w:color w:val="auto"/>
              </w:rPr>
            </w:pPr>
            <w:r>
              <w:rPr>
                <w:rFonts w:ascii="Arial" w:cs="Arial" w:eastAsia="Arial" w:hAnsi="Arial"/>
                <w:sz w:val="19"/>
                <w:szCs w:val="19"/>
                <w:b w:val="1"/>
                <w:bCs w:val="1"/>
                <w:color w:val="auto"/>
              </w:rPr>
              <w:t>TOTALS</w:t>
            </w:r>
          </w:p>
        </w:tc>
        <w:tc>
          <w:tcPr>
            <w:tcW w:w="1100" w:type="dxa"/>
            <w:vAlign w:val="bottom"/>
            <w:shd w:val="clear" w:color="auto" w:fill="D9D9D9"/>
          </w:tcPr>
          <w:p>
            <w:pPr>
              <w:spacing w:after="0"/>
              <w:rPr>
                <w:sz w:val="20"/>
                <w:szCs w:val="20"/>
                <w:color w:val="auto"/>
              </w:rPr>
            </w:pPr>
          </w:p>
        </w:tc>
        <w:tc>
          <w:tcPr>
            <w:tcW w:w="700" w:type="dxa"/>
            <w:vAlign w:val="bottom"/>
            <w:shd w:val="clear" w:color="auto" w:fill="D9D9D9"/>
          </w:tcPr>
          <w:p>
            <w:pPr>
              <w:jc w:val="center"/>
              <w:ind w:right="84"/>
              <w:spacing w:after="0"/>
              <w:rPr>
                <w:sz w:val="20"/>
                <w:szCs w:val="20"/>
                <w:color w:val="auto"/>
              </w:rPr>
            </w:pPr>
            <w:r>
              <w:rPr>
                <w:rFonts w:ascii="Arial" w:cs="Arial" w:eastAsia="Arial" w:hAnsi="Arial"/>
                <w:sz w:val="19"/>
                <w:szCs w:val="19"/>
                <w:b w:val="1"/>
                <w:bCs w:val="1"/>
                <w:color w:val="auto"/>
                <w:w w:val="94"/>
              </w:rPr>
              <w:t>39</w:t>
            </w:r>
          </w:p>
        </w:tc>
        <w:tc>
          <w:tcPr>
            <w:tcW w:w="740" w:type="dxa"/>
            <w:vAlign w:val="bottom"/>
            <w:shd w:val="clear" w:color="auto" w:fill="D9D9D9"/>
          </w:tcPr>
          <w:p>
            <w:pPr>
              <w:jc w:val="right"/>
              <w:ind w:right="204"/>
              <w:spacing w:after="0"/>
              <w:rPr>
                <w:sz w:val="20"/>
                <w:szCs w:val="20"/>
                <w:color w:val="auto"/>
              </w:rPr>
            </w:pPr>
            <w:r>
              <w:rPr>
                <w:rFonts w:ascii="Arial" w:cs="Arial" w:eastAsia="Arial" w:hAnsi="Arial"/>
                <w:sz w:val="19"/>
                <w:szCs w:val="19"/>
                <w:b w:val="1"/>
                <w:bCs w:val="1"/>
                <w:color w:val="auto"/>
              </w:rPr>
              <w:t>0</w:t>
            </w:r>
          </w:p>
        </w:tc>
        <w:tc>
          <w:tcPr>
            <w:tcW w:w="660" w:type="dxa"/>
            <w:vAlign w:val="bottom"/>
            <w:shd w:val="clear" w:color="auto" w:fill="D9D9D9"/>
          </w:tcPr>
          <w:p>
            <w:pPr>
              <w:jc w:val="right"/>
              <w:ind w:right="164"/>
              <w:spacing w:after="0"/>
              <w:rPr>
                <w:sz w:val="20"/>
                <w:szCs w:val="20"/>
                <w:color w:val="auto"/>
              </w:rPr>
            </w:pPr>
            <w:r>
              <w:rPr>
                <w:rFonts w:ascii="Arial" w:cs="Arial" w:eastAsia="Arial" w:hAnsi="Arial"/>
                <w:sz w:val="19"/>
                <w:szCs w:val="19"/>
                <w:b w:val="1"/>
                <w:bCs w:val="1"/>
                <w:color w:val="auto"/>
              </w:rPr>
              <w:t>1</w:t>
            </w:r>
          </w:p>
        </w:tc>
        <w:tc>
          <w:tcPr>
            <w:tcW w:w="640" w:type="dxa"/>
            <w:vAlign w:val="bottom"/>
            <w:shd w:val="clear" w:color="auto" w:fill="D9D9D9"/>
          </w:tcPr>
          <w:p>
            <w:pPr>
              <w:jc w:val="right"/>
              <w:ind w:right="204"/>
              <w:spacing w:after="0"/>
              <w:rPr>
                <w:sz w:val="20"/>
                <w:szCs w:val="20"/>
                <w:color w:val="auto"/>
              </w:rPr>
            </w:pPr>
            <w:r>
              <w:rPr>
                <w:rFonts w:ascii="Arial" w:cs="Arial" w:eastAsia="Arial" w:hAnsi="Arial"/>
                <w:sz w:val="19"/>
                <w:szCs w:val="19"/>
                <w:b w:val="1"/>
                <w:bCs w:val="1"/>
                <w:color w:val="auto"/>
              </w:rPr>
              <w:t>0</w:t>
            </w:r>
          </w:p>
        </w:tc>
        <w:tc>
          <w:tcPr>
            <w:tcW w:w="580" w:type="dxa"/>
            <w:vAlign w:val="bottom"/>
            <w:shd w:val="clear" w:color="auto" w:fill="D9D9D9"/>
          </w:tcPr>
          <w:p>
            <w:pPr>
              <w:jc w:val="right"/>
              <w:ind w:right="84"/>
              <w:spacing w:after="0"/>
              <w:rPr>
                <w:sz w:val="20"/>
                <w:szCs w:val="20"/>
                <w:color w:val="auto"/>
              </w:rPr>
            </w:pPr>
            <w:r>
              <w:rPr>
                <w:rFonts w:ascii="Arial" w:cs="Arial" w:eastAsia="Arial" w:hAnsi="Arial"/>
                <w:sz w:val="19"/>
                <w:szCs w:val="19"/>
                <w:b w:val="1"/>
                <w:bCs w:val="1"/>
                <w:color w:val="auto"/>
              </w:rPr>
              <w:t>0</w:t>
            </w:r>
          </w:p>
        </w:tc>
        <w:tc>
          <w:tcPr>
            <w:tcW w:w="300" w:type="dxa"/>
            <w:vAlign w:val="bottom"/>
            <w:shd w:val="clear" w:color="auto" w:fill="D9D9D9"/>
          </w:tcPr>
          <w:p>
            <w:pPr>
              <w:jc w:val="right"/>
              <w:spacing w:after="0"/>
              <w:rPr>
                <w:sz w:val="20"/>
                <w:szCs w:val="20"/>
                <w:color w:val="auto"/>
              </w:rPr>
            </w:pPr>
            <w:r>
              <w:rPr>
                <w:rFonts w:ascii="Arial" w:cs="Arial" w:eastAsia="Arial" w:hAnsi="Arial"/>
                <w:sz w:val="19"/>
                <w:szCs w:val="19"/>
                <w:b w:val="1"/>
                <w:bCs w:val="1"/>
                <w:color w:val="auto"/>
              </w:rPr>
              <w:t>$</w:t>
            </w:r>
          </w:p>
        </w:tc>
        <w:tc>
          <w:tcPr>
            <w:tcW w:w="720" w:type="dxa"/>
            <w:vAlign w:val="bottom"/>
            <w:shd w:val="clear" w:color="auto" w:fill="D9D9D9"/>
          </w:tcPr>
          <w:p>
            <w:pPr>
              <w:jc w:val="right"/>
              <w:ind w:right="44"/>
              <w:spacing w:after="0"/>
              <w:rPr>
                <w:sz w:val="20"/>
                <w:szCs w:val="20"/>
                <w:color w:val="auto"/>
              </w:rPr>
            </w:pPr>
            <w:r>
              <w:rPr>
                <w:rFonts w:ascii="Arial" w:cs="Arial" w:eastAsia="Arial" w:hAnsi="Arial"/>
                <w:sz w:val="19"/>
                <w:szCs w:val="19"/>
                <w:b w:val="1"/>
                <w:bCs w:val="1"/>
                <w:color w:val="auto"/>
                <w:w w:val="96"/>
              </w:rPr>
              <w:t>30,797</w:t>
            </w:r>
          </w:p>
        </w:tc>
        <w:tc>
          <w:tcPr>
            <w:tcW w:w="480" w:type="dxa"/>
            <w:vAlign w:val="bottom"/>
            <w:shd w:val="clear" w:color="auto" w:fill="D9D9D9"/>
          </w:tcPr>
          <w:p>
            <w:pPr>
              <w:spacing w:after="0"/>
              <w:rPr>
                <w:sz w:val="20"/>
                <w:szCs w:val="20"/>
                <w:color w:val="auto"/>
              </w:rPr>
            </w:pPr>
          </w:p>
        </w:tc>
        <w:tc>
          <w:tcPr>
            <w:tcW w:w="700" w:type="dxa"/>
            <w:vAlign w:val="bottom"/>
            <w:shd w:val="clear" w:color="auto" w:fill="D9D9D9"/>
          </w:tcPr>
          <w:p>
            <w:pPr>
              <w:spacing w:after="0"/>
              <w:rPr>
                <w:sz w:val="20"/>
                <w:szCs w:val="20"/>
                <w:color w:val="auto"/>
              </w:rPr>
            </w:pPr>
          </w:p>
        </w:tc>
        <w:tc>
          <w:tcPr>
            <w:tcW w:w="780" w:type="dxa"/>
            <w:vAlign w:val="bottom"/>
            <w:shd w:val="clear" w:color="auto" w:fill="D9D9D9"/>
          </w:tcPr>
          <w:p>
            <w:pPr>
              <w:spacing w:after="0"/>
              <w:rPr>
                <w:sz w:val="20"/>
                <w:szCs w:val="20"/>
                <w:color w:val="auto"/>
              </w:rPr>
            </w:pPr>
          </w:p>
        </w:tc>
        <w:tc>
          <w:tcPr>
            <w:tcW w:w="780" w:type="dxa"/>
            <w:vAlign w:val="bottom"/>
            <w:shd w:val="clear" w:color="auto" w:fill="D9D9D9"/>
          </w:tcPr>
          <w:p>
            <w:pPr>
              <w:jc w:val="center"/>
              <w:spacing w:after="0"/>
              <w:rPr>
                <w:sz w:val="20"/>
                <w:szCs w:val="20"/>
                <w:color w:val="auto"/>
              </w:rPr>
            </w:pPr>
            <w:r>
              <w:rPr>
                <w:rFonts w:ascii="Arial" w:cs="Arial" w:eastAsia="Arial" w:hAnsi="Arial"/>
                <w:sz w:val="19"/>
                <w:szCs w:val="19"/>
                <w:b w:val="1"/>
                <w:bCs w:val="1"/>
                <w:color w:val="auto"/>
                <w:w w:val="84"/>
              </w:rPr>
              <w:t>37</w:t>
            </w:r>
          </w:p>
        </w:tc>
        <w:tc>
          <w:tcPr>
            <w:tcW w:w="400" w:type="dxa"/>
            <w:vAlign w:val="bottom"/>
            <w:shd w:val="clear" w:color="auto" w:fill="D9D9D9"/>
          </w:tcPr>
          <w:p>
            <w:pPr>
              <w:jc w:val="right"/>
              <w:spacing w:after="0"/>
              <w:rPr>
                <w:sz w:val="20"/>
                <w:szCs w:val="20"/>
                <w:color w:val="auto"/>
              </w:rPr>
            </w:pPr>
            <w:r>
              <w:rPr>
                <w:rFonts w:ascii="Arial" w:cs="Arial" w:eastAsia="Arial" w:hAnsi="Arial"/>
                <w:sz w:val="19"/>
                <w:szCs w:val="19"/>
                <w:b w:val="1"/>
                <w:bCs w:val="1"/>
                <w:color w:val="auto"/>
              </w:rPr>
              <w:t>4</w:t>
            </w:r>
          </w:p>
        </w:tc>
        <w:tc>
          <w:tcPr>
            <w:tcW w:w="920" w:type="dxa"/>
            <w:vAlign w:val="bottom"/>
            <w:shd w:val="clear" w:color="auto" w:fill="D9D9D9"/>
          </w:tcPr>
          <w:p>
            <w:pPr>
              <w:jc w:val="right"/>
              <w:ind w:right="164"/>
              <w:spacing w:after="0"/>
              <w:rPr>
                <w:sz w:val="20"/>
                <w:szCs w:val="20"/>
                <w:color w:val="auto"/>
              </w:rPr>
            </w:pPr>
            <w:r>
              <w:rPr>
                <w:rFonts w:ascii="Arial" w:cs="Arial" w:eastAsia="Arial" w:hAnsi="Arial"/>
                <w:sz w:val="19"/>
                <w:szCs w:val="19"/>
                <w:b w:val="1"/>
                <w:bCs w:val="1"/>
                <w:color w:val="auto"/>
              </w:rPr>
              <w:t>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0"/>
        <w:spacing w:after="0" w:line="274" w:lineRule="auto"/>
        <w:rPr>
          <w:sz w:val="20"/>
          <w:szCs w:val="20"/>
          <w:color w:val="auto"/>
        </w:rPr>
      </w:pPr>
      <w:r>
        <w:rPr>
          <w:rFonts w:ascii="Arial" w:cs="Arial" w:eastAsia="Arial" w:hAnsi="Arial"/>
          <w:sz w:val="18"/>
          <w:szCs w:val="18"/>
          <w:color w:val="auto"/>
        </w:rPr>
        <w:t>*Of the 37 legal actions pending on March 31, 2015, 23 were contests of citations or orders referenced in Subpart B of CFR Part 2700, which includes contests of citations and orders issued under Section 104 of the Mine Act and contests of imminent danger orders under Section 107 of the Mine Act and 14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4"/>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7"/>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decimal"/>
      <w:start w:val="9"/>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9"/>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lvl w:ilvl="1">
      <w:lvlJc w:val="left"/>
      <w:lvlText w:val="o"/>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lvl w:ilvl="1">
      <w:lvlJc w:val="left"/>
      <w:lvlText w:val="o"/>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lvl w:ilvl="1">
      <w:lvlJc w:val="left"/>
      <w:lvlText w:val="%2."/>
      <w:numFmt w:val="lowerLetter"/>
      <w:start w:val="1"/>
    </w:lvl>
  </w:abstractNum>
  <w:abstractNum w:abstractNumId="31">
    <w:nsid w:val="440BADFC"/>
    <w:multiLevelType w:val="hybridMultilevel"/>
    <w:lvl w:ilvl="0">
      <w:lvlJc w:val="left"/>
      <w:lvlText w:val="%1."/>
      <w:numFmt w:val="decimal"/>
      <w:start w:val="5"/>
    </w:lvl>
    <w:lvl w:ilvl="1">
      <w:lvlJc w:val="left"/>
      <w:lvlText w:val="%2."/>
      <w:numFmt w:val="low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5"/>
    </w:lvl>
    <w:lvl w:ilvl="1">
      <w:lvlJc w:val="left"/>
      <w:lvlText w:val="%2."/>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2019-12-29T16:56:05Z</dcterms:created>
  <dcterms:modified xsi:type="dcterms:W3CDTF">2019-12-29T16:56:05Z</dcterms:modified>
</cp:coreProperties>
</file>