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13</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13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and Amendment No. 12 filed thereto on January 11,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has also filed a Registration Statement on Form S-4 on December 12, 2011, of which the Offer to Exchange forms a part.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9, AND ITEM 11.</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(a)(5)(BB)</w:t>
      </w:r>
      <w:r>
        <w:rPr>
          <w:sz w:val="20"/>
          <w:szCs w:val="20"/>
          <w:color w:val="auto"/>
        </w:rPr>
        <w:tab/>
      </w:r>
      <w:r>
        <w:rPr>
          <w:rFonts w:ascii="Arial" w:cs="Arial" w:eastAsia="Arial" w:hAnsi="Arial"/>
          <w:sz w:val="16"/>
          <w:szCs w:val="16"/>
          <w:color w:val="auto"/>
        </w:rPr>
        <w:t>Transcript of presentation given on January 11, 2012 (incorporated by reference to Martin Marietta’s Rule 425 filing dated January 12,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5"/>
          <w:szCs w:val="15"/>
          <w:color w:val="auto"/>
        </w:rPr>
        <w:t>Offer to Exchange (incorporated by reference to the Martin Marietta Registration Statement on Form S-4 filed on December 12, 2011)</w:t>
      </w:r>
    </w:p>
    <w:p>
      <w:pPr>
        <w:spacing w:after="0" w:line="151"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Transcript of presentation given on January 11, 2012 (incorporated by reference to Martin Marietta’s Rule 425 filing dated January 12, 2012)</w:t>
      </w:r>
    </w:p>
    <w:p>
      <w:pPr>
        <w:spacing w:after="0" w:line="165" w:lineRule="exact"/>
        <w:rPr>
          <w:sz w:val="20"/>
          <w:szCs w:val="20"/>
          <w:color w:val="auto"/>
        </w:rPr>
      </w:pPr>
    </w:p>
    <w:p>
      <w:pPr>
        <w:sectPr>
          <w:pgSz w:w="11900" w:h="16838" w:orient="portrait"/>
          <w:cols w:equalWidth="0" w:num="2">
            <w:col w:w="780" w:space="440"/>
            <w:col w:w="9900"/>
          </w:cols>
          <w:pgMar w:left="240" w:top="131" w:right="53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120"/>
      </w:cols>
      <w:pgMar w:left="24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2019-12-20T20:08:36Z</dcterms:created>
  <dcterms:modified xsi:type="dcterms:W3CDTF">2019-12-20T20:08:36Z</dcterms:modified>
</cp:coreProperties>
</file>