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mlm-20230331.htm"/>
      <w:bookmarkStart w:id="1" w:name="ksmlm20230331"/>
      <w:bookmarkEnd w:id="0"/>
      <w:bookmarkEnd w:id="1"/>
      <w:r>
        <w:rPr/>
        <w:t> </w:t>
      </w:r>
    </w:p>
    <w:p>
      <w:pPr>
        <w:pStyle w:val="TextBody"/>
        <w:spacing w:before="0" w:after="0"/>
        <w:jc w:val="center"/>
        <w:rPr>
          <w:rFonts w:ascii="Calibri;sans-serif" w:hAnsi="Calibri;sans-serif"/>
          <w:b/>
          <w:sz w:val="22"/>
        </w:rPr>
      </w:pPr>
      <w:r>
        <w:rPr>
          <w:rFonts w:ascii="Calibri;sans-serif" w:hAnsi="Calibri;sans-serif"/>
          <w:b/>
          <w:sz w:val="22"/>
        </w:rPr>
        <w:t>UNITED STATES</w:t>
      </w:r>
    </w:p>
    <w:p>
      <w:pPr>
        <w:pStyle w:val="TextBody"/>
        <w:spacing w:before="0" w:after="0"/>
        <w:jc w:val="center"/>
        <w:rPr>
          <w:rFonts w:ascii="Calibri;sans-serif" w:hAnsi="Calibri;sans-serif"/>
          <w:b/>
          <w:sz w:val="22"/>
        </w:rPr>
      </w:pPr>
      <w:r>
        <w:rPr>
          <w:rFonts w:ascii="Calibri;sans-serif" w:hAnsi="Calibri;sans-serif"/>
          <w:b/>
          <w:sz w:val="22"/>
        </w:rPr>
        <w:t>SECURITIES AND EXCHANGE COMMISSION</w:t>
      </w:r>
    </w:p>
    <w:p>
      <w:pPr>
        <w:pStyle w:val="TextBody"/>
        <w:spacing w:before="0" w:after="0"/>
        <w:jc w:val="center"/>
        <w:rPr>
          <w:rFonts w:ascii="Calibri;sans-serif" w:hAnsi="Calibri;sans-serif"/>
          <w:b/>
          <w:sz w:val="22"/>
        </w:rPr>
      </w:pPr>
      <w:r>
        <w:rPr>
          <w:rFonts w:ascii="Calibri;sans-serif" w:hAnsi="Calibri;sans-serif"/>
          <w:b/>
          <w:sz w:val="22"/>
        </w:rPr>
        <w:t>WASHINGTON, DC 20549</w:t>
      </w:r>
    </w:p>
    <w:p>
      <w:pPr>
        <w:pStyle w:val="TextBody"/>
        <w:pBdr>
          <w:bottom w:val="single" w:sz="4" w:space="1" w:color="000000"/>
        </w:pBdr>
        <w:spacing w:before="0" w:after="0"/>
        <w:jc w:val="center"/>
        <w:rPr/>
      </w:pPr>
      <w:r>
        <w:rPr/>
        <w:t> </w:t>
      </w:r>
    </w:p>
    <w:p>
      <w:pPr>
        <w:pStyle w:val="TextBody"/>
        <w:spacing w:before="60" w:after="0"/>
        <w:jc w:val="center"/>
        <w:rPr>
          <w:rFonts w:ascii="Calibri;sans-serif" w:hAnsi="Calibri;sans-serif"/>
          <w:b/>
          <w:sz w:val="22"/>
        </w:rPr>
      </w:pPr>
      <w:r>
        <w:rPr>
          <w:rFonts w:ascii="Calibri;sans-serif" w:hAnsi="Calibri;sans-serif"/>
          <w:b/>
          <w:sz w:val="22"/>
        </w:rPr>
        <w:t>FORM 10-Q</w:t>
      </w:r>
    </w:p>
    <w:p>
      <w:pPr>
        <w:pStyle w:val="TextBody"/>
        <w:pBdr>
          <w:bottom w:val="single" w:sz="4" w:space="1" w:color="000000"/>
        </w:pBdr>
        <w:spacing w:before="0" w:after="0"/>
        <w:jc w:val="center"/>
        <w:rPr/>
      </w:pPr>
      <w:r>
        <w:rPr/>
        <w:t> </w:t>
      </w:r>
    </w:p>
    <w:p>
      <w:pPr>
        <w:pStyle w:val="TextBody"/>
        <w:spacing w:before="0" w:after="0"/>
        <w:jc w:val="both"/>
        <w:rPr>
          <w:rFonts w:ascii="Calibri;sans-serif" w:hAnsi="Calibri;sans-serif"/>
          <w:b/>
          <w:sz w:val="16"/>
        </w:rPr>
      </w:pPr>
      <w:r>
        <w:rPr>
          <w:rFonts w:ascii="Calibri;sans-serif" w:hAnsi="Calibri;sans-serif"/>
          <w:b/>
          <w:sz w:val="16"/>
        </w:rPr>
        <w:t>(Mark One)</w:t>
      </w:r>
    </w:p>
    <w:tbl>
      <w:tblPr>
        <w:tblW w:w="9782" w:type="dxa"/>
        <w:jc w:val="left"/>
        <w:tblInd w:w="0" w:type="dxa"/>
        <w:tblCellMar>
          <w:top w:w="28" w:type="dxa"/>
          <w:left w:w="28" w:type="dxa"/>
          <w:bottom w:w="28" w:type="dxa"/>
          <w:right w:w="28" w:type="dxa"/>
        </w:tblCellMar>
      </w:tblPr>
      <w:tblGrid>
        <w:gridCol w:w="331"/>
        <w:gridCol w:w="9451"/>
      </w:tblGrid>
      <w:tr>
        <w:trPr/>
        <w:tc>
          <w:tcPr>
            <w:tcW w:w="331" w:type="dxa"/>
            <w:tcBorders/>
            <w:shd w:fill="auto" w:val="clear"/>
            <w:vAlign w:val="center"/>
          </w:tcPr>
          <w:p>
            <w:pPr>
              <w:pStyle w:val="TableContents"/>
              <w:spacing w:before="0" w:after="283"/>
              <w:rPr>
                <w:sz w:val="4"/>
                <w:szCs w:val="4"/>
              </w:rPr>
            </w:pPr>
            <w:r>
              <w:rPr>
                <w:sz w:val="4"/>
                <w:szCs w:val="4"/>
              </w:rPr>
            </w:r>
          </w:p>
        </w:tc>
        <w:tc>
          <w:tcPr>
            <w:tcW w:w="945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4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QUARTERLY REPORT PURSUANT TO SECTION 13 OR 15(d) OF THE SECURITIES EXCHANGE ACT OF 1934</w:t>
            </w:r>
          </w:p>
        </w:tc>
      </w:tr>
    </w:tbl>
    <w:p>
      <w:pPr>
        <w:pStyle w:val="TextBody"/>
        <w:spacing w:before="60" w:after="0"/>
        <w:jc w:val="center"/>
        <w:rPr>
          <w:rFonts w:ascii="Calibri;sans-serif" w:hAnsi="Calibri;sans-serif"/>
          <w:b/>
          <w:sz w:val="22"/>
        </w:rPr>
      </w:pPr>
      <w:r>
        <w:rPr>
          <w:rFonts w:ascii="Calibri;sans-serif" w:hAnsi="Calibri;sans-serif"/>
          <w:b/>
          <w:sz w:val="22"/>
        </w:rPr>
        <w:t>For the quarterly period ended March 31, 2023</w:t>
      </w:r>
    </w:p>
    <w:p>
      <w:pPr>
        <w:pStyle w:val="TextBody"/>
        <w:spacing w:before="60" w:after="0"/>
        <w:jc w:val="center"/>
        <w:rPr>
          <w:rFonts w:ascii="Calibri;sans-serif" w:hAnsi="Calibri;sans-serif"/>
          <w:b/>
          <w:sz w:val="22"/>
        </w:rPr>
      </w:pPr>
      <w:r>
        <w:rPr>
          <w:rFonts w:ascii="Calibri;sans-serif" w:hAnsi="Calibri;sans-serif"/>
          <w:b/>
          <w:sz w:val="22"/>
        </w:rPr>
        <w:t>OR</w:t>
      </w:r>
    </w:p>
    <w:tbl>
      <w:tblPr>
        <w:tblW w:w="9827" w:type="dxa"/>
        <w:jc w:val="left"/>
        <w:tblInd w:w="0" w:type="dxa"/>
        <w:tblCellMar>
          <w:top w:w="28" w:type="dxa"/>
          <w:left w:w="28" w:type="dxa"/>
          <w:bottom w:w="28" w:type="dxa"/>
          <w:right w:w="28" w:type="dxa"/>
        </w:tblCellMar>
      </w:tblPr>
      <w:tblGrid>
        <w:gridCol w:w="331"/>
        <w:gridCol w:w="9496"/>
      </w:tblGrid>
      <w:tr>
        <w:trPr/>
        <w:tc>
          <w:tcPr>
            <w:tcW w:w="331" w:type="dxa"/>
            <w:tcBorders/>
            <w:shd w:fill="auto" w:val="clear"/>
            <w:vAlign w:val="center"/>
          </w:tcPr>
          <w:p>
            <w:pPr>
              <w:pStyle w:val="TableContents"/>
              <w:spacing w:before="0" w:after="283"/>
              <w:rPr>
                <w:sz w:val="4"/>
                <w:szCs w:val="4"/>
              </w:rPr>
            </w:pPr>
            <w:r>
              <w:rPr>
                <w:sz w:val="4"/>
                <w:szCs w:val="4"/>
              </w:rPr>
            </w:r>
          </w:p>
        </w:tc>
        <w:tc>
          <w:tcPr>
            <w:tcW w:w="949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49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Calibri;sans-serif" w:hAnsi="Calibri;sans-serif"/>
                <w:b/>
                <w:sz w:val="22"/>
              </w:rPr>
            </w:pPr>
            <w:r>
              <w:rPr>
                <w:rFonts w:ascii="Calibri;sans-serif" w:hAnsi="Calibri;sans-serif"/>
                <w:b/>
                <w:sz w:val="22"/>
              </w:rPr>
              <w:t>TRANSITION REPORT PURSUANT TO SECTION 13 OR 15(d) OF THE SECURITIES EXCHANGE ACT OF 1934</w:t>
            </w:r>
          </w:p>
        </w:tc>
      </w:tr>
    </w:tbl>
    <w:p>
      <w:pPr>
        <w:pStyle w:val="TextBody"/>
        <w:spacing w:before="60" w:after="0"/>
        <w:jc w:val="center"/>
        <w:rPr>
          <w:rFonts w:ascii="Calibri" w:hAnsi="Calibri"/>
          <w:sz w:val="22"/>
        </w:rPr>
      </w:pPr>
      <w:r>
        <w:rPr>
          <w:rFonts w:ascii="Calibri;sans-serif" w:hAnsi="Calibri;sans-serif"/>
          <w:b/>
          <w:sz w:val="22"/>
        </w:rPr>
        <w:t>For the transition period from to</w:t>
      </w:r>
      <w:r>
        <w:rPr>
          <w:rFonts w:ascii="Calibri" w:hAnsi="Calibri"/>
          <w:sz w:val="22"/>
        </w:rPr>
        <w:t xml:space="preserve"> </w:t>
      </w:r>
    </w:p>
    <w:p>
      <w:pPr>
        <w:pStyle w:val="TextBody"/>
        <w:spacing w:before="120" w:after="0"/>
        <w:jc w:val="center"/>
        <w:rPr>
          <w:rFonts w:ascii="Calibri;sans-serif" w:hAnsi="Calibri;sans-serif"/>
          <w:b/>
          <w:sz w:val="22"/>
        </w:rPr>
      </w:pPr>
      <w:r>
        <w:rPr>
          <w:rFonts w:ascii="Calibri;sans-serif" w:hAnsi="Calibri;sans-serif"/>
          <w:b/>
          <w:sz w:val="22"/>
        </w:rPr>
        <w:t>Commission File Number: 1-12744</w:t>
      </w:r>
    </w:p>
    <w:p>
      <w:pPr>
        <w:pStyle w:val="TextBody"/>
        <w:pBdr>
          <w:bottom w:val="single" w:sz="4" w:space="1" w:color="000000"/>
        </w:pBdr>
        <w:spacing w:before="0" w:after="0"/>
        <w:jc w:val="center"/>
        <w:rPr/>
      </w:pPr>
      <w:r>
        <w:rPr/>
        <w:t> </w:t>
      </w:r>
    </w:p>
    <w:p>
      <w:pPr>
        <w:pStyle w:val="TextBody"/>
        <w:spacing w:before="60" w:after="0"/>
        <w:jc w:val="center"/>
        <w:rPr>
          <w:rFonts w:ascii="Calibri;sans-serif" w:hAnsi="Calibri;sans-serif"/>
          <w:b/>
          <w:sz w:val="22"/>
        </w:rPr>
      </w:pPr>
      <w:r>
        <w:rPr>
          <w:rFonts w:ascii="Calibri;sans-serif" w:hAnsi="Calibri;sans-serif"/>
          <w:b/>
          <w:sz w:val="22"/>
        </w:rPr>
        <w:t>MARTIN MARIETTA MATERIALS, INC.</w:t>
      </w:r>
    </w:p>
    <w:p>
      <w:pPr>
        <w:pStyle w:val="TextBody"/>
        <w:spacing w:before="0" w:after="0"/>
        <w:jc w:val="center"/>
        <w:rPr>
          <w:rFonts w:ascii="Calibri;sans-serif" w:hAnsi="Calibri;sans-serif"/>
          <w:b/>
          <w:sz w:val="22"/>
        </w:rPr>
      </w:pPr>
      <w:r>
        <w:rPr>
          <w:rFonts w:ascii="Calibri;sans-serif" w:hAnsi="Calibri;sans-serif"/>
          <w:b/>
          <w:sz w:val="22"/>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both"/>
        <w:rPr/>
      </w:pPr>
      <w:r>
        <w:rPr/>
        <w:t> </w:t>
      </w:r>
    </w:p>
    <w:tbl>
      <w:tblPr>
        <w:tblW w:w="5522" w:type="dxa"/>
        <w:jc w:val="left"/>
        <w:tblInd w:w="0" w:type="dxa"/>
        <w:tblCellMar>
          <w:top w:w="28" w:type="dxa"/>
          <w:left w:w="28" w:type="dxa"/>
          <w:bottom w:w="28" w:type="dxa"/>
          <w:right w:w="28" w:type="dxa"/>
        </w:tblCellMar>
      </w:tblPr>
      <w:tblGrid>
        <w:gridCol w:w="3466"/>
        <w:gridCol w:w="2056"/>
      </w:tblGrid>
      <w:tr>
        <w:trPr/>
        <w:tc>
          <w:tcPr>
            <w:tcW w:w="3466"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North Carolina</w:t>
            </w:r>
          </w:p>
        </w:tc>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56-1848578</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4"/>
              </w:rPr>
            </w:pPr>
            <w:r>
              <w:rPr>
                <w:rFonts w:ascii="Calibri;sans-serif" w:hAnsi="Calibri;sans-serif"/>
                <w:b/>
                <w:sz w:val="14"/>
              </w:rPr>
              <w:t>(State or other jurisdiction of incorporation or organization)</w:t>
            </w:r>
          </w:p>
        </w:tc>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4"/>
              </w:rPr>
            </w:pPr>
            <w:r>
              <w:rPr>
                <w:rFonts w:ascii="Calibri;sans-serif" w:hAnsi="Calibri;sans-serif"/>
                <w:b/>
                <w:sz w:val="14"/>
              </w:rPr>
              <w:t>(I.R.S. Employer Identification No.)</w:t>
            </w:r>
          </w:p>
        </w:tc>
      </w:tr>
      <w:tr>
        <w:trPr/>
        <w:tc>
          <w:tcPr>
            <w:tcW w:w="3466" w:type="dxa"/>
            <w:tcBorders/>
            <w:shd w:fill="auto" w:val="clear"/>
            <w:tcMar>
              <w:top w:w="0" w:type="dxa"/>
              <w:left w:w="0" w:type="dxa"/>
              <w:bottom w:w="0" w:type="dxa"/>
              <w:right w:w="0" w:type="dxa"/>
            </w:tcMar>
            <w:vAlign w:val="center"/>
          </w:tcPr>
          <w:p>
            <w:pPr>
              <w:pStyle w:val="TableContents"/>
              <w:spacing w:before="0" w:after="15"/>
              <w:ind w:left="0" w:right="0" w:hanging="0"/>
              <w:jc w:val="center"/>
              <w:rPr>
                <w:rFonts w:ascii="Calibri;sans-serif" w:hAnsi="Calibri;sans-serif"/>
                <w:b/>
                <w:sz w:val="22"/>
              </w:rPr>
            </w:pPr>
            <w:r>
              <w:rPr>
                <w:rFonts w:ascii="Calibri;sans-serif" w:hAnsi="Calibri;sans-serif"/>
                <w:b/>
                <w:sz w:val="22"/>
              </w:rPr>
              <w:t>4123 Parklake Avenue, Raleigh, NC</w:t>
            </w:r>
          </w:p>
        </w:tc>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27612</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4"/>
              </w:rPr>
            </w:pPr>
            <w:r>
              <w:rPr>
                <w:rFonts w:ascii="Calibri;sans-serif" w:hAnsi="Calibri;sans-serif"/>
                <w:b/>
                <w:sz w:val="14"/>
              </w:rPr>
              <w:t>(Address of principal executive offices)</w:t>
            </w:r>
          </w:p>
        </w:tc>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4"/>
              </w:rPr>
            </w:pPr>
            <w:r>
              <w:rPr>
                <w:rFonts w:ascii="Calibri;sans-serif" w:hAnsi="Calibri;sans-serif"/>
                <w:b/>
                <w:sz w:val="14"/>
              </w:rPr>
              <w:t>(Zip Code)</w:t>
            </w:r>
          </w:p>
        </w:tc>
      </w:tr>
    </w:tbl>
    <w:p>
      <w:pPr>
        <w:pStyle w:val="TextBody"/>
        <w:spacing w:before="80" w:after="0"/>
        <w:jc w:val="center"/>
        <w:rPr>
          <w:rFonts w:ascii="Calibri;sans-serif" w:hAnsi="Calibri;sans-serif"/>
          <w:b/>
          <w:sz w:val="22"/>
        </w:rPr>
      </w:pPr>
      <w:r>
        <w:rPr>
          <w:rFonts w:ascii="Calibri;sans-serif" w:hAnsi="Calibri;sans-serif"/>
          <w:b/>
          <w:sz w:val="22"/>
        </w:rPr>
        <w:t>Registrant’s telephone number, including area code: (919) 781-4550</w:t>
      </w:r>
    </w:p>
    <w:p>
      <w:pPr>
        <w:pStyle w:val="TextBody"/>
        <w:pBdr>
          <w:bottom w:val="single" w:sz="4" w:space="1" w:color="000000"/>
        </w:pBdr>
        <w:spacing w:before="0" w:after="0"/>
        <w:jc w:val="center"/>
        <w:rPr/>
      </w:pPr>
      <w:r>
        <w:rPr/>
        <w:t> </w:t>
      </w:r>
    </w:p>
    <w:p>
      <w:pPr>
        <w:pStyle w:val="TextBody"/>
        <w:spacing w:before="80" w:after="0"/>
        <w:jc w:val="both"/>
        <w:rPr>
          <w:rFonts w:ascii="Calibri" w:hAnsi="Calibri"/>
          <w:sz w:val="22"/>
        </w:rPr>
      </w:pPr>
      <w:r>
        <w:rPr>
          <w:rFonts w:ascii="Calibri;sans-serif" w:hAnsi="Calibri;sans-serif"/>
          <w:b w:val="false"/>
          <w:sz w:val="18"/>
        </w:rPr>
        <w:t>Securities registered pursuant to Section 12(b) of the Act:</w:t>
      </w:r>
      <w:r>
        <w:rPr>
          <w:rFonts w:ascii="Calibri" w:hAnsi="Calibri"/>
          <w:sz w:val="22"/>
        </w:rPr>
        <w:t xml:space="preserve"> </w:t>
      </w:r>
    </w:p>
    <w:p>
      <w:pPr>
        <w:pStyle w:val="TextBody"/>
        <w:spacing w:before="0" w:after="0"/>
        <w:jc w:val="both"/>
        <w:rPr/>
      </w:pPr>
      <w:r>
        <w:rPr/>
        <w:t> </w:t>
      </w:r>
    </w:p>
    <w:tbl>
      <w:tblPr>
        <w:tblW w:w="6775" w:type="dxa"/>
        <w:jc w:val="left"/>
        <w:tblInd w:w="0" w:type="dxa"/>
        <w:tblCellMar>
          <w:top w:w="28" w:type="dxa"/>
          <w:left w:w="28" w:type="dxa"/>
          <w:bottom w:w="28" w:type="dxa"/>
          <w:right w:w="28" w:type="dxa"/>
        </w:tblCellMar>
      </w:tblPr>
      <w:tblGrid>
        <w:gridCol w:w="2536"/>
        <w:gridCol w:w="146"/>
        <w:gridCol w:w="766"/>
        <w:gridCol w:w="146"/>
        <w:gridCol w:w="3181"/>
      </w:tblGrid>
      <w:tr>
        <w:trPr/>
        <w:tc>
          <w:tcPr>
            <w:tcW w:w="2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25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Trading</w:t>
            </w:r>
          </w:p>
          <w:p>
            <w:pPr>
              <w:pStyle w:val="TableContents"/>
              <w:spacing w:before="0" w:after="0"/>
              <w:ind w:left="0" w:right="0" w:hanging="0"/>
              <w:jc w:val="center"/>
              <w:rPr>
                <w:rFonts w:ascii="Calibri;sans-serif" w:hAnsi="Calibri;sans-serif"/>
                <w:b/>
                <w:sz w:val="16"/>
              </w:rPr>
            </w:pPr>
            <w:r>
              <w:rPr>
                <w:rFonts w:ascii="Calibri;sans-serif" w:hAnsi="Calibri;sans-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Name of each exchange on which registered</w:t>
            </w:r>
          </w:p>
        </w:tc>
      </w:tr>
      <w:tr>
        <w:trPr/>
        <w:tc>
          <w:tcPr>
            <w:tcW w:w="2536" w:type="dxa"/>
            <w:tcBorders/>
            <w:shd w:fill="auto" w:val="cle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Common Stock (Par Value $0.01)</w:t>
            </w:r>
          </w:p>
        </w:tc>
        <w:tc>
          <w:tcPr>
            <w:tcW w:w="14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MLM</w:t>
            </w:r>
          </w:p>
        </w:tc>
        <w:tc>
          <w:tcPr>
            <w:tcW w:w="146" w:type="dxa"/>
            <w:tcBorders/>
            <w:shd w:fill="auto" w:val="clear"/>
            <w:vAlign w:val="center"/>
          </w:tcPr>
          <w:p>
            <w:pPr>
              <w:pStyle w:val="TableContents"/>
              <w:spacing w:before="0" w:after="0"/>
              <w:ind w:left="0" w:right="0" w:hanging="0"/>
              <w:jc w:val="center"/>
              <w:rPr/>
            </w:pPr>
            <w:r>
              <w:rPr/>
              <w:t> </w:t>
            </w:r>
          </w:p>
        </w:tc>
        <w:tc>
          <w:tcPr>
            <w:tcW w:w="3181" w:type="dxa"/>
            <w:tcBorders/>
            <w:shd w:fill="auto" w:val="cle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NYSE</w:t>
            </w:r>
          </w:p>
        </w:tc>
      </w:tr>
    </w:tbl>
    <w:p>
      <w:pPr>
        <w:pStyle w:val="TextBody"/>
        <w:spacing w:before="120" w:after="0"/>
        <w:jc w:val="both"/>
        <w:rPr>
          <w:rFonts w:ascii="Calibri" w:hAnsi="Calibri"/>
          <w:sz w:val="22"/>
        </w:rPr>
      </w:pPr>
      <w:r>
        <w:rPr>
          <w:rFonts w:ascii="Calibri;sans-serif" w:hAnsi="Calibri;sans-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Calibri" w:hAnsi="Calibri"/>
          <w:sz w:val="22"/>
        </w:rPr>
        <w:t xml:space="preserve"> ☒ </w:t>
      </w:r>
      <w:r>
        <w:rPr>
          <w:rFonts w:ascii="Calibri;sans-serif" w:hAnsi="Calibri;sans-serif"/>
          <w:b w:val="false"/>
          <w:sz w:val="18"/>
        </w:rPr>
        <w:t>No ☐</w:t>
      </w:r>
    </w:p>
    <w:p>
      <w:pPr>
        <w:pStyle w:val="TextBody"/>
        <w:spacing w:before="80" w:after="0"/>
        <w:jc w:val="both"/>
        <w:rPr>
          <w:rFonts w:ascii="Calibri" w:hAnsi="Calibri"/>
          <w:sz w:val="22"/>
        </w:rPr>
      </w:pPr>
      <w:r>
        <w:rPr>
          <w:rFonts w:ascii="Calibri;sans-serif" w:hAnsi="Calibri;sans-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Calibri" w:hAnsi="Calibri"/>
          <w:sz w:val="22"/>
        </w:rPr>
        <w:t xml:space="preserve"> ☒ </w:t>
      </w:r>
      <w:r>
        <w:rPr>
          <w:rFonts w:ascii="Calibri;sans-serif" w:hAnsi="Calibri;sans-serif"/>
          <w:b w:val="false"/>
          <w:sz w:val="18"/>
        </w:rPr>
        <w:t>No ☐</w:t>
      </w:r>
    </w:p>
    <w:p>
      <w:pPr>
        <w:pStyle w:val="TextBody"/>
        <w:spacing w:before="80" w:after="0"/>
        <w:jc w:val="both"/>
        <w:rPr>
          <w:rFonts w:ascii="Calibri;sans-serif" w:hAnsi="Calibri;sans-serif"/>
          <w:b w:val="false"/>
          <w:sz w:val="18"/>
        </w:rPr>
      </w:pPr>
      <w:r>
        <w:rPr>
          <w:rFonts w:ascii="Calibri;sans-serif" w:hAnsi="Calibri;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both"/>
        <w:rPr/>
      </w:pPr>
      <w:r>
        <w:rPr/>
        <w:t> </w:t>
      </w:r>
    </w:p>
    <w:tbl>
      <w:tblPr>
        <w:tblW w:w="5317" w:type="dxa"/>
        <w:jc w:val="left"/>
        <w:tblInd w:w="0" w:type="dxa"/>
        <w:tblCellMar>
          <w:top w:w="28" w:type="dxa"/>
          <w:left w:w="28" w:type="dxa"/>
          <w:bottom w:w="28" w:type="dxa"/>
          <w:right w:w="28" w:type="dxa"/>
        </w:tblCellMar>
      </w:tblPr>
      <w:tblGrid>
        <w:gridCol w:w="2101"/>
        <w:gridCol w:w="146"/>
        <w:gridCol w:w="316"/>
        <w:gridCol w:w="146"/>
        <w:gridCol w:w="2101"/>
        <w:gridCol w:w="146"/>
        <w:gridCol w:w="361"/>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4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Calibri;sans-serif" w:hAnsi="Calibri;sans-serif"/>
          <w:b w:val="false"/>
          <w:sz w:val="18"/>
        </w:rPr>
      </w:pPr>
      <w:r>
        <w:rPr>
          <w:rFonts w:ascii="Calibri;sans-serif" w:hAnsi="Calibri;sans-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both"/>
        <w:rPr>
          <w:rFonts w:ascii="Calibri" w:hAnsi="Calibri"/>
          <w:sz w:val="22"/>
        </w:rPr>
      </w:pPr>
      <w:r>
        <w:rPr>
          <w:rFonts w:ascii="Calibri;sans-serif" w:hAnsi="Calibri;sans-serif"/>
          <w:b w:val="false"/>
          <w:sz w:val="18"/>
        </w:rPr>
        <w:t xml:space="preserve">Indicate by check mark whether the registrant is a shell company (as defined in Rule 12b-2 of the Exchange Act). Yes ☐ No </w:t>
      </w:r>
      <w:r>
        <w:rPr>
          <w:rFonts w:ascii="Calibri" w:hAnsi="Calibri"/>
          <w:sz w:val="22"/>
        </w:rPr>
        <w:t>☒</w:t>
      </w:r>
    </w:p>
    <w:p>
      <w:pPr>
        <w:pStyle w:val="TextBody"/>
        <w:spacing w:before="100" w:after="0"/>
        <w:jc w:val="left"/>
        <w:rPr>
          <w:rFonts w:ascii="Calibri" w:hAnsi="Calibri"/>
          <w:sz w:val="22"/>
        </w:rPr>
      </w:pPr>
      <w:r>
        <w:rPr>
          <w:rFonts w:ascii="Calibri;sans-serif" w:hAnsi="Calibri;sans-serif"/>
          <w:b w:val="false"/>
          <w:sz w:val="18"/>
        </w:rPr>
        <w:t>Indicate the number of shares outstanding of each of the issuer’s classes of Common Stock, as of the latest practicable date.</w:t>
      </w:r>
      <w:r>
        <w:rPr>
          <w:rFonts w:ascii="Calibri" w:hAnsi="Calibri"/>
          <w:sz w:val="22"/>
        </w:rPr>
        <w:t xml:space="preserve"> </w:t>
      </w:r>
    </w:p>
    <w:p>
      <w:pPr>
        <w:pStyle w:val="TextBody"/>
        <w:spacing w:before="0" w:after="0"/>
        <w:jc w:val="left"/>
        <w:rPr/>
      </w:pPr>
      <w:r>
        <w:rPr/>
        <w:t> </w:t>
      </w:r>
    </w:p>
    <w:tbl>
      <w:tblPr>
        <w:tblW w:w="4881" w:type="dxa"/>
        <w:jc w:val="left"/>
        <w:tblInd w:w="0" w:type="dxa"/>
        <w:tblCellMar>
          <w:top w:w="28" w:type="dxa"/>
          <w:left w:w="28" w:type="dxa"/>
          <w:bottom w:w="28" w:type="dxa"/>
          <w:right w:w="28" w:type="dxa"/>
        </w:tblCellMar>
      </w:tblPr>
      <w:tblGrid>
        <w:gridCol w:w="2431"/>
        <w:gridCol w:w="109"/>
        <w:gridCol w:w="2341"/>
      </w:tblGrid>
      <w:tr>
        <w:trPr/>
        <w:tc>
          <w:tcPr>
            <w:tcW w:w="2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Class</w:t>
            </w:r>
          </w:p>
        </w:tc>
        <w:tc>
          <w:tcPr>
            <w:tcW w:w="109"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341"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Calibri;sans-serif" w:hAnsi="Calibri;sans-serif"/>
                <w:b/>
                <w:sz w:val="16"/>
              </w:rPr>
            </w:pPr>
            <w:r>
              <w:rPr>
                <w:rFonts w:ascii="Calibri;sans-serif" w:hAnsi="Calibri;sans-serif"/>
                <w:b/>
                <w:sz w:val="16"/>
              </w:rPr>
              <w:t>Outstanding as of April 28, 2023</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Common Stock, $0.01 par value</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61,968,757</w:t>
            </w:r>
          </w:p>
        </w:tc>
      </w:tr>
    </w:tbl>
    <w:p>
      <w:pPr>
        <w:pStyle w:val="TextBody"/>
        <w:spacing w:before="0" w:after="16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308"/>
        <w:gridCol w:w="146"/>
        <w:gridCol w:w="751"/>
      </w:tblGrid>
      <w:tr>
        <w:trPr/>
        <w:tc>
          <w:tcPr>
            <w:tcW w:w="9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930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97" w:type="dxa"/>
            <w:gridSpan w:val="2"/>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Page</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Part I. Financial Information: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1_financial_statements">
              <w:r>
                <w:rPr>
                  <w:rStyle w:val="InternetLink"/>
                  <w:rFonts w:ascii="Calibri;sans-serif" w:hAnsi="Calibri;sans-serif"/>
                  <w:b w:val="false"/>
                  <w:sz w:val="22"/>
                  <w:u w:val="single"/>
                </w:rPr>
                <w:t>Item 1. Financial Statements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hyperlink w:anchor="balancesheet">
              <w:r>
                <w:rPr>
                  <w:rStyle w:val="InternetLink"/>
                  <w:rFonts w:ascii="Calibri;sans-serif" w:hAnsi="Calibri;sans-serif"/>
                  <w:b w:val="false"/>
                  <w:sz w:val="22"/>
                  <w:u w:val="single"/>
                </w:rPr>
                <w:t>Consolidated Balance Sheets – March 31, 2023 and December 31,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rFonts w:ascii="Calibri;sans-serif" w:hAnsi="Calibri;sans-serif"/>
                <w:b w:val="false"/>
                <w:sz w:val="22"/>
              </w:rPr>
            </w:pPr>
            <w:r>
              <w:rPr>
                <w:rFonts w:ascii="Calibri;sans-serif" w:hAnsi="Calibri;sans-serif"/>
                <w:b w:val="false"/>
                <w:sz w:val="22"/>
              </w:rPr>
              <w:t>3</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hyperlink w:anchor="earningsstmt">
              <w:r>
                <w:rPr>
                  <w:rStyle w:val="InternetLink"/>
                  <w:rFonts w:ascii="Calibri;sans-serif" w:hAnsi="Calibri;sans-serif"/>
                  <w:b w:val="false"/>
                  <w:sz w:val="22"/>
                  <w:u w:val="single"/>
                </w:rPr>
                <w:t>Consolidated Statements of Earnings and Comprehensive Earnings – Three Months Ended March 31, 2023 and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rFonts w:ascii="Calibri;sans-serif" w:hAnsi="Calibri;sans-serif"/>
                <w:b w:val="false"/>
                <w:sz w:val="22"/>
              </w:rPr>
            </w:pPr>
            <w:r>
              <w:rPr>
                <w:rFonts w:ascii="Calibri;sans-serif" w:hAnsi="Calibri;sans-serif"/>
                <w:b w:val="false"/>
                <w:sz w:val="22"/>
              </w:rPr>
              <w:t>4</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hyperlink w:anchor="cashflow">
              <w:r>
                <w:rPr>
                  <w:rStyle w:val="InternetLink"/>
                  <w:rFonts w:ascii="Calibri;sans-serif" w:hAnsi="Calibri;sans-serif"/>
                  <w:b w:val="false"/>
                  <w:sz w:val="22"/>
                  <w:u w:val="single"/>
                </w:rPr>
                <w:t>Consolidated Statements of Cash Flows – Three Months Ended March 31, 2023 and 2022</w:t>
              </w:r>
            </w:hyperlink>
            <w:hyperlink w:anchor="cashflow">
              <w:r>
                <w:rPr>
                  <w:rStyle w:val="InternetLink"/>
                  <w:rFonts w:ascii="Calibri" w:hAnsi="Calibri"/>
                  <w:sz w:val="22"/>
                </w:rPr>
                <w:t xml:space="preserve"> </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rFonts w:ascii="Calibri;sans-serif" w:hAnsi="Calibri;sans-serif"/>
                <w:b w:val="false"/>
                <w:sz w:val="22"/>
              </w:rPr>
            </w:pPr>
            <w:r>
              <w:rPr>
                <w:rFonts w:ascii="Calibri;sans-serif" w:hAnsi="Calibri;sans-serif"/>
                <w:b w:val="false"/>
                <w:sz w:val="22"/>
              </w:rPr>
              <w:t>5</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hyperlink w:anchor="equitystatement">
              <w:r>
                <w:rPr>
                  <w:rStyle w:val="InternetLink"/>
                  <w:rFonts w:ascii="Calibri;sans-serif" w:hAnsi="Calibri;sans-serif"/>
                  <w:b w:val="false"/>
                  <w:sz w:val="22"/>
                  <w:u w:val="single"/>
                </w:rPr>
                <w:t>Consolidated Statements of Total Equity – Three Months Ended March 31, 2023 and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rFonts w:ascii="Calibri;sans-serif" w:hAnsi="Calibri;sans-serif"/>
                <w:b w:val="false"/>
                <w:sz w:val="22"/>
              </w:rPr>
            </w:pPr>
            <w:r>
              <w:rPr>
                <w:rFonts w:ascii="Calibri;sans-serif" w:hAnsi="Calibri;sans-serif"/>
                <w:b w:val="false"/>
                <w:sz w:val="22"/>
              </w:rPr>
              <w:t>6</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48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480" w:right="0" w:hanging="0"/>
              <w:jc w:val="left"/>
              <w:rPr/>
            </w:pPr>
            <w:hyperlink w:anchor="notes_to_consolidated_financial_statemen">
              <w:r>
                <w:rPr>
                  <w:rStyle w:val="InternetLink"/>
                  <w:rFonts w:ascii="Calibri;sans-serif" w:hAnsi="Calibri;sans-serif"/>
                  <w:b w:val="false"/>
                  <w:sz w:val="22"/>
                  <w:u w:val="single"/>
                </w:rPr>
                <w:t>Notes to Consolidated Financial Statements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rFonts w:ascii="Calibri;sans-serif" w:hAnsi="Calibri;sans-serif"/>
                <w:b w:val="false"/>
                <w:sz w:val="22"/>
              </w:rPr>
            </w:pPr>
            <w:r>
              <w:rPr>
                <w:rFonts w:ascii="Calibri;sans-serif" w:hAnsi="Calibri;sans-serif"/>
                <w:b w:val="false"/>
                <w:sz w:val="22"/>
              </w:rPr>
              <w:t>7</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2_management_discussion_and_anal">
              <w:r>
                <w:rPr>
                  <w:rStyle w:val="InternetLink"/>
                  <w:rFonts w:ascii="Calibri;sans-serif" w:hAnsi="Calibri;sans-serif"/>
                  <w:b w:val="false"/>
                  <w:sz w:val="22"/>
                  <w:u w:val="single"/>
                </w:rPr>
                <w:t>Item 2. Management’s Discussion and Analysis of Financial Condition and Results of Operations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rFonts w:ascii="Calibri;sans-serif" w:hAnsi="Calibri;sans-serif"/>
                <w:b w:val="false"/>
                <w:sz w:val="22"/>
              </w:rPr>
            </w:pPr>
            <w:r>
              <w:rPr>
                <w:rFonts w:ascii="Calibri;sans-serif" w:hAnsi="Calibri;sans-serif"/>
                <w:b w:val="false"/>
                <w:sz w:val="22"/>
              </w:rPr>
              <w:t>21</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3_quantitative_and_qualitative">
              <w:r>
                <w:rPr>
                  <w:rStyle w:val="InternetLink"/>
                  <w:rFonts w:ascii="Calibri;sans-serif" w:hAnsi="Calibri;sans-serif"/>
                  <w:b w:val="false"/>
                  <w:sz w:val="22"/>
                  <w:u w:val="single"/>
                </w:rPr>
                <w:t>Item 3. Quantitative and Qualitative Disclosures About Market Risk</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rFonts w:ascii="Calibri;sans-serif" w:hAnsi="Calibri;sans-serif"/>
                <w:b w:val="false"/>
                <w:sz w:val="22"/>
              </w:rPr>
            </w:pPr>
            <w:r>
              <w:rPr>
                <w:rFonts w:ascii="Calibri;sans-serif" w:hAnsi="Calibri;sans-serif"/>
                <w:b w:val="false"/>
                <w:sz w:val="22"/>
              </w:rPr>
              <w:t>32</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4_controls_and_procedures">
              <w:r>
                <w:rPr>
                  <w:rStyle w:val="InternetLink"/>
                  <w:rFonts w:ascii="Calibri;sans-serif" w:hAnsi="Calibri;sans-serif"/>
                  <w:b w:val="false"/>
                  <w:sz w:val="22"/>
                  <w:u w:val="single"/>
                </w:rPr>
                <w:t>Item 4. Controls and Procedures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33</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Part II. Other Information: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1_legal_proceedings">
              <w:r>
                <w:rPr>
                  <w:rStyle w:val="InternetLink"/>
                  <w:rFonts w:ascii="Calibri;sans-serif" w:hAnsi="Calibri;sans-serif"/>
                  <w:b w:val="false"/>
                  <w:sz w:val="22"/>
                  <w:u w:val="single"/>
                </w:rPr>
                <w:t>Item 1. Legal Proceedings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rFonts w:ascii="Calibri;sans-serif" w:hAnsi="Calibri;sans-serif"/>
                <w:b w:val="false"/>
                <w:sz w:val="22"/>
              </w:rPr>
            </w:pPr>
            <w:r>
              <w:rPr>
                <w:rFonts w:ascii="Calibri;sans-serif" w:hAnsi="Calibri;sans-serif"/>
                <w:b w:val="false"/>
                <w:sz w:val="22"/>
              </w:rPr>
              <w:t>34</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1a_risk_factors">
              <w:r>
                <w:rPr>
                  <w:rStyle w:val="InternetLink"/>
                  <w:rFonts w:ascii="Calibri;sans-serif" w:hAnsi="Calibri;sans-serif"/>
                  <w:b w:val="false"/>
                  <w:sz w:val="22"/>
                  <w:u w:val="single"/>
                </w:rPr>
                <w:t>Item 1A. Risk Factors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rFonts w:ascii="Calibri;sans-serif" w:hAnsi="Calibri;sans-serif"/>
                <w:b w:val="false"/>
                <w:sz w:val="22"/>
              </w:rPr>
            </w:pPr>
            <w:r>
              <w:rPr>
                <w:rFonts w:ascii="Calibri;sans-serif" w:hAnsi="Calibri;sans-serif"/>
                <w:b w:val="false"/>
                <w:sz w:val="22"/>
              </w:rPr>
              <w:t>34</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2_unregistered_sales_of_equity">
              <w:r>
                <w:rPr>
                  <w:rStyle w:val="InternetLink"/>
                  <w:rFonts w:ascii="Calibri;sans-serif" w:hAnsi="Calibri;sans-serif"/>
                  <w:b w:val="false"/>
                  <w:sz w:val="22"/>
                  <w:u w:val="single"/>
                </w:rPr>
                <w:t>Item 2. Unregistered Sales of Equity Securities and Use of Proceeds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rFonts w:ascii="Calibri;sans-serif" w:hAnsi="Calibri;sans-serif"/>
                <w:b w:val="false"/>
                <w:sz w:val="22"/>
              </w:rPr>
            </w:pPr>
            <w:r>
              <w:rPr>
                <w:rFonts w:ascii="Calibri;sans-serif" w:hAnsi="Calibri;sans-serif"/>
                <w:b w:val="false"/>
                <w:sz w:val="22"/>
              </w:rPr>
              <w:t>34</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4_mine_safety_disclosure">
              <w:r>
                <w:rPr>
                  <w:rStyle w:val="InternetLink"/>
                  <w:rFonts w:ascii="Calibri;sans-serif" w:hAnsi="Calibri;sans-serif"/>
                  <w:b w:val="false"/>
                  <w:sz w:val="22"/>
                  <w:u w:val="single"/>
                </w:rPr>
                <w:t>Item 4. Mine Safety Disclosures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rFonts w:ascii="Calibri;sans-serif" w:hAnsi="Calibri;sans-serif"/>
                <w:b w:val="false"/>
                <w:sz w:val="22"/>
              </w:rPr>
            </w:pPr>
            <w:r>
              <w:rPr>
                <w:rFonts w:ascii="Calibri;sans-serif" w:hAnsi="Calibri;sans-serif"/>
                <w:b w:val="false"/>
                <w:sz w:val="22"/>
              </w:rPr>
              <w:t>34</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firstLine="24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240" w:right="0" w:hanging="0"/>
              <w:jc w:val="left"/>
              <w:rPr/>
            </w:pPr>
            <w:hyperlink w:anchor="item_6_exhibits">
              <w:r>
                <w:rPr>
                  <w:rStyle w:val="InternetLink"/>
                  <w:rFonts w:ascii="Calibri;sans-serif" w:hAnsi="Calibri;sans-serif"/>
                  <w:b w:val="false"/>
                  <w:sz w:val="22"/>
                  <w:u w:val="single"/>
                </w:rPr>
                <w:t>Item 6. Exhibits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35</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Calibri;sans-serif" w:hAnsi="Calibri;sans-serif"/>
                  <w:b w:val="false"/>
                  <w:sz w:val="22"/>
                  <w:u w:val="single"/>
                </w:rPr>
                <w:t>Signatures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36</w:t>
            </w:r>
          </w:p>
        </w:tc>
      </w:tr>
      <w:tr>
        <w:trPr/>
        <w:tc>
          <w:tcPr>
            <w:tcW w:w="930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both"/>
        <w:rPr/>
      </w:pPr>
      <w:r>
        <w:rPr/>
        <w:t>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2</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left"/>
        <w:rPr/>
      </w:pPr>
      <w:r>
        <w:rPr/>
        <w:t> </w:t>
      </w:r>
    </w:p>
    <w:p>
      <w:pPr>
        <w:pStyle w:val="TextBody"/>
        <w:spacing w:before="0" w:after="0"/>
        <w:jc w:val="center"/>
        <w:rPr>
          <w:rFonts w:ascii="Calibri;sans-serif" w:hAnsi="Calibri;sans-serif"/>
          <w:b w:val="false"/>
          <w:sz w:val="22"/>
        </w:rPr>
      </w:pPr>
      <w:r>
        <w:rPr>
          <w:rFonts w:ascii="Calibri;sans-serif" w:hAnsi="Calibri;sans-serif"/>
          <w:b w:val="false"/>
          <w:sz w:val="22"/>
        </w:rPr>
        <w:t>PART I. FINANCIAL INFORMATION</w:t>
      </w:r>
    </w:p>
    <w:p>
      <w:pPr>
        <w:pStyle w:val="TextBody"/>
        <w:spacing w:before="0" w:after="0"/>
        <w:jc w:val="both"/>
        <w:rPr>
          <w:rFonts w:ascii="Calibri;sans-serif" w:hAnsi="Calibri;sans-serif"/>
          <w:b w:val="false"/>
          <w:sz w:val="22"/>
        </w:rPr>
      </w:pPr>
      <w:bookmarkStart w:id="2" w:name="item_1_financial_statements"/>
      <w:bookmarkEnd w:id="2"/>
      <w:r>
        <w:rPr>
          <w:rFonts w:ascii="Calibri;sans-serif" w:hAnsi="Calibri;sans-serif"/>
          <w:b w:val="false"/>
          <w:sz w:val="22"/>
        </w:rPr>
        <w:t>Item 1. Financial Statements.</w:t>
      </w:r>
    </w:p>
    <w:p>
      <w:pPr>
        <w:pStyle w:val="TextBody"/>
        <w:spacing w:before="0" w:after="0"/>
        <w:jc w:val="center"/>
        <w:rPr>
          <w:rFonts w:ascii="Calibri;sans-serif" w:hAnsi="Calibri;sans-serif"/>
          <w:b w:val="false"/>
          <w:sz w:val="20"/>
        </w:rPr>
      </w:pPr>
      <w:bookmarkStart w:id="3" w:name="balancesheet"/>
      <w:bookmarkEnd w:id="3"/>
      <w:r>
        <w:rPr>
          <w:rFonts w:ascii="Calibri;sans-serif" w:hAnsi="Calibri;sans-serif"/>
          <w:b w:val="false"/>
          <w:sz w:val="20"/>
        </w:rPr>
        <w:t>MARTIN MARIETTA MATERIALS, INC. AND CONSOLIDATED SUBSIDIARIES</w:t>
      </w:r>
    </w:p>
    <w:p>
      <w:pPr>
        <w:pStyle w:val="TextBody"/>
        <w:spacing w:before="0" w:after="0"/>
        <w:jc w:val="center"/>
        <w:rPr>
          <w:rFonts w:ascii="Calibri" w:hAnsi="Calibri"/>
          <w:sz w:val="22"/>
        </w:rPr>
      </w:pPr>
      <w:r>
        <w:rPr>
          <w:rFonts w:ascii="Calibri;sans-serif" w:hAnsi="Calibri;sans-serif"/>
          <w:b w:val="false"/>
          <w:sz w:val="20"/>
        </w:rPr>
        <w:t>(UNAUDITED) CONSOLIDATED BALANCE SHEETS</w:t>
      </w:r>
      <w:r>
        <w:rPr>
          <w:rFonts w:ascii="Calibri" w:hAnsi="Calibri"/>
          <w:sz w:val="22"/>
        </w:rPr>
        <w:t xml:space="preserve"> </w:t>
      </w:r>
    </w:p>
    <w:p>
      <w:pPr>
        <w:pStyle w:val="TextBody"/>
        <w:spacing w:before="0" w:after="0"/>
        <w:jc w:val="center"/>
        <w:rPr/>
      </w:pPr>
      <w:r>
        <w:rPr/>
        <w:t> </w:t>
      </w:r>
    </w:p>
    <w:tbl>
      <w:tblPr>
        <w:tblW w:w="8773" w:type="dxa"/>
        <w:jc w:val="left"/>
        <w:tblInd w:w="0" w:type="dxa"/>
        <w:tblCellMar>
          <w:top w:w="28" w:type="dxa"/>
          <w:left w:w="28" w:type="dxa"/>
          <w:bottom w:w="28" w:type="dxa"/>
          <w:right w:w="28" w:type="dxa"/>
        </w:tblCellMar>
      </w:tblPr>
      <w:tblGrid>
        <w:gridCol w:w="5371"/>
        <w:gridCol w:w="146"/>
        <w:gridCol w:w="223"/>
        <w:gridCol w:w="839"/>
        <w:gridCol w:w="189"/>
        <w:gridCol w:w="166"/>
        <w:gridCol w:w="269"/>
        <w:gridCol w:w="1013"/>
        <w:gridCol w:w="166"/>
        <w:gridCol w:w="391"/>
      </w:tblGrid>
      <w:tr>
        <w:trPr/>
        <w:tc>
          <w:tcPr>
            <w:tcW w:w="5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March 31,</w:t>
            </w:r>
          </w:p>
        </w:tc>
        <w:tc>
          <w:tcPr>
            <w:tcW w:w="189"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December 31,</w:t>
            </w:r>
          </w:p>
        </w:tc>
        <w:tc>
          <w:tcPr>
            <w:tcW w:w="16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2023</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8"/>
              </w:rPr>
            </w:pPr>
            <w:r>
              <w:rPr>
                <w:rFonts w:ascii="Calibri;sans-serif" w:hAnsi="Calibri;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9" w:type="dxa"/>
            <w:gridSpan w:val="6"/>
            <w:tcBorders/>
            <w:shd w:fill="auto" w:val="clear"/>
            <w:vAlign w:val="center"/>
          </w:tcPr>
          <w:p>
            <w:pPr>
              <w:pStyle w:val="TableContents"/>
              <w:spacing w:before="0" w:after="0"/>
              <w:ind w:left="0" w:right="0" w:hanging="0"/>
              <w:jc w:val="center"/>
              <w:rPr>
                <w:rFonts w:ascii="Calibri;sans-serif" w:hAnsi="Calibri;sans-serif"/>
                <w:b w:val="false"/>
                <w:i/>
                <w:sz w:val="18"/>
              </w:rPr>
            </w:pPr>
            <w:r>
              <w:rPr>
                <w:rFonts w:ascii="Calibri;sans-serif" w:hAnsi="Calibri;sans-serif"/>
                <w:b w:val="false"/>
                <w:i/>
                <w:sz w:val="18"/>
              </w:rPr>
              <w:t>(In Millions, Except Par Value Data)</w:t>
            </w:r>
          </w:p>
        </w:tc>
        <w:tc>
          <w:tcPr>
            <w:tcW w:w="16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sz w:val="18"/>
              </w:rPr>
            </w:pPr>
            <w:r>
              <w:rPr>
                <w:rFonts w:ascii="Calibri;sans-serif" w:hAnsi="Calibri;sans-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229.4</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358.0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0.1</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0.8</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Restricted investments (to satisfy discharged debt and related interest)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702.3</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704.6</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796.7</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785.9</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948.7</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873.7</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Current assets held for sale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60.1</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73.2</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75.4</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80.7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rFonts w:ascii="Calibri;sans-serif" w:hAnsi="Calibri;sans-serif"/>
                <w:b w:val="false"/>
                <w:sz w:val="18"/>
              </w:rPr>
            </w:pPr>
            <w:r>
              <w:rPr>
                <w:rFonts w:ascii="Calibri;sans-serif" w:hAnsi="Calibri;sans-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2,812.7</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2,876.9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10,721.0</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10,661.0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Allowances for depreciation, depletion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(4,441.5</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(4,344.3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Net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6,279.5</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6,316.7</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Goodwill</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3,649.5</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3,649.5</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Other intangibles, net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840.8</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847.8</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Operating lease right-of-use assets, net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382.9</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383.5</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Noncurrent assets held for sale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374.6</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372.5</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550.9</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546.7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rFonts w:ascii="Calibri;sans-serif" w:hAnsi="Calibri;sans-serif"/>
                <w:b w:val="false"/>
                <w:sz w:val="18"/>
              </w:rPr>
            </w:pPr>
            <w:r>
              <w:rPr>
                <w:rFonts w:ascii="Calibri;sans-serif" w:hAnsi="Calibri;sans-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14,890.9</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10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14,993.6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sz w:val="18"/>
              </w:rPr>
            </w:pPr>
            <w:r>
              <w:rPr>
                <w:rFonts w:ascii="Calibri;sans-serif" w:hAnsi="Calibri;sans-serif"/>
                <w:b/>
                <w:sz w:val="18"/>
              </w:rPr>
              <w:t>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302.6</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385.0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Accrued salaries, benefits and payroll taxes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37.9</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71.6</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Accrued other taxes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51.9</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55.4</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Accrued interest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41.2</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42.8</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Current maturities of discharged long-term debt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699.6</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699.1</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53.3</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52.1</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Current liabilities held for sale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4.2</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4.5</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137.3</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135.1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rFonts w:ascii="Calibri;sans-serif" w:hAnsi="Calibri;sans-serif"/>
                <w:b w:val="false"/>
                <w:sz w:val="18"/>
              </w:rPr>
            </w:pPr>
            <w:r>
              <w:rPr>
                <w:rFonts w:ascii="Calibri;sans-serif" w:hAnsi="Calibri;sans-serif"/>
                <w:b w:val="false"/>
                <w:sz w:val="18"/>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1,328.0</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1,445.6</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4,342.0</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4,340.9</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Deferred income taxes, net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921.0</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914.3</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Noncurrent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337.3</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335.9</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Noncurrent liabilities held for sale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21.2</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21.8</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763.9</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762.3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rFonts w:ascii="Calibri;sans-serif" w:hAnsi="Calibri;sans-serif"/>
                <w:b w:val="false"/>
                <w:sz w:val="18"/>
              </w:rPr>
            </w:pPr>
            <w:r>
              <w:rPr>
                <w:rFonts w:ascii="Calibri;sans-serif" w:hAnsi="Calibri;sans-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7,713.4</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7,820.8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Equity:</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 w:hAnsi="Calibri"/>
                <w:sz w:val="22"/>
              </w:rPr>
            </w:pPr>
            <w:r>
              <w:rPr>
                <w:rFonts w:ascii="Calibri;sans-serif" w:hAnsi="Calibri;sans-serif"/>
                <w:b w:val="false"/>
                <w:sz w:val="18"/>
              </w:rPr>
              <w:t>Common stock, par value $0.01</w:t>
            </w:r>
            <w:r>
              <w:rPr>
                <w:rFonts w:ascii="Calibri" w:hAnsi="Calibri"/>
                <w:sz w:val="22"/>
              </w:rPr>
              <w:t> </w:t>
            </w:r>
            <w:r>
              <w:rPr>
                <w:rFonts w:ascii="Calibri;sans-serif" w:hAnsi="Calibri;sans-serif"/>
                <w:b w:val="false"/>
                <w:sz w:val="18"/>
              </w:rPr>
              <w:t>per share (62.0</w:t>
            </w:r>
            <w:r>
              <w:rPr>
                <w:rFonts w:ascii="Calibri" w:hAnsi="Calibri"/>
                <w:sz w:val="22"/>
              </w:rPr>
              <w:t> </w:t>
            </w:r>
            <w:r>
              <w:rPr>
                <w:rFonts w:ascii="Calibri;sans-serif" w:hAnsi="Calibri;sans-serif"/>
                <w:b w:val="false"/>
                <w:sz w:val="18"/>
              </w:rPr>
              <w:t>shares and 62.1</w:t>
            </w:r>
            <w:r>
              <w:rPr>
                <w:rFonts w:ascii="Calibri" w:hAnsi="Calibri"/>
                <w:sz w:val="22"/>
              </w:rPr>
              <w:t> </w:t>
            </w:r>
            <w:r>
              <w:rPr>
                <w:rFonts w:ascii="Calibri;sans-serif" w:hAnsi="Calibri;sans-serif"/>
                <w:b w:val="false"/>
                <w:sz w:val="18"/>
              </w:rPr>
              <w:t xml:space="preserve">shares </w:t>
              <w:br/>
              <w:t>   outstanding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0.6</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0.6</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 w:hAnsi="Calibri"/>
                <w:sz w:val="22"/>
              </w:rPr>
            </w:pPr>
            <w:r>
              <w:rPr>
                <w:rFonts w:ascii="Calibri;sans-serif" w:hAnsi="Calibri;sans-serif"/>
                <w:b w:val="false"/>
                <w:sz w:val="18"/>
              </w:rPr>
              <w:t>Preferred stock, par value $0.01</w:t>
            </w:r>
            <w:r>
              <w:rPr>
                <w:rFonts w:ascii="Calibri" w:hAnsi="Calibri"/>
                <w:sz w:val="22"/>
              </w:rPr>
              <w:t> </w:t>
            </w:r>
            <w:r>
              <w:rPr>
                <w:rFonts w:ascii="Calibri;sans-serif" w:hAnsi="Calibri;sans-serif"/>
                <w:b w:val="false"/>
                <w:sz w:val="18"/>
              </w:rPr>
              <w:t>per share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3,487.2</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3,489.0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(37.4</w:t>
            </w:r>
          </w:p>
        </w:tc>
        <w:tc>
          <w:tcPr>
            <w:tcW w:w="189"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(38.5</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3,724.6</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3,719.4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rFonts w:ascii="Calibri;sans-serif" w:hAnsi="Calibri;sans-serif"/>
                <w:b w:val="false"/>
                <w:sz w:val="18"/>
              </w:rPr>
            </w:pPr>
            <w:r>
              <w:rPr>
                <w:rFonts w:ascii="Calibri;sans-serif" w:hAnsi="Calibri;sans-serif"/>
                <w:b w:val="false"/>
                <w:sz w:val="18"/>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7,175.0</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7,170.5</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2.5</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rFonts w:ascii="Calibri;sans-serif" w:hAnsi="Calibri;sans-serif"/>
                <w:b w:val="false"/>
                <w:sz w:val="18"/>
              </w:rPr>
            </w:pPr>
            <w:r>
              <w:rPr>
                <w:rFonts w:ascii="Calibri;sans-serif" w:hAnsi="Calibri;sans-serif"/>
                <w:b w:val="false"/>
                <w:sz w:val="18"/>
              </w:rPr>
              <w:t>Total Equity</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7,177.5</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7,172.8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71" w:type="dxa"/>
            <w:tcBorders/>
            <w:shd w:fill="auto" w:val="clear"/>
            <w:vAlign w:val="center"/>
          </w:tcPr>
          <w:p>
            <w:pPr>
              <w:pStyle w:val="TableContents"/>
              <w:spacing w:before="0" w:after="0"/>
              <w:ind w:left="200" w:right="0" w:hanging="0"/>
              <w:jc w:val="left"/>
              <w:rPr>
                <w:rFonts w:ascii="Calibri;sans-serif" w:hAnsi="Calibri;sans-serif"/>
                <w:b w:val="false"/>
                <w:sz w:val="18"/>
              </w:rPr>
            </w:pPr>
            <w:r>
              <w:rPr>
                <w:rFonts w:ascii="Calibri;sans-serif" w:hAnsi="Calibri;sans-serif"/>
                <w:b w:val="false"/>
                <w:sz w:val="18"/>
              </w:rPr>
              <w:t>Total 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14,890.9</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10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8"/>
              </w:rPr>
            </w:pPr>
            <w:r>
              <w:rPr>
                <w:rFonts w:ascii="Calibri;sans-serif" w:hAnsi="Calibri;sans-serif"/>
                <w:b w:val="false"/>
                <w:sz w:val="18"/>
              </w:rPr>
              <w:t>14,993.6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Calibri" w:hAnsi="Calibri"/>
          <w:sz w:val="22"/>
        </w:rPr>
      </w:pPr>
      <w:r>
        <w:rPr>
          <w:rFonts w:ascii="Calibri;sans-serif" w:hAnsi="Calibri;sans-serif"/>
          <w:b w:val="false"/>
          <w:i/>
          <w:sz w:val="22"/>
        </w:rPr>
        <w:t>See accompanying notes to the consolidated financial statements.</w:t>
      </w:r>
      <w:r>
        <w:rPr>
          <w:rFonts w:ascii="Calibri" w:hAnsi="Calibri"/>
          <w:sz w:val="22"/>
        </w:rPr>
        <w:t xml:space="preserve">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3</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MARTIN MARIETTA MATERIALS, INC. AND CONSOLIDATED SUBSIDIARIES</w:t>
      </w:r>
    </w:p>
    <w:p>
      <w:pPr>
        <w:pStyle w:val="TextBody"/>
        <w:spacing w:before="0" w:after="0"/>
        <w:jc w:val="center"/>
        <w:rPr>
          <w:rFonts w:ascii="Calibri;sans-serif" w:hAnsi="Calibri;sans-serif"/>
          <w:b w:val="false"/>
          <w:sz w:val="20"/>
        </w:rPr>
      </w:pPr>
      <w:bookmarkStart w:id="4" w:name="earningsstmt"/>
      <w:bookmarkEnd w:id="4"/>
      <w:r>
        <w:rPr>
          <w:rFonts w:ascii="Calibri;sans-serif" w:hAnsi="Calibri;sans-serif"/>
          <w:b w:val="false"/>
          <w:sz w:val="20"/>
        </w:rPr>
        <w:t>(UNAUDITED) CONSOLIDATED STATEMENTS OF EARNINGS AND COMPREHENSIVE EARNINGS</w:t>
      </w:r>
    </w:p>
    <w:p>
      <w:pPr>
        <w:pStyle w:val="TextBody"/>
        <w:spacing w:before="0" w:after="0"/>
        <w:jc w:val="left"/>
        <w:rPr/>
      </w:pPr>
      <w:r>
        <w:rPr/>
        <w:t> </w:t>
      </w:r>
    </w:p>
    <w:tbl>
      <w:tblPr>
        <w:tblW w:w="8811" w:type="dxa"/>
        <w:jc w:val="left"/>
        <w:tblInd w:w="0" w:type="dxa"/>
        <w:tblCellMar>
          <w:top w:w="28" w:type="dxa"/>
          <w:left w:w="28" w:type="dxa"/>
          <w:bottom w:w="28" w:type="dxa"/>
          <w:right w:w="28" w:type="dxa"/>
        </w:tblCellMar>
      </w:tblPr>
      <w:tblGrid>
        <w:gridCol w:w="5176"/>
        <w:gridCol w:w="146"/>
        <w:gridCol w:w="279"/>
        <w:gridCol w:w="954"/>
        <w:gridCol w:w="219"/>
        <w:gridCol w:w="193"/>
        <w:gridCol w:w="279"/>
        <w:gridCol w:w="954"/>
        <w:gridCol w:w="611"/>
      </w:tblGrid>
      <w:tr>
        <w:trPr/>
        <w:tc>
          <w:tcPr>
            <w:tcW w:w="5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8" w:type="dxa"/>
            <w:gridSpan w:val="6"/>
            <w:tcBorders/>
            <w:shd w:fill="auto" w:val="clear"/>
            <w:vAlign w:val="center"/>
          </w:tcPr>
          <w:p>
            <w:pPr>
              <w:pStyle w:val="TableContents"/>
              <w:spacing w:before="0" w:after="0"/>
              <w:ind w:left="0" w:right="0" w:hanging="0"/>
              <w:jc w:val="center"/>
              <w:rPr>
                <w:rFonts w:ascii="Calibri;sans-serif" w:hAnsi="Calibri;sans-serif"/>
                <w:b w:val="false"/>
                <w:sz w:val="19"/>
              </w:rPr>
            </w:pPr>
            <w:r>
              <w:rPr>
                <w:rFonts w:ascii="Calibri;sans-serif" w:hAnsi="Calibri;sans-serif"/>
                <w:b w:val="false"/>
                <w:sz w:val="19"/>
              </w:rPr>
              <w:t>Three Months Ended</w:t>
            </w:r>
          </w:p>
        </w:tc>
        <w:tc>
          <w:tcPr>
            <w:tcW w:w="611" w:type="dxa"/>
            <w:tcBorders/>
            <w:shd w:fill="auto" w:val="clear"/>
            <w:vAlign w:val="center"/>
          </w:tcPr>
          <w:p>
            <w:pPr>
              <w:pStyle w:val="TableContents"/>
              <w:spacing w:before="0" w:after="0"/>
              <w:ind w:left="0" w:right="0" w:hanging="0"/>
              <w:jc w:val="center"/>
              <w:rPr/>
            </w:pPr>
            <w:r>
              <w:rPr/>
              <w:t> </w:t>
            </w:r>
          </w:p>
        </w:tc>
      </w:tr>
      <w:tr>
        <w:trPr/>
        <w:tc>
          <w:tcPr>
            <w:tcW w:w="5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9"/>
              </w:rPr>
            </w:pPr>
            <w:r>
              <w:rPr>
                <w:rFonts w:ascii="Calibri;sans-serif" w:hAnsi="Calibri;sans-serif"/>
                <w:b w:val="false"/>
                <w:sz w:val="19"/>
              </w:rP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9"/>
              </w:rPr>
            </w:pPr>
            <w:r>
              <w:rPr>
                <w:rFonts w:ascii="Calibri;sans-serif" w:hAnsi="Calibri;sans-serif"/>
                <w:b w:val="false"/>
                <w:sz w:val="19"/>
              </w:rPr>
              <w:t>2023</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9"/>
              </w:rPr>
            </w:pPr>
            <w:r>
              <w:rPr>
                <w:rFonts w:ascii="Calibri;sans-serif" w:hAnsi="Calibri;sans-serif"/>
                <w:b w:val="false"/>
                <w:sz w:val="19"/>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8" w:type="dxa"/>
            <w:gridSpan w:val="6"/>
            <w:tcBorders/>
            <w:shd w:fill="auto" w:val="clear"/>
            <w:vAlign w:val="center"/>
          </w:tcPr>
          <w:p>
            <w:pPr>
              <w:pStyle w:val="TableContents"/>
              <w:spacing w:before="0" w:after="0"/>
              <w:ind w:left="0" w:right="0" w:hanging="0"/>
              <w:jc w:val="center"/>
              <w:rPr>
                <w:rFonts w:ascii="Calibri;sans-serif" w:hAnsi="Calibri;sans-serif"/>
                <w:b w:val="false"/>
                <w:i/>
                <w:sz w:val="19"/>
              </w:rPr>
            </w:pPr>
            <w:r>
              <w:rPr>
                <w:rFonts w:ascii="Calibri;sans-serif" w:hAnsi="Calibri;sans-serif"/>
                <w:b w:val="false"/>
                <w:i/>
                <w:sz w:val="19"/>
              </w:rPr>
              <w:t>(In Millions, Except Per Share Data)</w:t>
            </w:r>
          </w:p>
        </w:tc>
        <w:tc>
          <w:tcPr>
            <w:tcW w:w="611" w:type="dxa"/>
            <w:tcBorders/>
            <w:shd w:fill="auto" w:val="clear"/>
            <w:vAlign w:val="center"/>
          </w:tcPr>
          <w:p>
            <w:pPr>
              <w:pStyle w:val="TableContents"/>
              <w:spacing w:before="0" w:after="0"/>
              <w:ind w:left="0" w:right="0" w:hanging="0"/>
              <w:jc w:val="center"/>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Total Revenues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1,354.1</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1,230.8</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Total Cost of Revenues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1,051.3</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1,074.7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17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Gross Profit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302.8</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156.1</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Selling,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104.3</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97.1</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Acquisition and integration expenses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0.8</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1.4</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Other operating expenses (income), net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1.6</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(2.3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100" w:right="0" w:hanging="0"/>
              <w:jc w:val="left"/>
              <w:rPr>
                <w:rFonts w:ascii="Calibri;sans-serif" w:hAnsi="Calibri;sans-serif"/>
                <w:b w:val="false"/>
                <w:sz w:val="19"/>
              </w:rPr>
            </w:pPr>
            <w:r>
              <w:rPr>
                <w:rFonts w:ascii="Calibri;sans-serif" w:hAnsi="Calibri;sans-serif"/>
                <w:b w:val="false"/>
                <w:sz w:val="19"/>
              </w:rPr>
              <w:t>Earnings from Operations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196.1</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59.9</w:t>
            </w:r>
          </w:p>
        </w:tc>
        <w:tc>
          <w:tcPr>
            <w:tcW w:w="611" w:type="dxa"/>
            <w:tcBorders/>
            <w:shd w:fill="auto" w:val="clear"/>
            <w:vAlign w:val="center"/>
          </w:tcPr>
          <w:p>
            <w:pPr>
              <w:pStyle w:val="TableContents"/>
              <w:spacing w:before="0" w:after="0"/>
              <w:ind w:left="0" w:right="0" w:firstLine="200"/>
              <w:jc w:val="left"/>
              <w:rPr/>
            </w:pPr>
            <w:r>
              <w:rPr/>
              <w:t> </w:t>
            </w:r>
          </w:p>
        </w:tc>
      </w:tr>
      <w:tr>
        <w:trPr/>
        <w:tc>
          <w:tcPr>
            <w:tcW w:w="517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42.2</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40.5</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Other nonoperating income, net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(16.1</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(10.8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100" w:right="0" w:hanging="0"/>
              <w:jc w:val="left"/>
              <w:rPr>
                <w:rFonts w:ascii="Calibri;sans-serif" w:hAnsi="Calibri;sans-serif"/>
                <w:b w:val="false"/>
                <w:sz w:val="19"/>
              </w:rPr>
            </w:pPr>
            <w:r>
              <w:rPr>
                <w:rFonts w:ascii="Calibri;sans-serif" w:hAnsi="Calibri;sans-serif"/>
                <w:b w:val="false"/>
                <w:sz w:val="19"/>
              </w:rPr>
              <w:t>Earnings from continuing operations before income tax expense</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170.0</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30.2</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35.5</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5.8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176" w:type="dxa"/>
            <w:tcBorders/>
            <w:shd w:fill="auto" w:val="clear"/>
            <w:vAlign w:val="center"/>
          </w:tcPr>
          <w:p>
            <w:pPr>
              <w:pStyle w:val="TableContents"/>
              <w:spacing w:before="0" w:after="0"/>
              <w:ind w:left="100" w:right="0" w:hanging="0"/>
              <w:jc w:val="left"/>
              <w:rPr>
                <w:rFonts w:ascii="Calibri;sans-serif" w:hAnsi="Calibri;sans-serif"/>
                <w:b w:val="false"/>
                <w:sz w:val="19"/>
              </w:rPr>
            </w:pPr>
            <w:r>
              <w:rPr>
                <w:rFonts w:ascii="Calibri;sans-serif" w:hAnsi="Calibri;sans-serif"/>
                <w:b w:val="false"/>
                <w:sz w:val="19"/>
              </w:rPr>
              <w:t>Earnings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134.5</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24.4</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Loss from discontinued operations, net of income tax benefit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(12.9</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Consolidated net earnings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121.6</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21.3</w:t>
            </w:r>
          </w:p>
        </w:tc>
        <w:tc>
          <w:tcPr>
            <w:tcW w:w="61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Less: Net earnings (loss)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0.2</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Net Earnings Attributable to Martin Marietta</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121.4</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21.4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Consolidated Comprehensive Earnings (Loss):</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100"/>
              <w:jc w:val="right"/>
              <w:rPr/>
            </w:pPr>
            <w:r>
              <w:rPr/>
              <w:t> </w:t>
            </w:r>
          </w:p>
        </w:tc>
      </w:tr>
      <w:tr>
        <w:trPr/>
        <w:tc>
          <w:tcPr>
            <w:tcW w:w="5176" w:type="dxa"/>
            <w:tcBorders/>
            <w:shd w:fill="auto" w:val="clear"/>
            <w:vAlign w:val="center"/>
          </w:tcPr>
          <w:p>
            <w:pPr>
              <w:pStyle w:val="TableContents"/>
              <w:spacing w:before="0" w:after="0"/>
              <w:ind w:left="100" w:right="0" w:hanging="0"/>
              <w:jc w:val="left"/>
              <w:rPr>
                <w:rFonts w:ascii="Calibri;sans-serif" w:hAnsi="Calibri;sans-serif"/>
                <w:b w:val="false"/>
                <w:sz w:val="19"/>
              </w:rPr>
            </w:pPr>
            <w:r>
              <w:rPr>
                <w:rFonts w:ascii="Calibri;sans-serif" w:hAnsi="Calibri;sans-serif"/>
                <w:b w:val="false"/>
                <w:sz w:val="19"/>
              </w:rPr>
              <w:t>Earnings (Loss) attributable to Martin Marietta</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122.5</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(10.2</w:t>
            </w:r>
          </w:p>
        </w:tc>
        <w:tc>
          <w:tcPr>
            <w:tcW w:w="611" w:type="dxa"/>
            <w:tcBorders/>
            <w:shd w:fill="auto" w:val="clear"/>
            <w:vAlign w:val="center"/>
          </w:tcPr>
          <w:p>
            <w:pPr>
              <w:pStyle w:val="TableContents"/>
              <w:spacing w:before="0" w:after="0"/>
              <w:ind w:left="0" w:right="0" w:firstLine="10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100" w:right="0" w:hanging="0"/>
              <w:jc w:val="left"/>
              <w:rPr>
                <w:rFonts w:ascii="Calibri;sans-serif" w:hAnsi="Calibri;sans-serif"/>
                <w:b w:val="false"/>
                <w:sz w:val="19"/>
              </w:rPr>
            </w:pPr>
            <w:r>
              <w:rPr>
                <w:rFonts w:ascii="Calibri;sans-serif" w:hAnsi="Calibri;sans-serif"/>
                <w:b w:val="false"/>
                <w:sz w:val="19"/>
              </w:rPr>
              <w:t>Earnings (Loss)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0.2</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122.7</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(10.3</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Net Earnings (Loss) Attributable to Martin Marietta</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100"/>
              <w:jc w:val="right"/>
              <w:rPr/>
            </w:pPr>
            <w:r>
              <w:rPr/>
              <w:t> </w:t>
            </w:r>
          </w:p>
        </w:tc>
      </w:tr>
      <w:tr>
        <w:trPr/>
        <w:tc>
          <w:tcPr>
            <w:tcW w:w="5176" w:type="dxa"/>
            <w:tcBorders/>
            <w:shd w:fill="auto" w:val="clear"/>
            <w:vAlign w:val="center"/>
          </w:tcPr>
          <w:p>
            <w:pPr>
              <w:pStyle w:val="TableContents"/>
              <w:spacing w:before="0" w:after="0"/>
              <w:ind w:left="100" w:right="0" w:hanging="0"/>
              <w:jc w:val="left"/>
              <w:rPr>
                <w:rFonts w:ascii="Calibri;sans-serif" w:hAnsi="Calibri;sans-serif"/>
                <w:b w:val="false"/>
                <w:sz w:val="19"/>
              </w:rPr>
            </w:pPr>
            <w:r>
              <w:rPr>
                <w:rFonts w:ascii="Calibri;sans-serif" w:hAnsi="Calibri;sans-serif"/>
                <w:b w:val="false"/>
                <w:sz w:val="19"/>
              </w:rPr>
              <w:t>Per Common Share:</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300"/>
              <w:jc w:val="right"/>
              <w:rPr/>
            </w:pPr>
            <w:r>
              <w:rPr/>
              <w:t> </w:t>
            </w:r>
          </w:p>
        </w:tc>
      </w:tr>
      <w:tr>
        <w:trPr/>
        <w:tc>
          <w:tcPr>
            <w:tcW w:w="5176" w:type="dxa"/>
            <w:tcBorders/>
            <w:shd w:fill="auto" w:val="clear"/>
            <w:vAlign w:val="center"/>
          </w:tcPr>
          <w:p>
            <w:pPr>
              <w:pStyle w:val="TableContents"/>
              <w:spacing w:before="0" w:after="0"/>
              <w:ind w:left="300" w:right="0" w:hanging="0"/>
              <w:jc w:val="left"/>
              <w:rPr>
                <w:rFonts w:ascii="Calibri;sans-serif" w:hAnsi="Calibri;sans-serif"/>
                <w:b w:val="false"/>
                <w:sz w:val="19"/>
              </w:rPr>
            </w:pPr>
            <w:r>
              <w:rPr>
                <w:rFonts w:ascii="Calibri;sans-serif" w:hAnsi="Calibri;sans-serif"/>
                <w:b w:val="false"/>
                <w:sz w:val="19"/>
              </w:rPr>
              <w:t>Basic from continuing operations attributable to common</w:t>
              <w:br/>
              <w:t>   shareholders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2.17</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0.39</w:t>
            </w:r>
          </w:p>
        </w:tc>
        <w:tc>
          <w:tcPr>
            <w:tcW w:w="611" w:type="dxa"/>
            <w:tcBorders/>
            <w:shd w:fill="auto" w:val="clear"/>
            <w:vAlign w:val="center"/>
          </w:tcPr>
          <w:p>
            <w:pPr>
              <w:pStyle w:val="TableContents"/>
              <w:spacing w:before="0" w:after="0"/>
              <w:ind w:left="0" w:right="0" w:firstLine="300"/>
              <w:jc w:val="left"/>
              <w:rPr/>
            </w:pPr>
            <w:r>
              <w:rPr/>
              <w:t> </w:t>
            </w:r>
          </w:p>
        </w:tc>
      </w:tr>
      <w:tr>
        <w:trPr/>
        <w:tc>
          <w:tcPr>
            <w:tcW w:w="5176" w:type="dxa"/>
            <w:tcBorders/>
            <w:shd w:fill="auto" w:val="clear"/>
            <w:vAlign w:val="center"/>
          </w:tcPr>
          <w:p>
            <w:pPr>
              <w:pStyle w:val="TableContents"/>
              <w:spacing w:before="0" w:after="0"/>
              <w:ind w:left="300" w:right="0" w:hanging="0"/>
              <w:jc w:val="left"/>
              <w:rPr>
                <w:rFonts w:ascii="Calibri;sans-serif" w:hAnsi="Calibri;sans-serif"/>
                <w:b w:val="false"/>
                <w:sz w:val="19"/>
              </w:rPr>
            </w:pPr>
            <w:r>
              <w:rPr>
                <w:rFonts w:ascii="Calibri;sans-serif" w:hAnsi="Calibri;sans-serif"/>
                <w:b w:val="false"/>
                <w:sz w:val="19"/>
              </w:rPr>
              <w:t>Basic from discontinued operations attributable to</w:t>
              <w:br/>
              <w:t>   common shareholders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(0.21</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(0.05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1.96</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0.34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76"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300"/>
              <w:jc w:val="right"/>
              <w:rPr/>
            </w:pPr>
            <w:r>
              <w:rPr/>
              <w:t> </w:t>
            </w:r>
          </w:p>
        </w:tc>
      </w:tr>
      <w:tr>
        <w:trPr/>
        <w:tc>
          <w:tcPr>
            <w:tcW w:w="5176" w:type="dxa"/>
            <w:tcBorders/>
            <w:shd w:fill="auto" w:val="clear"/>
            <w:vAlign w:val="center"/>
          </w:tcPr>
          <w:p>
            <w:pPr>
              <w:pStyle w:val="TableContents"/>
              <w:spacing w:before="0" w:after="0"/>
              <w:ind w:left="300" w:right="0" w:hanging="0"/>
              <w:jc w:val="left"/>
              <w:rPr>
                <w:rFonts w:ascii="Calibri;sans-serif" w:hAnsi="Calibri;sans-serif"/>
                <w:b w:val="false"/>
                <w:sz w:val="19"/>
              </w:rPr>
            </w:pPr>
            <w:r>
              <w:rPr>
                <w:rFonts w:ascii="Calibri;sans-serif" w:hAnsi="Calibri;sans-serif"/>
                <w:b w:val="false"/>
                <w:sz w:val="19"/>
              </w:rPr>
              <w:t>Diluted from continuing operations attributable to common</w:t>
              <w:br/>
              <w:t>   shareholders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2.16</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shd w:fill="auto" w:val="cle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0.39</w:t>
            </w:r>
          </w:p>
        </w:tc>
        <w:tc>
          <w:tcPr>
            <w:tcW w:w="611" w:type="dxa"/>
            <w:tcBorders/>
            <w:shd w:fill="auto" w:val="clear"/>
            <w:vAlign w:val="center"/>
          </w:tcPr>
          <w:p>
            <w:pPr>
              <w:pStyle w:val="TableContents"/>
              <w:spacing w:before="0" w:after="0"/>
              <w:ind w:left="0" w:right="0" w:firstLine="300"/>
              <w:jc w:val="left"/>
              <w:rPr/>
            </w:pPr>
            <w:r>
              <w:rPr/>
              <w:t> </w:t>
            </w:r>
          </w:p>
        </w:tc>
      </w:tr>
      <w:tr>
        <w:trPr/>
        <w:tc>
          <w:tcPr>
            <w:tcW w:w="5176" w:type="dxa"/>
            <w:tcBorders/>
            <w:shd w:fill="auto" w:val="clear"/>
            <w:vAlign w:val="center"/>
          </w:tcPr>
          <w:p>
            <w:pPr>
              <w:pStyle w:val="TableContents"/>
              <w:spacing w:before="0" w:after="0"/>
              <w:ind w:left="300" w:right="0" w:hanging="0"/>
              <w:jc w:val="left"/>
              <w:rPr>
                <w:rFonts w:ascii="Calibri;sans-serif" w:hAnsi="Calibri;sans-serif"/>
                <w:b w:val="false"/>
                <w:sz w:val="19"/>
              </w:rPr>
            </w:pPr>
            <w:r>
              <w:rPr>
                <w:rFonts w:ascii="Calibri;sans-serif" w:hAnsi="Calibri;sans-serif"/>
                <w:b w:val="false"/>
                <w:sz w:val="19"/>
              </w:rPr>
              <w:t>Diluted from discontinued operations attributable to</w:t>
              <w:br/>
              <w:t>   common shareholders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(0.21</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(0.05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Calibri;sans-serif" w:hAnsi="Calibri;sans-serif"/>
                <w:b w:val="false"/>
                <w:sz w:val="19"/>
              </w:rPr>
            </w:pPr>
            <w:r>
              <w:rPr>
                <w:rFonts w:ascii="Calibri;sans-serif" w:hAnsi="Calibri;sans-serif"/>
                <w:b w:val="false"/>
                <w:sz w:val="19"/>
              </w:rPr>
              <w:t>)</w:t>
            </w:r>
          </w:p>
        </w:tc>
      </w:tr>
      <w:tr>
        <w:trPr/>
        <w:tc>
          <w:tcPr>
            <w:tcW w:w="5176"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1.95</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0.34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76"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Calibri;sans-serif" w:hAnsi="Calibri;sans-serif"/>
                <w:b w:val="false"/>
                <w:sz w:val="19"/>
              </w:rPr>
            </w:pPr>
            <w:r>
              <w:rPr>
                <w:rFonts w:ascii="Calibri;sans-serif" w:hAnsi="Calibri;sans-serif"/>
                <w:b w:val="false"/>
                <w:sz w:val="19"/>
              </w:rPr>
              <w:t>Weighted-Average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176" w:type="dxa"/>
            <w:tcBorders/>
            <w:shd w:fill="auto" w:val="clear"/>
            <w:vAlign w:val="center"/>
          </w:tcPr>
          <w:p>
            <w:pPr>
              <w:pStyle w:val="TableContents"/>
              <w:spacing w:before="0" w:after="0"/>
              <w:ind w:left="200" w:right="0" w:hanging="0"/>
              <w:jc w:val="left"/>
              <w:rPr>
                <w:rFonts w:ascii="Calibri;sans-serif" w:hAnsi="Calibri;sans-serif"/>
                <w:b w:val="false"/>
                <w:sz w:val="19"/>
              </w:rPr>
            </w:pPr>
            <w:r>
              <w:rPr>
                <w:rFonts w:ascii="Calibri;sans-serif" w:hAnsi="Calibri;sans-serif"/>
                <w:b w:val="false"/>
                <w:sz w:val="19"/>
              </w:rPr>
              <w:t>Basic</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62.1</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62.4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76" w:type="dxa"/>
            <w:tcBorders/>
            <w:shd w:fill="auto" w:val="clear"/>
            <w:vAlign w:val="center"/>
          </w:tcPr>
          <w:p>
            <w:pPr>
              <w:pStyle w:val="TableContents"/>
              <w:spacing w:before="0" w:after="0"/>
              <w:ind w:left="200" w:right="0" w:hanging="0"/>
              <w:jc w:val="left"/>
              <w:rPr>
                <w:rFonts w:ascii="Calibri;sans-serif" w:hAnsi="Calibri;sans-serif"/>
                <w:b w:val="false"/>
                <w:sz w:val="19"/>
              </w:rPr>
            </w:pPr>
            <w:r>
              <w:rPr>
                <w:rFonts w:ascii="Calibri;sans-serif" w:hAnsi="Calibri;sans-serif"/>
                <w:b w:val="false"/>
                <w:sz w:val="19"/>
              </w:rPr>
              <w:t>Diluted</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62.2</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9"/>
              </w:rPr>
            </w:pPr>
            <w:r>
              <w:rPr>
                <w:rFonts w:ascii="Calibri;sans-serif" w:hAnsi="Calibri;sans-serif"/>
                <w:b w:val="false"/>
                <w:sz w:val="19"/>
              </w:rPr>
              <w:t>62.6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Calibri" w:hAnsi="Calibri"/>
          <w:sz w:val="22"/>
        </w:rPr>
      </w:pPr>
      <w:r>
        <w:rPr>
          <w:rFonts w:ascii="Calibri;sans-serif" w:hAnsi="Calibri;sans-serif"/>
          <w:b w:val="false"/>
          <w:i/>
          <w:sz w:val="22"/>
        </w:rPr>
        <w:t>See accompanying notes to the consolidated financial statements.</w:t>
      </w:r>
      <w:r>
        <w:rPr>
          <w:rFonts w:ascii="Calibri" w:hAnsi="Calibri"/>
          <w:sz w:val="22"/>
        </w:rPr>
        <w:t xml:space="preserve">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4</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left"/>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MARTIN MARIETTA MATERIALS, INC. AND CONSOLIDATED SUBSIDIARIES</w:t>
      </w:r>
    </w:p>
    <w:p>
      <w:pPr>
        <w:pStyle w:val="TextBody"/>
        <w:spacing w:before="0" w:after="0"/>
        <w:jc w:val="center"/>
        <w:rPr>
          <w:rFonts w:ascii="Calibri;sans-serif" w:hAnsi="Calibri;sans-serif"/>
          <w:b w:val="false"/>
          <w:sz w:val="20"/>
        </w:rPr>
      </w:pPr>
      <w:bookmarkStart w:id="5" w:name="cashflow"/>
      <w:bookmarkEnd w:id="5"/>
      <w:r>
        <w:rPr>
          <w:rFonts w:ascii="Calibri;sans-serif" w:hAnsi="Calibri;sans-serif"/>
          <w:b w:val="false"/>
          <w:sz w:val="20"/>
        </w:rPr>
        <w:t>(UNAUDITED) CONSOLIDATED STATEMENTS OF CASH FLOWS</w:t>
      </w:r>
    </w:p>
    <w:p>
      <w:pPr>
        <w:pStyle w:val="TextBody"/>
        <w:spacing w:before="0" w:after="0"/>
        <w:jc w:val="center"/>
        <w:rPr/>
      </w:pPr>
      <w:r>
        <w:rPr/>
        <w:t> </w:t>
      </w:r>
    </w:p>
    <w:p>
      <w:pPr>
        <w:pStyle w:val="TextBody"/>
        <w:spacing w:before="0" w:after="0"/>
        <w:jc w:val="left"/>
        <w:rPr/>
      </w:pPr>
      <w:r>
        <w:rPr/>
        <w:t> </w:t>
      </w:r>
    </w:p>
    <w:tbl>
      <w:tblPr>
        <w:tblW w:w="7899" w:type="dxa"/>
        <w:jc w:val="left"/>
        <w:tblInd w:w="0" w:type="dxa"/>
        <w:tblCellMar>
          <w:top w:w="28" w:type="dxa"/>
          <w:left w:w="28" w:type="dxa"/>
          <w:bottom w:w="28" w:type="dxa"/>
          <w:right w:w="28" w:type="dxa"/>
        </w:tblCellMar>
      </w:tblPr>
      <w:tblGrid>
        <w:gridCol w:w="5146"/>
        <w:gridCol w:w="146"/>
        <w:gridCol w:w="211"/>
        <w:gridCol w:w="631"/>
        <w:gridCol w:w="166"/>
        <w:gridCol w:w="146"/>
        <w:gridCol w:w="211"/>
        <w:gridCol w:w="631"/>
        <w:gridCol w:w="611"/>
      </w:tblGrid>
      <w:tr>
        <w:trPr/>
        <w:tc>
          <w:tcPr>
            <w:tcW w:w="5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Three Months Ended</w:t>
            </w:r>
          </w:p>
        </w:tc>
        <w:tc>
          <w:tcPr>
            <w:tcW w:w="611" w:type="dxa"/>
            <w:tcBorders/>
            <w:shd w:fill="auto" w:val="clear"/>
            <w:vAlign w:val="center"/>
          </w:tcPr>
          <w:p>
            <w:pPr>
              <w:pStyle w:val="TableContents"/>
              <w:spacing w:before="0" w:after="0"/>
              <w:ind w:left="0" w:right="0" w:hanging="0"/>
              <w:jc w:val="center"/>
              <w:rPr/>
            </w:pPr>
            <w:r>
              <w:rPr/>
              <w:t> </w:t>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Calibri;sans-serif" w:hAnsi="Calibri;sans-serif"/>
                <w:b w:val="false"/>
                <w:i/>
                <w:sz w:val="20"/>
              </w:rPr>
            </w:pPr>
            <w:r>
              <w:rPr>
                <w:rFonts w:ascii="Calibri;sans-serif" w:hAnsi="Calibri;sans-serif"/>
                <w:b w:val="false"/>
                <w:i/>
                <w:sz w:val="20"/>
              </w:rPr>
              <w:t>(Dollars in Millions)</w:t>
            </w:r>
          </w:p>
        </w:tc>
        <w:tc>
          <w:tcPr>
            <w:tcW w:w="611" w:type="dxa"/>
            <w:tcBorders/>
            <w:shd w:fill="auto" w:val="clear"/>
            <w:vAlign w:val="center"/>
          </w:tcPr>
          <w:p>
            <w:pPr>
              <w:pStyle w:val="TableContents"/>
              <w:spacing w:before="0" w:after="0"/>
              <w:ind w:left="0" w:right="0" w:hanging="0"/>
              <w:jc w:val="center"/>
              <w:rPr/>
            </w:pPr>
            <w:r>
              <w:rPr/>
              <w:t> </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Consolidated net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21.3</w:t>
            </w:r>
          </w:p>
        </w:tc>
        <w:tc>
          <w:tcPr>
            <w:tcW w:w="611" w:type="dxa"/>
            <w:tcBorders/>
            <w:shd w:fill="auto" w:val="clear"/>
            <w:vAlign w:val="center"/>
          </w:tcPr>
          <w:p>
            <w:pPr>
              <w:pStyle w:val="TableContents"/>
              <w:spacing w:before="0" w:after="0"/>
              <w:ind w:left="0" w:right="0" w:hanging="0"/>
              <w:jc w:val="left"/>
              <w:rPr/>
            </w:pPr>
            <w:r>
              <w:rPr/>
              <w:t> </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Adjustments to reconcile consolidated net earnings to net cash</w:t>
              <w:br/>
              <w:t>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Depreciation, depletion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128.2</w:t>
            </w:r>
          </w:p>
        </w:tc>
        <w:tc>
          <w:tcPr>
            <w:tcW w:w="611" w:type="dxa"/>
            <w:tcBorders/>
            <w:shd w:fill="auto" w:val="clear"/>
            <w:vAlign w:val="center"/>
          </w:tcPr>
          <w:p>
            <w:pPr>
              <w:pStyle w:val="TableContents"/>
              <w:spacing w:before="0" w:after="0"/>
              <w:ind w:left="0" w:right="0" w:firstLine="200"/>
              <w:jc w:val="lef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12.0</w:t>
            </w:r>
          </w:p>
        </w:tc>
        <w:tc>
          <w:tcPr>
            <w:tcW w:w="611" w:type="dxa"/>
            <w:tcBorders/>
            <w:shd w:fill="auto" w:val="clear"/>
            <w:vAlign w:val="center"/>
          </w:tcPr>
          <w:p>
            <w:pPr>
              <w:pStyle w:val="TableContents"/>
              <w:spacing w:before="0" w:after="0"/>
              <w:ind w:left="0" w:right="0" w:firstLine="200"/>
              <w:jc w:val="lef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Gains on sales of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(2.9</w:t>
            </w:r>
          </w:p>
        </w:tc>
        <w:tc>
          <w:tcPr>
            <w:tcW w:w="611" w:type="dxa"/>
            <w:tcBorders/>
            <w:shd w:fill="auto" w:val="clear"/>
            <w:vAlign w:val="center"/>
          </w:tcPr>
          <w:p>
            <w:pPr>
              <w:pStyle w:val="TableContents"/>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Deferred income taxes,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5.2</w:t>
            </w:r>
          </w:p>
        </w:tc>
        <w:tc>
          <w:tcPr>
            <w:tcW w:w="611" w:type="dxa"/>
            <w:tcBorders/>
            <w:shd w:fill="auto" w:val="clear"/>
            <w:vAlign w:val="center"/>
          </w:tcPr>
          <w:p>
            <w:pPr>
              <w:pStyle w:val="TableContents"/>
              <w:spacing w:before="0" w:after="0"/>
              <w:ind w:left="0" w:right="0" w:firstLine="200"/>
              <w:jc w:val="lef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Other items,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(0.9</w:t>
            </w:r>
          </w:p>
        </w:tc>
        <w:tc>
          <w:tcPr>
            <w:tcW w:w="611" w:type="dxa"/>
            <w:tcBorders/>
            <w:shd w:fill="auto" w:val="clear"/>
            <w:vAlign w:val="center"/>
          </w:tcPr>
          <w:p>
            <w:pPr>
              <w:pStyle w:val="TableContents"/>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 xml:space="preserve">Changes in operating assets and liabilities, net of effects of </w:t>
              <w:br/>
              <w:t>   acquisitions and divestitures: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5146" w:type="dxa"/>
            <w:tcBorders/>
            <w:shd w:fill="auto" w:val="clear"/>
            <w:vAlign w:val="center"/>
          </w:tcPr>
          <w:p>
            <w:pPr>
              <w:pStyle w:val="TableContents"/>
              <w:spacing w:before="0" w:after="0"/>
              <w:ind w:left="400" w:right="0" w:hanging="0"/>
              <w:jc w:val="left"/>
              <w:rPr>
                <w:rFonts w:ascii="Calibri;sans-serif" w:hAnsi="Calibri;sans-serif"/>
                <w:b w:val="false"/>
                <w:sz w:val="20"/>
              </w:rPr>
            </w:pPr>
            <w:r>
              <w:rPr>
                <w:rFonts w:ascii="Calibri;sans-serif" w:hAnsi="Calibri;sans-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(13.7</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14.8</w:t>
            </w:r>
          </w:p>
        </w:tc>
        <w:tc>
          <w:tcPr>
            <w:tcW w:w="611" w:type="dxa"/>
            <w:tcBorders/>
            <w:shd w:fill="auto" w:val="clear"/>
            <w:vAlign w:val="center"/>
          </w:tcPr>
          <w:p>
            <w:pPr>
              <w:pStyle w:val="TableContents"/>
              <w:spacing w:before="0" w:after="0"/>
              <w:ind w:left="0" w:right="0" w:firstLine="400"/>
              <w:jc w:val="left"/>
              <w:rPr/>
            </w:pPr>
            <w:r>
              <w:rPr/>
              <w:t> </w:t>
            </w:r>
          </w:p>
        </w:tc>
      </w:tr>
      <w:tr>
        <w:trPr/>
        <w:tc>
          <w:tcPr>
            <w:tcW w:w="5146" w:type="dxa"/>
            <w:tcBorders/>
            <w:shd w:fill="auto" w:val="clear"/>
            <w:vAlign w:val="center"/>
          </w:tcPr>
          <w:p>
            <w:pPr>
              <w:pStyle w:val="TableContents"/>
              <w:spacing w:before="0" w:after="0"/>
              <w:ind w:left="400" w:right="0" w:hanging="0"/>
              <w:jc w:val="left"/>
              <w:rPr>
                <w:rFonts w:ascii="Calibri;sans-serif" w:hAnsi="Calibri;sans-serif"/>
                <w:b w:val="false"/>
                <w:sz w:val="20"/>
              </w:rPr>
            </w:pPr>
            <w:r>
              <w:rPr>
                <w:rFonts w:ascii="Calibri;sans-serif" w:hAnsi="Calibri;sans-serif"/>
                <w:b w:val="false"/>
                <w:sz w:val="20"/>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(82.4</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(28.9</w:t>
            </w:r>
          </w:p>
        </w:tc>
        <w:tc>
          <w:tcPr>
            <w:tcW w:w="611" w:type="dxa"/>
            <w:tcBorders/>
            <w:shd w:fill="auto" w:val="clear"/>
            <w:vAlign w:val="center"/>
          </w:tcPr>
          <w:p>
            <w:pPr>
              <w:pStyle w:val="TableContents"/>
              <w:spacing w:before="0" w:after="0"/>
              <w:ind w:left="0" w:right="0" w:firstLine="40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400" w:right="0" w:hanging="0"/>
              <w:jc w:val="left"/>
              <w:rPr>
                <w:rFonts w:ascii="Calibri;sans-serif" w:hAnsi="Calibri;sans-serif"/>
                <w:b w:val="false"/>
                <w:sz w:val="20"/>
              </w:rPr>
            </w:pPr>
            <w:r>
              <w:rPr>
                <w:rFonts w:ascii="Calibri;sans-serif" w:hAnsi="Calibri;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95.5</w:t>
            </w:r>
          </w:p>
        </w:tc>
        <w:tc>
          <w:tcPr>
            <w:tcW w:w="611" w:type="dxa"/>
            <w:tcBorders/>
            <w:shd w:fill="auto" w:val="clear"/>
            <w:vAlign w:val="center"/>
          </w:tcPr>
          <w:p>
            <w:pPr>
              <w:pStyle w:val="TableContents"/>
              <w:spacing w:before="0" w:after="0"/>
              <w:ind w:left="0" w:right="0" w:firstLine="400"/>
              <w:jc w:val="left"/>
              <w:rPr/>
            </w:pPr>
            <w:r>
              <w:rPr/>
              <w:t> </w:t>
            </w:r>
          </w:p>
        </w:tc>
      </w:tr>
      <w:tr>
        <w:trPr/>
        <w:tc>
          <w:tcPr>
            <w:tcW w:w="5146" w:type="dxa"/>
            <w:tcBorders/>
            <w:shd w:fill="auto" w:val="clear"/>
            <w:vAlign w:val="center"/>
          </w:tcPr>
          <w:p>
            <w:pPr>
              <w:pStyle w:val="TableContents"/>
              <w:spacing w:before="0" w:after="0"/>
              <w:ind w:left="400" w:right="0" w:hanging="0"/>
              <w:jc w:val="left"/>
              <w:rPr>
                <w:rFonts w:ascii="Calibri;sans-serif" w:hAnsi="Calibri;sans-serif"/>
                <w:b w:val="false"/>
                <w:sz w:val="20"/>
              </w:rPr>
            </w:pPr>
            <w:r>
              <w:rPr>
                <w:rFonts w:ascii="Calibri;sans-serif" w:hAnsi="Calibri;sans-serif"/>
                <w:b w:val="false"/>
                <w:sz w:val="20"/>
              </w:rPr>
              <w:t>Other assets and liabilities,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(74.4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169.9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Additions to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(173.9</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(139.8</w:t>
            </w:r>
          </w:p>
        </w:tc>
        <w:tc>
          <w:tcPr>
            <w:tcW w:w="611" w:type="dxa"/>
            <w:tcBorders/>
            <w:shd w:fill="auto" w:val="clear"/>
            <w:vAlign w:val="center"/>
          </w:tcPr>
          <w:p>
            <w:pPr>
              <w:pStyle w:val="TableContents"/>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Acquisitions,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18.8</w:t>
            </w:r>
          </w:p>
        </w:tc>
        <w:tc>
          <w:tcPr>
            <w:tcW w:w="611" w:type="dxa"/>
            <w:tcBorders/>
            <w:shd w:fill="auto" w:val="clear"/>
            <w:vAlign w:val="center"/>
          </w:tcPr>
          <w:p>
            <w:pPr>
              <w:pStyle w:val="TableContents"/>
              <w:spacing w:before="0" w:after="0"/>
              <w:ind w:left="0" w:right="0" w:firstLine="200"/>
              <w:jc w:val="lef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Proceeds from sales of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w:t>
            </w:r>
          </w:p>
        </w:tc>
        <w:tc>
          <w:tcPr>
            <w:tcW w:w="611" w:type="dxa"/>
            <w:tcBorders/>
            <w:shd w:fill="auto" w:val="clear"/>
            <w:vAlign w:val="center"/>
          </w:tcPr>
          <w:p>
            <w:pPr>
              <w:pStyle w:val="TableContents"/>
              <w:spacing w:before="0" w:after="0"/>
              <w:ind w:left="0" w:right="0" w:firstLine="200"/>
              <w:jc w:val="lef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Investments in life insurance contracts,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Other investing activities,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Cash Used for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(152.4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(123.0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Payments on finance lease obligations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(4.3</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(3.7</w:t>
            </w:r>
          </w:p>
        </w:tc>
        <w:tc>
          <w:tcPr>
            <w:tcW w:w="611" w:type="dxa"/>
            <w:tcBorders/>
            <w:shd w:fill="auto" w:val="clear"/>
            <w:vAlign w:val="center"/>
          </w:tcPr>
          <w:p>
            <w:pPr>
              <w:pStyle w:val="TableContents"/>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Dividends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(41.6</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(38.9</w:t>
            </w:r>
          </w:p>
        </w:tc>
        <w:tc>
          <w:tcPr>
            <w:tcW w:w="611" w:type="dxa"/>
            <w:tcBorders/>
            <w:shd w:fill="auto" w:val="clear"/>
            <w:vAlign w:val="center"/>
          </w:tcPr>
          <w:p>
            <w:pPr>
              <w:pStyle w:val="TableContents"/>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(75.0</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(50.0</w:t>
            </w:r>
          </w:p>
        </w:tc>
        <w:tc>
          <w:tcPr>
            <w:tcW w:w="611" w:type="dxa"/>
            <w:tcBorders/>
            <w:shd w:fill="auto" w:val="clear"/>
            <w:vAlign w:val="center"/>
          </w:tcPr>
          <w:p>
            <w:pPr>
              <w:pStyle w:val="TableContents"/>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0.6</w:t>
            </w:r>
          </w:p>
        </w:tc>
        <w:tc>
          <w:tcPr>
            <w:tcW w:w="611" w:type="dxa"/>
            <w:tcBorders/>
            <w:shd w:fill="auto" w:val="clear"/>
            <w:vAlign w:val="center"/>
          </w:tcPr>
          <w:p>
            <w:pPr>
              <w:pStyle w:val="TableContents"/>
              <w:spacing w:before="0" w:after="0"/>
              <w:ind w:left="0" w:right="0" w:firstLine="200"/>
              <w:jc w:val="left"/>
              <w:rPr/>
            </w:pPr>
            <w:r>
              <w:rPr/>
              <w:t> </w:t>
            </w:r>
          </w:p>
        </w:tc>
      </w:tr>
      <w:tr>
        <w:trPr/>
        <w:tc>
          <w:tcPr>
            <w:tcW w:w="5146" w:type="dxa"/>
            <w:tcBorders/>
            <w:shd w:fill="auto" w:val="clear"/>
            <w:vAlign w:val="center"/>
          </w:tcPr>
          <w:p>
            <w:pPr>
              <w:pStyle w:val="TableContents"/>
              <w:spacing w:before="0" w:after="0"/>
              <w:ind w:left="200" w:right="0" w:hanging="0"/>
              <w:jc w:val="left"/>
              <w:rPr>
                <w:rFonts w:ascii="Calibri;sans-serif" w:hAnsi="Calibri;sans-serif"/>
                <w:b w:val="false"/>
                <w:sz w:val="20"/>
              </w:rPr>
            </w:pPr>
            <w:r>
              <w:rPr>
                <w:rFonts w:ascii="Calibri;sans-serif" w:hAnsi="Calibri;sans-serif"/>
                <w:b w:val="false"/>
                <w:sz w:val="20"/>
              </w:rPr>
              <w:t>Shares withheld for employees’ income tax obligations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(16.7</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(24.2</w:t>
            </w:r>
          </w:p>
        </w:tc>
        <w:tc>
          <w:tcPr>
            <w:tcW w:w="6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Cash Used for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(137.4</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(116.2</w:t>
            </w:r>
          </w:p>
        </w:tc>
        <w:tc>
          <w:tcPr>
            <w:tcW w:w="6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(129.3</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(69.3</w:t>
            </w:r>
          </w:p>
        </w:tc>
        <w:tc>
          <w:tcPr>
            <w:tcW w:w="6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358.8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258.9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4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189.6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5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Calibri" w:hAnsi="Calibri"/>
          <w:sz w:val="22"/>
        </w:rPr>
      </w:pPr>
      <w:r>
        <w:rPr>
          <w:rFonts w:ascii="Calibri;sans-serif" w:hAnsi="Calibri;sans-serif"/>
          <w:b w:val="false"/>
          <w:i/>
          <w:sz w:val="22"/>
        </w:rPr>
        <w:t>See accompanying notes to the consolidated financial statements.</w:t>
      </w:r>
      <w:r>
        <w:rPr>
          <w:rFonts w:ascii="Calibri" w:hAnsi="Calibri"/>
          <w:sz w:val="22"/>
        </w:rPr>
        <w:t xml:space="preserve">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5</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left"/>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MARTIN MARIETTA MATERIALS, INC. AND CONSOLIDATED SUBSIDIARIES</w:t>
      </w:r>
    </w:p>
    <w:p>
      <w:pPr>
        <w:pStyle w:val="TextBody"/>
        <w:spacing w:before="0" w:after="0"/>
        <w:jc w:val="center"/>
        <w:rPr>
          <w:rFonts w:ascii="Calibri;sans-serif" w:hAnsi="Calibri;sans-serif"/>
          <w:b w:val="false"/>
          <w:sz w:val="20"/>
        </w:rPr>
      </w:pPr>
      <w:bookmarkStart w:id="6" w:name="equitystatement"/>
      <w:bookmarkEnd w:id="6"/>
      <w:r>
        <w:rPr>
          <w:rFonts w:ascii="Calibri;sans-serif" w:hAnsi="Calibri;sans-serif"/>
          <w:b w:val="false"/>
          <w:sz w:val="20"/>
        </w:rPr>
        <w:t>(UNAUDITED) CONSOLIDATED STATEMENTS OF TOTAL EQUITY</w:t>
      </w:r>
    </w:p>
    <w:p>
      <w:pPr>
        <w:pStyle w:val="TextBody"/>
        <w:spacing w:before="0" w:after="0"/>
        <w:jc w:val="center"/>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12"/>
        <w:gridCol w:w="146"/>
        <w:gridCol w:w="184"/>
        <w:gridCol w:w="457"/>
        <w:gridCol w:w="151"/>
        <w:gridCol w:w="146"/>
        <w:gridCol w:w="214"/>
        <w:gridCol w:w="411"/>
        <w:gridCol w:w="146"/>
        <w:gridCol w:w="146"/>
        <w:gridCol w:w="186"/>
        <w:gridCol w:w="558"/>
        <w:gridCol w:w="151"/>
        <w:gridCol w:w="146"/>
        <w:gridCol w:w="265"/>
        <w:gridCol w:w="707"/>
        <w:gridCol w:w="151"/>
        <w:gridCol w:w="146"/>
        <w:gridCol w:w="183"/>
        <w:gridCol w:w="548"/>
        <w:gridCol w:w="151"/>
        <w:gridCol w:w="146"/>
        <w:gridCol w:w="218"/>
        <w:gridCol w:w="656"/>
        <w:gridCol w:w="151"/>
        <w:gridCol w:w="146"/>
        <w:gridCol w:w="329"/>
        <w:gridCol w:w="631"/>
        <w:gridCol w:w="351"/>
        <w:gridCol w:w="146"/>
        <w:gridCol w:w="181"/>
        <w:gridCol w:w="541"/>
        <w:gridCol w:w="404"/>
      </w:tblGrid>
      <w:tr>
        <w:trPr/>
        <w:tc>
          <w:tcPr>
            <w:tcW w:w="11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11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i/>
                <w:sz w:val="14"/>
              </w:rPr>
            </w:pPr>
            <w:r>
              <w:rPr>
                <w:rFonts w:ascii="Calibri;sans-serif" w:hAnsi="Calibri;sans-serif"/>
                <w:b w:val="false"/>
                <w:i/>
                <w:sz w:val="14"/>
              </w:rPr>
              <w:t>(In Millions, Except Per Share Data)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Shares of Common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Additional Paid-in 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 xml:space="preserve">Accumulated </w:t>
              <w:br/>
              <w:t xml:space="preserve">Other Comprehensive </w:t>
              <w:b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Retained Earnings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Total Shareholders' Equity</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Noncontrolling Interests</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14"/>
              </w:rPr>
            </w:pPr>
            <w:r>
              <w:rPr>
                <w:rFonts w:ascii="Calibri;sans-serif" w:hAnsi="Calibri;sans-serif"/>
                <w:b w:val="false"/>
                <w:sz w:val="14"/>
              </w:rPr>
              <w:t>Total Equity</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12"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62.4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41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5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3,470.4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0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(97.6</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3,161.9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6,535.3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2.3</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6,537.6</w:t>
            </w:r>
          </w:p>
        </w:tc>
        <w:tc>
          <w:tcPr>
            <w:tcW w:w="404" w:type="dxa"/>
            <w:tcBorders/>
            <w:shd w:fill="auto" w:val="clear"/>
            <w:vAlign w:val="center"/>
          </w:tcPr>
          <w:p>
            <w:pPr>
              <w:pStyle w:val="TableContents"/>
              <w:spacing w:before="0" w:after="0"/>
              <w:ind w:left="0" w:right="0" w:firstLine="200"/>
              <w:jc w:val="left"/>
              <w:rPr/>
            </w:pPr>
            <w:r>
              <w:rPr/>
              <w:t> </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Consolidated net earnings (loss)</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21.4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21.4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(0.1</w:t>
            </w:r>
          </w:p>
        </w:tc>
        <w:tc>
          <w:tcPr>
            <w:tcW w:w="351"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21.3</w:t>
            </w:r>
          </w:p>
        </w:tc>
        <w:tc>
          <w:tcPr>
            <w:tcW w:w="404" w:type="dxa"/>
            <w:tcBorders/>
            <w:shd w:fill="auto" w:val="clear"/>
            <w:vAlign w:val="center"/>
          </w:tcPr>
          <w:p>
            <w:pPr>
              <w:pStyle w:val="TableContents"/>
              <w:spacing w:before="0" w:after="0"/>
              <w:ind w:left="0" w:right="0" w:firstLine="200"/>
              <w:jc w:val="left"/>
              <w:rPr/>
            </w:pPr>
            <w:r>
              <w:rPr/>
              <w:t> </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 xml:space="preserve">Other comprehensive loss, </w:t>
              <w:br/>
              <w:t>   net of tax</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(31.6</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(31.6</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(31.6</w:t>
            </w:r>
          </w:p>
        </w:tc>
        <w:tc>
          <w:tcPr>
            <w:tcW w:w="404"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r>
      <w:tr>
        <w:trPr/>
        <w:tc>
          <w:tcPr>
            <w:tcW w:w="1112" w:type="dxa"/>
            <w:tcBorders/>
            <w:shd w:fill="auto" w:val="clear"/>
            <w:vAlign w:val="center"/>
          </w:tcPr>
          <w:p>
            <w:pPr>
              <w:pStyle w:val="TableContents"/>
              <w:spacing w:before="0" w:after="0"/>
              <w:ind w:left="0" w:right="0" w:firstLine="100"/>
              <w:jc w:val="left"/>
              <w:rPr>
                <w:rFonts w:ascii="Calibri" w:hAnsi="Calibri"/>
                <w:sz w:val="22"/>
              </w:rPr>
            </w:pPr>
            <w:r>
              <w:rPr>
                <w:rFonts w:ascii="Calibri;sans-serif" w:hAnsi="Calibri;sans-serif"/>
                <w:b w:val="false"/>
                <w:sz w:val="14"/>
              </w:rPr>
              <w:t>Dividends declared ($0.61</w:t>
            </w:r>
            <w:r>
              <w:rPr>
                <w:rFonts w:ascii="Calibri" w:hAnsi="Calibri"/>
                <w:sz w:val="22"/>
              </w:rPr>
              <w:t> </w:t>
            </w:r>
            <w:r>
              <w:rPr>
                <w:rFonts w:ascii="Calibri;sans-serif" w:hAnsi="Calibri;sans-serif"/>
                <w:b w:val="false"/>
                <w:sz w:val="14"/>
              </w:rPr>
              <w:t>per common share)</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(38.4</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(38.4</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(38.4</w:t>
            </w:r>
          </w:p>
        </w:tc>
        <w:tc>
          <w:tcPr>
            <w:tcW w:w="404"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 xml:space="preserve">Issuances of common stock for stock </w:t>
              <w:br/>
              <w:t>   award plans</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4.6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4.6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4.6</w:t>
            </w:r>
          </w:p>
        </w:tc>
        <w:tc>
          <w:tcPr>
            <w:tcW w:w="404" w:type="dxa"/>
            <w:tcBorders/>
            <w:shd w:fill="auto" w:val="clear"/>
            <w:vAlign w:val="center"/>
          </w:tcPr>
          <w:p>
            <w:pPr>
              <w:pStyle w:val="TableContents"/>
              <w:spacing w:before="0" w:after="0"/>
              <w:ind w:left="0" w:right="0" w:firstLine="200"/>
              <w:jc w:val="left"/>
              <w:rPr/>
            </w:pPr>
            <w:r>
              <w:rPr/>
              <w:t> </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 xml:space="preserve">Shares withheld for employees' </w:t>
              <w:br/>
              <w:t>   income tax obligations</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(24.4</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(24.4</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(24.4</w:t>
            </w:r>
          </w:p>
        </w:tc>
        <w:tc>
          <w:tcPr>
            <w:tcW w:w="404"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Repurchases of common stock</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(0.1</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(50.0</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(50.0</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(50.0</w:t>
            </w:r>
          </w:p>
        </w:tc>
        <w:tc>
          <w:tcPr>
            <w:tcW w:w="404"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Stock-based compensation expense</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12.0</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12"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62.4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3,462.6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(129.2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3,094.9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6,428.9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2.2</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6,431.1</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3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2" w:type="dxa"/>
            <w:gridSpan w:val="2"/>
            <w:tcBorders/>
            <w:shd w:fill="auto" w:val="clear"/>
            <w:vAlign w:val="center"/>
          </w:tcPr>
          <w:p>
            <w:pPr>
              <w:pStyle w:val="TableContents"/>
              <w:spacing w:before="0" w:after="0"/>
              <w:ind w:left="0" w:right="0" w:hanging="0"/>
              <w:jc w:val="right"/>
              <w:rPr/>
            </w:pPr>
            <w:r>
              <w:rPr/>
              <w:t> </w:t>
            </w:r>
          </w:p>
        </w:tc>
        <w:tc>
          <w:tcPr>
            <w:tcW w:w="404" w:type="dxa"/>
            <w:tcBorders/>
            <w:shd w:fill="auto" w:val="clear"/>
            <w:vAlign w:val="center"/>
          </w:tcPr>
          <w:p>
            <w:pPr>
              <w:pStyle w:val="TableContents"/>
              <w:spacing w:before="0" w:after="0"/>
              <w:ind w:left="0" w:right="0" w:hanging="0"/>
              <w:jc w:val="right"/>
              <w:rPr/>
            </w:pPr>
            <w:r>
              <w:rPr/>
              <w:t> </w:t>
            </w:r>
          </w:p>
        </w:tc>
      </w:tr>
      <w:tr>
        <w:trPr/>
        <w:tc>
          <w:tcPr>
            <w:tcW w:w="1112"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62.1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41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5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3,489.0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0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(38.5</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3,719.4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7,170.5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2.3</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7,172.8</w:t>
            </w:r>
          </w:p>
        </w:tc>
        <w:tc>
          <w:tcPr>
            <w:tcW w:w="404" w:type="dxa"/>
            <w:tcBorders/>
            <w:shd w:fill="auto" w:val="clear"/>
            <w:vAlign w:val="center"/>
          </w:tcPr>
          <w:p>
            <w:pPr>
              <w:pStyle w:val="TableContents"/>
              <w:spacing w:before="0" w:after="0"/>
              <w:ind w:left="0" w:right="0" w:firstLine="200"/>
              <w:jc w:val="left"/>
              <w:rPr/>
            </w:pPr>
            <w:r>
              <w:rPr/>
              <w:t> </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Consolidated net earnings</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121.4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121.4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0.2</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121.6</w:t>
            </w:r>
          </w:p>
        </w:tc>
        <w:tc>
          <w:tcPr>
            <w:tcW w:w="404" w:type="dxa"/>
            <w:tcBorders/>
            <w:shd w:fill="auto" w:val="clear"/>
            <w:vAlign w:val="center"/>
          </w:tcPr>
          <w:p>
            <w:pPr>
              <w:pStyle w:val="TableContents"/>
              <w:spacing w:before="0" w:after="0"/>
              <w:ind w:left="0" w:right="0" w:firstLine="200"/>
              <w:jc w:val="left"/>
              <w:rPr/>
            </w:pPr>
            <w:r>
              <w:rPr/>
              <w:t> </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 xml:space="preserve">Other comprehensive earnings, </w:t>
              <w:br/>
              <w:t>   net of tax</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1.1</w:t>
            </w:r>
          </w:p>
        </w:tc>
        <w:tc>
          <w:tcPr>
            <w:tcW w:w="404" w:type="dxa"/>
            <w:tcBorders/>
            <w:shd w:fill="auto" w:val="clear"/>
            <w:vAlign w:val="center"/>
          </w:tcPr>
          <w:p>
            <w:pPr>
              <w:pStyle w:val="TableContents"/>
              <w:spacing w:before="0" w:after="0"/>
              <w:ind w:left="0" w:right="0" w:firstLine="200"/>
              <w:jc w:val="left"/>
              <w:rPr/>
            </w:pPr>
            <w:r>
              <w:rPr/>
              <w:t> </w:t>
            </w:r>
          </w:p>
        </w:tc>
      </w:tr>
      <w:tr>
        <w:trPr/>
        <w:tc>
          <w:tcPr>
            <w:tcW w:w="1112" w:type="dxa"/>
            <w:tcBorders/>
            <w:shd w:fill="auto" w:val="clear"/>
            <w:vAlign w:val="center"/>
          </w:tcPr>
          <w:p>
            <w:pPr>
              <w:pStyle w:val="TableContents"/>
              <w:spacing w:before="0" w:after="0"/>
              <w:ind w:left="0" w:right="0" w:firstLine="100"/>
              <w:jc w:val="left"/>
              <w:rPr>
                <w:rFonts w:ascii="Calibri" w:hAnsi="Calibri"/>
                <w:sz w:val="22"/>
              </w:rPr>
            </w:pPr>
            <w:r>
              <w:rPr>
                <w:rFonts w:ascii="Calibri;sans-serif" w:hAnsi="Calibri;sans-serif"/>
                <w:b w:val="false"/>
                <w:sz w:val="14"/>
              </w:rPr>
              <w:t>Dividends declared ($0.66</w:t>
            </w:r>
            <w:r>
              <w:rPr>
                <w:rFonts w:ascii="Calibri" w:hAnsi="Calibri"/>
                <w:sz w:val="22"/>
              </w:rPr>
              <w:t> </w:t>
            </w:r>
            <w:r>
              <w:rPr>
                <w:rFonts w:ascii="Calibri;sans-serif" w:hAnsi="Calibri;sans-serif"/>
                <w:b w:val="false"/>
                <w:sz w:val="14"/>
              </w:rPr>
              <w:t>per common share)</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(41.2</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(41.2</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(41.2</w:t>
            </w:r>
          </w:p>
        </w:tc>
        <w:tc>
          <w:tcPr>
            <w:tcW w:w="404"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 xml:space="preserve">Issuances of common stock for stock </w:t>
              <w:br/>
              <w:t>   award plans</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1.3</w:t>
            </w:r>
          </w:p>
        </w:tc>
        <w:tc>
          <w:tcPr>
            <w:tcW w:w="404" w:type="dxa"/>
            <w:tcBorders/>
            <w:shd w:fill="auto" w:val="clear"/>
            <w:vAlign w:val="center"/>
          </w:tcPr>
          <w:p>
            <w:pPr>
              <w:pStyle w:val="TableContents"/>
              <w:spacing w:before="0" w:after="0"/>
              <w:ind w:left="0" w:right="0" w:firstLine="200"/>
              <w:jc w:val="left"/>
              <w:rPr/>
            </w:pPr>
            <w:r>
              <w:rPr/>
              <w:t> </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 xml:space="preserve">Shares withheld for employees' </w:t>
              <w:br/>
              <w:t>   income tax obligations</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(16.8</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(16.8</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(16.8</w:t>
            </w:r>
          </w:p>
        </w:tc>
        <w:tc>
          <w:tcPr>
            <w:tcW w:w="404"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Repurchases of common stock</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(0.2</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(75.0</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(75.0</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(75.0</w:t>
            </w:r>
          </w:p>
        </w:tc>
        <w:tc>
          <w:tcPr>
            <w:tcW w:w="404" w:type="dxa"/>
            <w:tcBorders/>
            <w:shd w:fill="auto" w:val="clear"/>
            <w:vAlign w:val="center"/>
          </w:tcPr>
          <w:p>
            <w:pPr>
              <w:pStyle w:val="TableContents"/>
              <w:spacing w:before="0" w:after="0"/>
              <w:ind w:left="0" w:right="0" w:firstLine="200"/>
              <w:jc w:val="left"/>
              <w:rPr>
                <w:rFonts w:ascii="Calibri;sans-serif" w:hAnsi="Calibri;sans-serif"/>
                <w:b w:val="false"/>
                <w:sz w:val="14"/>
              </w:rPr>
            </w:pPr>
            <w:r>
              <w:rPr>
                <w:rFonts w:ascii="Calibri;sans-serif" w:hAnsi="Calibri;sans-serif"/>
                <w:b w:val="false"/>
                <w:sz w:val="14"/>
              </w:rPr>
              <w:t>)</w:t>
            </w:r>
          </w:p>
        </w:tc>
      </w:tr>
      <w:tr>
        <w:trPr/>
        <w:tc>
          <w:tcPr>
            <w:tcW w:w="1112" w:type="dxa"/>
            <w:tcBorders/>
            <w:shd w:fill="auto" w:val="clear"/>
            <w:vAlign w:val="center"/>
          </w:tcPr>
          <w:p>
            <w:pPr>
              <w:pStyle w:val="TableContents"/>
              <w:spacing w:before="0" w:after="0"/>
              <w:ind w:left="0" w:right="0" w:firstLine="100"/>
              <w:jc w:val="left"/>
              <w:rPr>
                <w:rFonts w:ascii="Calibri;sans-serif" w:hAnsi="Calibri;sans-serif"/>
                <w:b w:val="false"/>
                <w:sz w:val="14"/>
              </w:rPr>
            </w:pPr>
            <w:r>
              <w:rPr>
                <w:rFonts w:ascii="Calibri;sans-serif" w:hAnsi="Calibri;sans-serif"/>
                <w:b w:val="false"/>
                <w:sz w:val="14"/>
              </w:rPr>
              <w:t>Stock-based compensation expense</w:t>
            </w:r>
          </w:p>
        </w:tc>
        <w:tc>
          <w:tcPr>
            <w:tcW w:w="146" w:type="dxa"/>
            <w:tcBorders/>
            <w:shd w:fill="auto" w:val="clear"/>
            <w:vAlign w:val="center"/>
          </w:tcPr>
          <w:p>
            <w:pPr>
              <w:pStyle w:val="TableContents"/>
              <w:spacing w:before="0" w:after="0"/>
              <w:ind w:left="10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656"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13.7</w:t>
            </w:r>
          </w:p>
        </w:tc>
        <w:tc>
          <w:tcPr>
            <w:tcW w:w="404" w:type="dxa"/>
            <w:tcBorders/>
            <w:shd w:fill="auto" w:val="clear"/>
            <w:vAlign w:val="center"/>
          </w:tcPr>
          <w:p>
            <w:pPr>
              <w:pStyle w:val="TableContents"/>
              <w:spacing w:before="0" w:after="0"/>
              <w:ind w:left="0" w:right="0" w:hanging="0"/>
              <w:jc w:val="left"/>
              <w:rPr/>
            </w:pPr>
            <w:r>
              <w:rPr/>
              <w:t> </w:t>
            </w:r>
          </w:p>
        </w:tc>
      </w:tr>
      <w:tr>
        <w:trPr/>
        <w:tc>
          <w:tcPr>
            <w:tcW w:w="1112" w:type="dxa"/>
            <w:tcBorders/>
            <w:shd w:fill="auto" w:val="cle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5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62.0</w:t>
            </w:r>
          </w:p>
        </w:tc>
        <w:tc>
          <w:tcPr>
            <w:tcW w:w="1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4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0.6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5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3,487.2</w:t>
            </w:r>
          </w:p>
        </w:tc>
        <w:tc>
          <w:tcPr>
            <w:tcW w:w="1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(37.4</w:t>
            </w:r>
          </w:p>
        </w:tc>
        <w:tc>
          <w:tcPr>
            <w:tcW w:w="1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3,724.6</w:t>
            </w:r>
          </w:p>
        </w:tc>
        <w:tc>
          <w:tcPr>
            <w:tcW w:w="1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5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7,175.0</w:t>
            </w:r>
          </w:p>
        </w:tc>
        <w:tc>
          <w:tcPr>
            <w:tcW w:w="1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2.5</w:t>
            </w:r>
          </w:p>
        </w:tc>
        <w:tc>
          <w:tcPr>
            <w:tcW w:w="3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14"/>
              </w:rPr>
            </w:pPr>
            <w:r>
              <w:rPr>
                <w:rFonts w:ascii="Calibri;sans-serif" w:hAnsi="Calibri;sans-serif"/>
                <w:b w:val="false"/>
                <w:sz w:val="14"/>
              </w:rPr>
              <w:t>7,177.5</w:t>
            </w:r>
          </w:p>
        </w:tc>
        <w:tc>
          <w:tcPr>
            <w:tcW w:w="40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both"/>
        <w:rPr/>
      </w:pPr>
      <w:r>
        <w:rPr/>
        <w:t> </w:t>
      </w:r>
    </w:p>
    <w:p>
      <w:pPr>
        <w:pStyle w:val="TextBody"/>
        <w:spacing w:before="0" w:after="0"/>
        <w:jc w:val="left"/>
        <w:rPr>
          <w:rFonts w:ascii="Calibri" w:hAnsi="Calibri"/>
          <w:sz w:val="22"/>
        </w:rPr>
      </w:pPr>
      <w:r>
        <w:rPr>
          <w:rFonts w:ascii="Calibri;sans-serif" w:hAnsi="Calibri;sans-serif"/>
          <w:b w:val="false"/>
          <w:i/>
          <w:sz w:val="22"/>
        </w:rPr>
        <w:t>See accompanying notes to the consolidated financial statements.</w:t>
      </w:r>
      <w:r>
        <w:rPr>
          <w:rFonts w:ascii="Calibri" w:hAnsi="Calibri"/>
          <w:sz w:val="22"/>
        </w:rPr>
        <w:t xml:space="preserve">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6</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both"/>
        <w:rPr/>
      </w:pPr>
      <w:r>
        <w:rPr/>
        <w:t> </w:t>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 w:hAnsi="Calibri"/>
          <w:sz w:val="22"/>
        </w:rPr>
      </w:pPr>
      <w:bookmarkStart w:id="7" w:name="notes_to_consolidated_financial_statemen"/>
      <w:bookmarkEnd w:id="7"/>
      <w:r>
        <w:rPr>
          <w:rFonts w:ascii="Calibri;sans-serif" w:hAnsi="Calibri;sans-serif"/>
          <w:b w:val="false"/>
          <w:sz w:val="22"/>
        </w:rPr>
        <w:t>(UNAUDITED) NOTES TO CONSOLIDATED FINANCIAL STATEMENTS</w:t>
      </w:r>
      <w:r>
        <w:rPr>
          <w:rFonts w:ascii="Calibri" w:hAnsi="Calibri"/>
          <w:sz w:val="22"/>
        </w:rPr>
        <w:t xml:space="preserve"> </w:t>
      </w:r>
    </w:p>
    <w:p>
      <w:pPr>
        <w:pStyle w:val="TextBody"/>
        <w:spacing w:before="0" w:after="0"/>
        <w:jc w:val="left"/>
        <w:rPr/>
      </w:pPr>
      <w:r>
        <w:rPr/>
        <w:t> </w:t>
      </w:r>
    </w:p>
    <w:p>
      <w:pPr>
        <w:pStyle w:val="TextBody"/>
        <w:spacing w:before="360" w:after="0"/>
        <w:jc w:val="left"/>
        <w:rPr>
          <w:rFonts w:ascii="Calibri" w:hAnsi="Calibri"/>
          <w:b/>
          <w:sz w:val="22"/>
        </w:rPr>
      </w:pPr>
      <w:r>
        <w:rPr>
          <w:rFonts w:ascii="Calibri" w:hAnsi="Calibri"/>
          <w:b/>
          <w:sz w:val="22"/>
        </w:rPr>
        <w:t>1.</w:t>
      </w:r>
    </w:p>
    <w:p>
      <w:pPr>
        <w:pStyle w:val="TextBody"/>
        <w:spacing w:before="360" w:after="283"/>
        <w:jc w:val="left"/>
        <w:rPr>
          <w:rFonts w:ascii="Calibri;sans-serif" w:hAnsi="Calibri;sans-serif"/>
          <w:b/>
          <w:sz w:val="22"/>
        </w:rPr>
      </w:pPr>
      <w:r>
        <w:rPr>
          <w:rFonts w:ascii="Calibri;sans-serif" w:hAnsi="Calibri;sans-serif"/>
          <w:b/>
          <w:sz w:val="22"/>
        </w:rPr>
        <w:t xml:space="preserve">Significant Accounting Policies </w:t>
      </w:r>
    </w:p>
    <w:p>
      <w:pPr>
        <w:pStyle w:val="TextBody"/>
        <w:spacing w:before="240" w:after="0"/>
        <w:jc w:val="left"/>
        <w:rPr>
          <w:rFonts w:ascii="Calibri" w:hAnsi="Calibri"/>
          <w:sz w:val="22"/>
        </w:rPr>
      </w:pPr>
      <w:r>
        <w:rPr>
          <w:rFonts w:ascii="Calibri;sans-serif" w:hAnsi="Calibri;sans-serif"/>
          <w:b/>
          <w:sz w:val="22"/>
        </w:rPr>
        <w:t>Organization</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Martin Marietta Materials, Inc. (the Company or Martin Marietta) is a natural resource-based building materials company. As of March 31, 2023, the Company supplies aggregates (crushed stone, sand and gravel) through its network of approximately 350</w:t>
      </w:r>
      <w:r>
        <w:rPr>
          <w:rFonts w:ascii="Calibri" w:hAnsi="Calibri"/>
          <w:sz w:val="22"/>
        </w:rPr>
        <w:t xml:space="preserve"> </w:t>
      </w:r>
      <w:r>
        <w:rPr>
          <w:rFonts w:ascii="Calibri;sans-serif" w:hAnsi="Calibri;sans-serif"/>
          <w:b w:val="false"/>
          <w:sz w:val="22"/>
        </w:rPr>
        <w:t>quarries, mines and distribution yards in 28</w:t>
      </w:r>
      <w:r>
        <w:rPr>
          <w:rFonts w:ascii="Calibri" w:hAnsi="Calibri"/>
          <w:sz w:val="22"/>
        </w:rPr>
        <w:t xml:space="preserve"> </w:t>
      </w:r>
      <w:r>
        <w:rPr>
          <w:rFonts w:ascii="Calibri;sans-serif" w:hAnsi="Calibri;sans-serif"/>
          <w:b w:val="false"/>
          <w:sz w:val="22"/>
        </w:rPr>
        <w:t>states, Canada and The Bahamas. Martin Marietta also provides cement and downstream products and services, namely, ready mixed concrete, asphalt and paving, in vertically-integrated structured markets where the Company also has a leading aggregates position. In addition, the Company has one</w:t>
      </w:r>
      <w:r>
        <w:rPr>
          <w:rFonts w:ascii="Calibri" w:hAnsi="Calibri"/>
          <w:sz w:val="22"/>
        </w:rPr>
        <w:t xml:space="preserve"> </w:t>
      </w:r>
      <w:r>
        <w:rPr>
          <w:rFonts w:ascii="Calibri;sans-serif" w:hAnsi="Calibri;sans-serif"/>
          <w:b w:val="false"/>
          <w:sz w:val="22"/>
        </w:rPr>
        <w:t>cement plant, related cement distribution terminals, cement import operations and ready mixed concrete operations in California that are classified as assets held for sale and reported as discontinued operations as of and for the three months ended March 31, 2023 and 2022 and as of December 31, 2022.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Company’s Building Materials business includes two</w:t>
      </w:r>
      <w:r>
        <w:rPr>
          <w:rFonts w:ascii="Calibri" w:hAnsi="Calibri"/>
          <w:sz w:val="22"/>
        </w:rPr>
        <w:t xml:space="preserve"> </w:t>
      </w:r>
      <w:r>
        <w:rPr>
          <w:rFonts w:ascii="Calibri;sans-serif" w:hAnsi="Calibri;sans-serif"/>
          <w:b w:val="false"/>
          <w:sz w:val="22"/>
        </w:rPr>
        <w:t>reportable segments: the East Group and the West Group.</w:t>
      </w:r>
      <w:r>
        <w:rPr>
          <w:rFonts w:ascii="Calibri" w:hAnsi="Calibri"/>
          <w:sz w:val="22"/>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789"/>
        <w:gridCol w:w="146"/>
        <w:gridCol w:w="2784"/>
        <w:gridCol w:w="146"/>
        <w:gridCol w:w="5340"/>
      </w:tblGrid>
      <w:tr>
        <w:trPr/>
        <w:tc>
          <w:tcPr>
            <w:tcW w:w="17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0"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bottom w:val="single" w:sz="6" w:space="0" w:color="000000"/>
            </w:tcBorders>
            <w:shd w:fill="auto" w:val="clear"/>
            <w:tcMar>
              <w:top w:w="0" w:type="dxa"/>
              <w:left w:w="0" w:type="dxa"/>
              <w:right w:w="0" w:type="dxa"/>
            </w:tcMar>
            <w:vAlign w:val="center"/>
          </w:tcPr>
          <w:p>
            <w:pPr>
              <w:pStyle w:val="TableContents"/>
              <w:spacing w:before="0" w:after="20"/>
              <w:ind w:left="0" w:right="0" w:hanging="0"/>
              <w:jc w:val="center"/>
              <w:rPr>
                <w:rFonts w:ascii="Calibri;sans-serif" w:hAnsi="Calibri;sans-serif"/>
                <w:b/>
                <w:sz w:val="22"/>
              </w:rPr>
            </w:pPr>
            <w:r>
              <w:rPr>
                <w:rFonts w:ascii="Calibri;sans-serif" w:hAnsi="Calibri;sans-serif"/>
                <w:b/>
                <w:sz w:val="22"/>
              </w:rPr>
              <w:t>BUILDING MATERIALS BUSINESS</w:t>
            </w:r>
          </w:p>
          <w:p>
            <w:pPr>
              <w:pStyle w:val="TableContents"/>
              <w:spacing w:before="0" w:after="20"/>
              <w:ind w:left="0" w:right="0" w:hanging="0"/>
              <w:jc w:val="center"/>
              <w:rPr>
                <w:rFonts w:ascii="Calibri;sans-serif" w:hAnsi="Calibri;sans-serif"/>
                <w:b/>
                <w:sz w:val="22"/>
              </w:rPr>
            </w:pPr>
            <w:r>
              <w:rPr>
                <w:rFonts w:ascii="Calibri;sans-serif" w:hAnsi="Calibri;sans-serif"/>
                <w:b/>
                <w:sz w:val="22"/>
              </w:rPr>
              <w:t>(continuing operations only)</w:t>
            </w:r>
          </w:p>
        </w:tc>
      </w:tr>
      <w:tr>
        <w:trPr/>
        <w:tc>
          <w:tcPr>
            <w:tcW w:w="1789"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Reportable Segments</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784" w:type="dxa"/>
            <w:tcBorders>
              <w:bottom w:val="single" w:sz="6" w:space="0" w:color="000000"/>
            </w:tcBorders>
            <w:shd w:fill="auto" w:val="clear"/>
            <w:tcMar>
              <w:top w:w="0" w:type="dxa"/>
              <w:left w:w="0" w:type="dxa"/>
              <w:right w:w="0" w:type="dxa"/>
            </w:tcMar>
            <w:vAlign w:val="center"/>
          </w:tcPr>
          <w:p>
            <w:pPr>
              <w:pStyle w:val="TableContents"/>
              <w:spacing w:before="0" w:after="20"/>
              <w:ind w:left="0" w:right="0" w:hanging="0"/>
              <w:jc w:val="center"/>
              <w:rPr>
                <w:rFonts w:ascii="Calibri;sans-serif" w:hAnsi="Calibri;sans-serif"/>
                <w:b w:val="false"/>
                <w:sz w:val="22"/>
              </w:rPr>
            </w:pPr>
            <w:r>
              <w:rPr>
                <w:rFonts w:ascii="Calibri;sans-serif" w:hAnsi="Calibri;sans-serif"/>
                <w:b w:val="false"/>
                <w:sz w:val="22"/>
              </w:rPr>
              <w:t>East Group</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340" w:type="dxa"/>
            <w:tcBorders>
              <w:bottom w:val="single" w:sz="6" w:space="0" w:color="000000"/>
            </w:tcBorders>
            <w:shd w:fill="auto" w:val="clear"/>
            <w:tcMar>
              <w:top w:w="0" w:type="dxa"/>
              <w:left w:w="0" w:type="dxa"/>
              <w:right w:w="0" w:type="dxa"/>
            </w:tcMar>
            <w:vAlign w:val="center"/>
          </w:tcPr>
          <w:p>
            <w:pPr>
              <w:pStyle w:val="TableContents"/>
              <w:spacing w:before="0" w:after="20"/>
              <w:ind w:left="0" w:right="0" w:hanging="0"/>
              <w:jc w:val="center"/>
              <w:rPr>
                <w:rFonts w:ascii="Calibri;sans-serif" w:hAnsi="Calibri;sans-serif"/>
                <w:b w:val="false"/>
                <w:sz w:val="22"/>
              </w:rPr>
            </w:pPr>
            <w:r>
              <w:rPr>
                <w:rFonts w:ascii="Calibri;sans-serif" w:hAnsi="Calibri;sans-serif"/>
                <w:b w:val="false"/>
                <w:sz w:val="22"/>
              </w:rPr>
              <w:t>West Group</w:t>
            </w:r>
          </w:p>
        </w:tc>
      </w:tr>
      <w:tr>
        <w:trPr/>
        <w:tc>
          <w:tcPr>
            <w:tcW w:w="17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Operating Locations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8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 xml:space="preserve">Alabama, Florida, Georgia, Indiana, </w:t>
              <w:br/>
              <w:t xml:space="preserve">Iowa, Kansas, Kentucky, Maryland, </w:t>
              <w:br/>
              <w:t xml:space="preserve">Minnesota, Missouri, </w:t>
              <w:br/>
              <w:t>Nebraska, North Carolina, Ohio,</w:t>
              <w:br/>
              <w:t xml:space="preserve">Pennsylvania, South Carolina, </w:t>
              <w:br/>
              <w:t xml:space="preserve">Tennessee, Virginia, West Virginia, </w:t>
              <w:br/>
              <w:t>Nova Scotia and The Bahamas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34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 w:hAnsi="Calibri"/>
                <w:sz w:val="22"/>
              </w:rPr>
            </w:pPr>
            <w:r>
              <w:rPr>
                <w:rFonts w:ascii="Calibri;sans-serif" w:hAnsi="Calibri;sans-serif"/>
                <w:b w:val="false"/>
                <w:sz w:val="22"/>
              </w:rPr>
              <w:t>Arizona, Arkansas, California, Colorado, Louisiana, Oklahoma, Texas, Utah,</w:t>
              <w:br/>
              <w:t>Washington and Wyoming</w:t>
            </w:r>
            <w:r>
              <w:rPr>
                <w:rFonts w:ascii="Calibri" w:hAnsi="Calibri"/>
                <w:sz w:val="22"/>
              </w:rPr>
              <w:t xml:space="preserve"> </w:t>
            </w:r>
          </w:p>
          <w:p>
            <w:pPr>
              <w:pStyle w:val="TableContents"/>
              <w:spacing w:before="0" w:after="0"/>
              <w:ind w:left="0" w:right="0" w:hanging="0"/>
              <w:jc w:val="center"/>
              <w:rPr/>
            </w:pPr>
            <w:r>
              <w:rPr/>
              <w:t> </w:t>
            </w:r>
          </w:p>
        </w:tc>
      </w:tr>
      <w:tr>
        <w:trPr/>
        <w:tc>
          <w:tcPr>
            <w:tcW w:w="17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784"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34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7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Product Lines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78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Aggregates and Asphalt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34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Aggregates, Cement, Ready Mixed Concrete, Asphalt and Paving</w:t>
            </w:r>
          </w:p>
        </w:tc>
      </w:tr>
    </w:tbl>
    <w:p>
      <w:pPr>
        <w:pStyle w:val="TextBody"/>
        <w:spacing w:before="200" w:after="0"/>
        <w:jc w:val="both"/>
        <w:rPr>
          <w:rFonts w:ascii="Calibri" w:hAnsi="Calibri"/>
          <w:sz w:val="22"/>
        </w:rPr>
      </w:pPr>
      <w:r>
        <w:rPr>
          <w:rFonts w:ascii="Calibri;sans-serif" w:hAnsi="Calibri;sans-serif"/>
          <w:b w:val="false"/>
          <w:sz w:val="22"/>
        </w:rPr>
        <w:t>The Company’s Magnesia Specialties business, which represents a separate reportable segment, has manufacturing facilities in Manistee, Michigan, and Woodville, Ohio. The Magnesia Specialties business produces magnesia-based chemicals products used in industrial, agricultural and environmental applications, and dolomitic lime sold primarily to customers for steel production and soil stabilization.</w:t>
      </w:r>
      <w:r>
        <w:rPr>
          <w:rFonts w:ascii="Calibri" w:hAnsi="Calibri"/>
          <w:sz w:val="22"/>
        </w:rPr>
        <w:t xml:space="preserve"> </w:t>
      </w:r>
    </w:p>
    <w:p>
      <w:pPr>
        <w:pStyle w:val="TextBody"/>
        <w:spacing w:before="240" w:after="0"/>
        <w:jc w:val="left"/>
        <w:rPr>
          <w:rFonts w:ascii="Calibri" w:hAnsi="Calibri"/>
          <w:sz w:val="22"/>
        </w:rPr>
      </w:pPr>
      <w:r>
        <w:rPr>
          <w:rFonts w:ascii="Calibri;sans-serif" w:hAnsi="Calibri;sans-serif"/>
          <w:b/>
          <w:sz w:val="22"/>
        </w:rPr>
        <w:t>Basis of Presentation and Use of Estimates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2022. In the opinion of management, the interim consolidated financial information provided herein reflects all adjustments, consisting of normal recurring accruals, necessary for a fair statement of the results of operations, financial position</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7</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120" w:after="0"/>
        <w:jc w:val="both"/>
        <w:rPr>
          <w:rFonts w:ascii="Calibri;sans-serif" w:hAnsi="Calibri;sans-serif"/>
          <w:b w:val="false"/>
          <w:sz w:val="22"/>
        </w:rPr>
      </w:pPr>
      <w:r>
        <w:rPr>
          <w:rFonts w:ascii="Calibri;sans-serif" w:hAnsi="Calibri;sans-serif"/>
          <w:b w:val="false"/>
          <w:sz w:val="22"/>
        </w:rPr>
        <w:t>and cash flows for the interim periods. The consolidated results of operations for the three months ended March 31, 2023 are not necessarily indicative of the results expected for other interim periods or the full year. The consolidated balance sheet at December 31, 2022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2022.</w:t>
      </w:r>
    </w:p>
    <w:p>
      <w:pPr>
        <w:pStyle w:val="TextBody"/>
        <w:spacing w:before="120" w:after="0"/>
        <w:jc w:val="both"/>
        <w:rPr>
          <w:rFonts w:ascii="Calibri;sans-serif" w:hAnsi="Calibri;sans-serif"/>
          <w:b w:val="false"/>
          <w:sz w:val="22"/>
        </w:rPr>
      </w:pPr>
      <w:r>
        <w:rPr>
          <w:rFonts w:ascii="Calibri;sans-serif" w:hAnsi="Calibri;sans-serif"/>
          <w:b w:val="false"/>
          <w:sz w:val="22"/>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pStyle w:val="TextBody"/>
        <w:spacing w:before="240" w:after="0"/>
        <w:jc w:val="left"/>
        <w:rPr>
          <w:rFonts w:ascii="Calibri;sans-serif" w:hAnsi="Calibri;sans-serif"/>
          <w:b/>
          <w:sz w:val="22"/>
        </w:rPr>
      </w:pPr>
      <w:r>
        <w:rPr>
          <w:rFonts w:ascii="Calibri;sans-serif" w:hAnsi="Calibri;sans-serif"/>
          <w:b/>
          <w:sz w:val="22"/>
        </w:rPr>
        <w:t>Revenue Recognition</w:t>
      </w:r>
    </w:p>
    <w:p>
      <w:pPr>
        <w:pStyle w:val="TextBody"/>
        <w:spacing w:before="120" w:after="0"/>
        <w:jc w:val="both"/>
        <w:rPr>
          <w:rFonts w:ascii="Calibri;sans-serif" w:hAnsi="Calibri;sans-serif"/>
          <w:b w:val="false"/>
          <w:sz w:val="22"/>
        </w:rPr>
      </w:pPr>
      <w:r>
        <w:rPr>
          <w:rFonts w:ascii="Calibri;sans-serif" w:hAnsi="Calibri;sans-serif"/>
          <w:b w:val="false"/>
          <w:sz w:val="22"/>
        </w:rPr>
        <w:t>Total revenues include sales of products and services to customers, net of discounts or allowances, if any, and freight and delivery costs billed to customers. Product revenues are recognized when control of the promised good is transferred to unaffiliated customers, typically when finished products are shipped. Intersegment and interproduct revenues are eliminated in consolidation. Service revenues are derived from the paving business and are recognized using the percentage-of-completion method under the cost-to-cost approach. When the Company arranges third-party freight to deliver products to customers, the Company has elected the delivery to be a fulfillment activity rather than a separate performance obligation. Further, the Company acts as a principal in the delivery arrangements and, as required by Accounting Standards Codification (ASC) 606, the related revenues and costs are presented gross in the consolidated statements of earnings and are recognized consistently with the timing of the product revenues.</w:t>
      </w:r>
    </w:p>
    <w:p>
      <w:pPr>
        <w:pStyle w:val="TextBody"/>
        <w:spacing w:before="240" w:after="0"/>
        <w:jc w:val="left"/>
        <w:rPr>
          <w:rFonts w:ascii="Calibri" w:hAnsi="Calibri"/>
          <w:sz w:val="22"/>
        </w:rPr>
      </w:pPr>
      <w:r>
        <w:rPr>
          <w:rFonts w:ascii="Calibri;sans-serif" w:hAnsi="Calibri;sans-serif"/>
          <w:b/>
          <w:sz w:val="22"/>
        </w:rPr>
        <w:t>Restricted Cash</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At March 31, 2023 and December 31, 2022, the Company had restricted cash of $0.1</w:t>
      </w:r>
      <w:r>
        <w:rPr>
          <w:rFonts w:ascii="Calibri" w:hAnsi="Calibri"/>
          <w:sz w:val="22"/>
        </w:rPr>
        <w:t xml:space="preserve"> </w:t>
      </w:r>
      <w:r>
        <w:rPr>
          <w:rFonts w:ascii="Calibri;sans-serif" w:hAnsi="Calibri;sans-serif"/>
          <w:b w:val="false"/>
          <w:sz w:val="22"/>
        </w:rPr>
        <w:t>million</w:t>
      </w:r>
      <w:r>
        <w:rPr>
          <w:rFonts w:ascii="Calibri" w:hAnsi="Calibri"/>
          <w:sz w:val="22"/>
        </w:rPr>
        <w:t xml:space="preserve"> </w:t>
      </w:r>
      <w:r>
        <w:rPr>
          <w:rFonts w:ascii="Calibri;sans-serif" w:hAnsi="Calibri;sans-serif"/>
          <w:b w:val="false"/>
          <w:sz w:val="22"/>
        </w:rPr>
        <w:t>and $0.8</w:t>
      </w:r>
      <w:r>
        <w:rPr>
          <w:rFonts w:ascii="Calibri" w:hAnsi="Calibri"/>
          <w:sz w:val="22"/>
        </w:rPr>
        <w:t xml:space="preserve"> </w:t>
      </w:r>
      <w:r>
        <w:rPr>
          <w:rFonts w:ascii="Calibri;sans-serif" w:hAnsi="Calibri;sans-serif"/>
          <w:b w:val="false"/>
          <w:sz w:val="22"/>
        </w:rPr>
        <w:t>million, respectively, which was invested in an account designated for the purchase of like-kind exchange replacement assets under Section 1031 of the Internal Revenue Code and related IRS procedures (Section 1031). The Company is restricted from utilizing the cash for purposes other than the purchase of qualified assets for 180</w:t>
      </w:r>
      <w:r>
        <w:rPr>
          <w:rFonts w:ascii="Calibri" w:hAnsi="Calibri"/>
          <w:sz w:val="22"/>
        </w:rPr>
        <w:t xml:space="preserve"> </w:t>
      </w:r>
      <w:r>
        <w:rPr>
          <w:rFonts w:ascii="Calibri;sans-serif" w:hAnsi="Calibri;sans-serif"/>
          <w:b w:val="false"/>
          <w:sz w:val="22"/>
        </w:rPr>
        <w:t>days from receipt of the proceeds from the sale of the exchanged property.</w:t>
      </w:r>
      <w:r>
        <w:rPr>
          <w:rFonts w:ascii="Calibri" w:hAnsi="Calibri"/>
          <w:sz w:val="22"/>
        </w:rPr>
        <w:t xml:space="preserve"> </w:t>
      </w:r>
      <w:r>
        <w:rPr>
          <w:rFonts w:ascii="Calibri;sans-serif" w:hAnsi="Calibri;sans-serif"/>
          <w:b w:val="false"/>
          <w:sz w:val="22"/>
        </w:rPr>
        <w:t>Any unused cash at the end of the 180</w:t>
      </w:r>
      <w:r>
        <w:rPr>
          <w:rFonts w:ascii="Calibri" w:hAnsi="Calibri"/>
          <w:sz w:val="22"/>
        </w:rPr>
        <w:t xml:space="preserve"> </w:t>
      </w:r>
      <w:r>
        <w:rPr>
          <w:rFonts w:ascii="Calibri;sans-serif" w:hAnsi="Calibri;sans-serif"/>
          <w:b w:val="false"/>
          <w:sz w:val="22"/>
        </w:rPr>
        <w:t>days is transferred to unrestricted accounts of the Company and used for general corporate purposes.</w:t>
      </w:r>
    </w:p>
    <w:p>
      <w:pPr>
        <w:pStyle w:val="TextBody"/>
        <w:spacing w:before="120" w:after="0"/>
        <w:jc w:val="both"/>
        <w:rPr>
          <w:rFonts w:ascii="Calibri;sans-serif" w:hAnsi="Calibri;sans-serif"/>
          <w:b w:val="false"/>
          <w:sz w:val="22"/>
        </w:rPr>
      </w:pPr>
      <w:r>
        <w:rPr>
          <w:rFonts w:ascii="Calibri;sans-serif" w:hAnsi="Calibri;sans-serif"/>
          <w:b w:val="false"/>
          <w:sz w:val="22"/>
        </w:rPr>
        <w:t>The statements of cash flows reflect cash flow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flows:</w:t>
      </w:r>
    </w:p>
    <w:p>
      <w:pPr>
        <w:pStyle w:val="TextBody"/>
        <w:spacing w:before="0" w:after="0"/>
        <w:jc w:val="both"/>
        <w:rPr/>
      </w:pPr>
      <w:r>
        <w:rPr/>
        <w:t> </w:t>
      </w:r>
    </w:p>
    <w:tbl>
      <w:tblPr>
        <w:tblW w:w="8250" w:type="dxa"/>
        <w:jc w:val="left"/>
        <w:tblInd w:w="0" w:type="dxa"/>
        <w:tblCellMar>
          <w:top w:w="28" w:type="dxa"/>
          <w:left w:w="28" w:type="dxa"/>
          <w:bottom w:w="28" w:type="dxa"/>
          <w:right w:w="28" w:type="dxa"/>
        </w:tblCellMar>
      </w:tblPr>
      <w:tblGrid>
        <w:gridCol w:w="5221"/>
        <w:gridCol w:w="146"/>
        <w:gridCol w:w="268"/>
        <w:gridCol w:w="767"/>
        <w:gridCol w:w="146"/>
        <w:gridCol w:w="146"/>
        <w:gridCol w:w="353"/>
        <w:gridCol w:w="1012"/>
        <w:gridCol w:w="191"/>
      </w:tblGrid>
      <w:tr>
        <w:trPr/>
        <w:tc>
          <w:tcPr>
            <w:tcW w:w="5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5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2"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52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7"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358.0</w:t>
            </w:r>
          </w:p>
        </w:tc>
        <w:tc>
          <w:tcPr>
            <w:tcW w:w="191" w:type="dxa"/>
            <w:tcBorders/>
            <w:shd w:fill="auto" w:val="clear"/>
            <w:vAlign w:val="center"/>
          </w:tcPr>
          <w:p>
            <w:pPr>
              <w:pStyle w:val="TableContents"/>
              <w:spacing w:before="0" w:after="0"/>
              <w:ind w:left="0" w:right="0" w:hanging="0"/>
              <w:jc w:val="left"/>
              <w:rPr/>
            </w:pPr>
            <w:r>
              <w:rPr/>
              <w:t> </w:t>
            </w:r>
          </w:p>
        </w:tc>
      </w:tr>
      <w:tr>
        <w:trPr/>
        <w:tc>
          <w:tcPr>
            <w:tcW w:w="52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 xml:space="preserve">Total cash, cash equivalents and restricted cash </w:t>
              <w:br/>
              <w:t>   presented in the consolidated statements of cash flows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358.8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left"/>
        <w:rPr>
          <w:rFonts w:ascii="Calibri" w:hAnsi="Calibri"/>
          <w:sz w:val="22"/>
        </w:rPr>
      </w:pPr>
      <w:r>
        <w:rPr>
          <w:rFonts w:ascii="Calibri;sans-serif" w:hAnsi="Calibri;sans-serif"/>
          <w:b/>
          <w:sz w:val="22"/>
        </w:rPr>
        <w:t>Restricted Investments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At March 31, 2023 and December 31, 2022, the Company had $702.3</w:t>
      </w:r>
      <w:r>
        <w:rPr>
          <w:rFonts w:ascii="Calibri" w:hAnsi="Calibri"/>
          <w:sz w:val="22"/>
        </w:rPr>
        <w:t xml:space="preserve"> </w:t>
      </w:r>
      <w:r>
        <w:rPr>
          <w:rFonts w:ascii="Calibri;sans-serif" w:hAnsi="Calibri;sans-serif"/>
          <w:b w:val="false"/>
          <w:sz w:val="22"/>
        </w:rPr>
        <w:t>million</w:t>
      </w:r>
      <w:r>
        <w:rPr>
          <w:rFonts w:ascii="Calibri" w:hAnsi="Calibri"/>
          <w:sz w:val="22"/>
        </w:rPr>
        <w:t xml:space="preserve"> </w:t>
      </w:r>
      <w:r>
        <w:rPr>
          <w:rFonts w:ascii="Calibri;sans-serif" w:hAnsi="Calibri;sans-serif"/>
          <w:b w:val="false"/>
          <w:sz w:val="22"/>
        </w:rPr>
        <w:t>and $704.6</w:t>
      </w:r>
      <w:r>
        <w:rPr>
          <w:rFonts w:ascii="Calibri" w:hAnsi="Calibri"/>
          <w:sz w:val="22"/>
        </w:rPr>
        <w:t xml:space="preserve"> </w:t>
      </w:r>
      <w:r>
        <w:rPr>
          <w:rFonts w:ascii="Calibri;sans-serif" w:hAnsi="Calibri;sans-serif"/>
          <w:b w:val="false"/>
          <w:sz w:val="22"/>
        </w:rPr>
        <w:t>million, respectively, of restricted investments, representing assets irrevocably transferred to an escrow trust account to satisfy and discharge</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8</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120" w:after="0"/>
        <w:jc w:val="both"/>
        <w:rPr>
          <w:rFonts w:ascii="Calibri" w:hAnsi="Calibri"/>
          <w:sz w:val="22"/>
        </w:rPr>
      </w:pPr>
      <w:r>
        <w:rPr>
          <w:rFonts w:ascii="Calibri;sans-serif" w:hAnsi="Calibri;sans-serif"/>
          <w:b w:val="false"/>
          <w:sz w:val="22"/>
        </w:rPr>
        <w:t>the Company’s $700.0</w:t>
      </w:r>
      <w:r>
        <w:rPr>
          <w:rFonts w:ascii="Calibri" w:hAnsi="Calibri"/>
          <w:sz w:val="22"/>
        </w:rPr>
        <w:t xml:space="preserve"> </w:t>
      </w:r>
      <w:r>
        <w:rPr>
          <w:rFonts w:ascii="Calibri;sans-serif" w:hAnsi="Calibri;sans-serif"/>
          <w:b w:val="false"/>
          <w:sz w:val="22"/>
        </w:rPr>
        <w:t>million of 0.650% Senior Notes due 2023</w:t>
      </w:r>
      <w:r>
        <w:rPr>
          <w:rFonts w:ascii="Calibri" w:hAnsi="Calibri"/>
          <w:sz w:val="22"/>
        </w:rPr>
        <w:t xml:space="preserve"> </w:t>
      </w:r>
      <w:r>
        <w:rPr>
          <w:rFonts w:ascii="Calibri;sans-serif" w:hAnsi="Calibri;sans-serif"/>
          <w:b w:val="false"/>
          <w:sz w:val="22"/>
        </w:rPr>
        <w:t>(the 2023 Notes) (see Note 4). The assets in the escrow trust account may not be used for any purpose other than to satisfy the remaining interest payments and to repay the principal amount of the 2023 Notes on the maturity date of July 15, 2023. The assets transferred to the escrow trust account are invested in a U.S. Treasury securities fund (see Note 5) and investment returns on those trust assets are for the account of the Company (after satisfaction of all amounts payable in connection with the 2023 Notes). The Company consolidated the trust account on its balance sheets at March 31, 2023 and December 31, 2022.</w:t>
      </w:r>
      <w:r>
        <w:rPr>
          <w:rFonts w:ascii="Calibri" w:hAnsi="Calibri"/>
          <w:sz w:val="22"/>
        </w:rPr>
        <w:t xml:space="preserve"> </w:t>
      </w:r>
    </w:p>
    <w:p>
      <w:pPr>
        <w:pStyle w:val="TextBody"/>
        <w:spacing w:before="240" w:after="0"/>
        <w:jc w:val="left"/>
        <w:rPr>
          <w:rFonts w:ascii="Calibri" w:hAnsi="Calibri"/>
          <w:sz w:val="22"/>
        </w:rPr>
      </w:pPr>
      <w:r>
        <w:rPr>
          <w:rFonts w:ascii="Calibri;sans-serif" w:hAnsi="Calibri;sans-serif"/>
          <w:b/>
          <w:sz w:val="22"/>
        </w:rPr>
        <w:t>Consolidated Comprehensive Earnings (Loss) and Accumulated Other Comprehensive Loss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Consolidated comprehensive earnings (loss) consist of consolidated net earnings, adjustments for the funded status of pension and postretirement benefit plans and foreign currency translation adjustments, and are presented in the Company’s consolidated statements of earnings and comprehensive earnings.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Consolidated comprehensive earnings (loss) attributable to Martin Marietta is as follows:</w:t>
      </w:r>
      <w:r>
        <w:rPr>
          <w:rFonts w:ascii="Calibri" w:hAnsi="Calibri"/>
          <w:sz w:val="22"/>
        </w:rPr>
        <w:t xml:space="preserve"> </w:t>
      </w:r>
    </w:p>
    <w:p>
      <w:pPr>
        <w:pStyle w:val="TextBody"/>
        <w:spacing w:before="0" w:after="0"/>
        <w:jc w:val="left"/>
        <w:rPr/>
      </w:pPr>
      <w:r>
        <w:rPr/>
        <w:t> </w:t>
      </w:r>
    </w:p>
    <w:tbl>
      <w:tblPr>
        <w:tblW w:w="7841" w:type="dxa"/>
        <w:jc w:val="left"/>
        <w:tblInd w:w="0" w:type="dxa"/>
        <w:tblCellMar>
          <w:top w:w="28" w:type="dxa"/>
          <w:left w:w="28" w:type="dxa"/>
          <w:bottom w:w="28" w:type="dxa"/>
          <w:right w:w="28" w:type="dxa"/>
        </w:tblCellMar>
      </w:tblPr>
      <w:tblGrid>
        <w:gridCol w:w="5476"/>
        <w:gridCol w:w="146"/>
        <w:gridCol w:w="226"/>
        <w:gridCol w:w="647"/>
        <w:gridCol w:w="146"/>
        <w:gridCol w:w="146"/>
        <w:gridCol w:w="226"/>
        <w:gridCol w:w="602"/>
        <w:gridCol w:w="226"/>
      </w:tblGrid>
      <w:tr>
        <w:trPr/>
        <w:tc>
          <w:tcPr>
            <w:tcW w:w="5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5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3"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226" w:type="dxa"/>
            <w:tcBorders/>
            <w:shd w:fill="auto" w:val="cle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3"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226" w:type="dxa"/>
            <w:tcBorders/>
            <w:shd w:fill="auto" w:val="cle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Net earnings attributable to Martin Marietta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7"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0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21.4</w:t>
            </w:r>
          </w:p>
        </w:tc>
        <w:tc>
          <w:tcPr>
            <w:tcW w:w="226"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Other comprehensive earnings (loss), net of tax</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(31.6</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5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 xml:space="preserve">Consolidated comprehensive earnings (loss) attributable to </w:t>
              <w:br/>
              <w:t>   Martin Marietta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(10.2</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200" w:after="0"/>
        <w:jc w:val="both"/>
        <w:rPr>
          <w:rFonts w:ascii="Calibri" w:hAnsi="Calibri"/>
          <w:sz w:val="22"/>
        </w:rPr>
      </w:pPr>
      <w:r>
        <w:rPr>
          <w:rFonts w:ascii="Calibri;sans-serif" w:hAnsi="Calibri;sans-serif"/>
          <w:b w:val="false"/>
          <w:sz w:val="22"/>
        </w:rPr>
        <w:t>Accumulated other comprehensive loss consists of unrecognized gains and losses related to the funded status of the pension and postretirement benefit plans and foreign currency translation and is presented on the Company’s consolidated balance sheets.</w:t>
      </w:r>
      <w:r>
        <w:rPr>
          <w:rFonts w:ascii="Calibri" w:hAnsi="Calibri"/>
          <w:sz w:val="22"/>
        </w:rPr>
        <w:t xml:space="preserve">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9</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200" w:after="0"/>
        <w:jc w:val="both"/>
        <w:rPr>
          <w:rFonts w:ascii="Calibri" w:hAnsi="Calibri"/>
          <w:sz w:val="22"/>
        </w:rPr>
      </w:pPr>
      <w:r>
        <w:rPr>
          <w:rFonts w:ascii="Calibri;sans-serif" w:hAnsi="Calibri;sans-serif"/>
          <w:b w:val="false"/>
          <w:sz w:val="22"/>
        </w:rPr>
        <w:t>The components of the changes in accumulated other comprehensive loss, net of tax, are as follows:</w:t>
      </w:r>
      <w:r>
        <w:rPr>
          <w:rFonts w:ascii="Calibri" w:hAnsi="Calibri"/>
          <w:sz w:val="22"/>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001"/>
        <w:gridCol w:w="146"/>
        <w:gridCol w:w="530"/>
        <w:gridCol w:w="1628"/>
        <w:gridCol w:w="166"/>
        <w:gridCol w:w="146"/>
        <w:gridCol w:w="426"/>
        <w:gridCol w:w="880"/>
        <w:gridCol w:w="166"/>
        <w:gridCol w:w="146"/>
        <w:gridCol w:w="431"/>
        <w:gridCol w:w="1325"/>
        <w:gridCol w:w="214"/>
      </w:tblGrid>
      <w:tr>
        <w:trPr/>
        <w:tc>
          <w:tcPr>
            <w:tcW w:w="4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4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4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i/>
                <w:sz w:val="21"/>
              </w:rPr>
            </w:pPr>
            <w:r>
              <w:rPr>
                <w:rFonts w:ascii="Calibri;sans-serif" w:hAnsi="Calibri;sans-serif"/>
                <w:b w:val="false"/>
                <w:i/>
                <w:sz w:val="21"/>
              </w:rPr>
              <w:t>(Dollars in Millions)</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1"/>
              </w:rPr>
            </w:pPr>
            <w:r>
              <w:rPr>
                <w:rFonts w:ascii="Calibri;sans-serif" w:hAnsi="Calibri;sans-serif"/>
                <w:b w:val="false"/>
                <w:sz w:val="21"/>
              </w:rPr>
              <w:t>Pension and</w:t>
              <w:br/>
              <w:t>Postretirement Benefit Plans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1"/>
              </w:rPr>
            </w:pPr>
            <w:r>
              <w:rPr>
                <w:rFonts w:ascii="Calibri;sans-serif" w:hAnsi="Calibri;sans-serif"/>
                <w:b w:val="false"/>
                <w:sz w:val="21"/>
              </w:rPr>
              <w:t>Foreign Currency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1"/>
              </w:rPr>
            </w:pPr>
            <w:r>
              <w:rPr>
                <w:rFonts w:ascii="Calibri;sans-serif" w:hAnsi="Calibri;sans-serif"/>
                <w:b w:val="false"/>
                <w:sz w:val="21"/>
              </w:rPr>
              <w:t>Accumulated</w:t>
              <w:br/>
              <w:t>Other Comprehensive</w:t>
              <w:br/>
              <w:t>Loss</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4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1"/>
              </w:rPr>
            </w:pPr>
            <w:r>
              <w:rPr>
                <w:rFonts w:ascii="Calibri;sans-serif" w:hAnsi="Calibri;sans-serif"/>
                <w:b w:val="false"/>
                <w:sz w:val="21"/>
              </w:rPr>
              <w:t>Three Months Ended March 31, 2023</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(38.5</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 xml:space="preserve">Other comprehensive earnings before reclassifications, </w:t>
              <w:br/>
              <w:t>   net of tax</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left"/>
              <w:rPr/>
            </w:pPr>
            <w:r>
              <w:rPr/>
              <w:t> </w:t>
            </w:r>
          </w:p>
        </w:tc>
        <w:tc>
          <w:tcPr>
            <w:tcW w:w="162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1325" w:type="dxa"/>
            <w:tcBorders/>
            <w:shd w:fill="auto" w:val="cle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0.1</w:t>
            </w:r>
          </w:p>
        </w:tc>
        <w:tc>
          <w:tcPr>
            <w:tcW w:w="214" w:type="dxa"/>
            <w:tcBorders/>
            <w:shd w:fill="auto" w:val="clear"/>
            <w:vAlign w:val="center"/>
          </w:tcPr>
          <w:p>
            <w:pPr>
              <w:pStyle w:val="TableContents"/>
              <w:spacing w:before="0" w:after="0"/>
              <w:ind w:left="0" w:right="0" w:hanging="0"/>
              <w:jc w:val="left"/>
              <w:rPr/>
            </w:pPr>
            <w:r>
              <w:rPr/>
              <w:t> </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Amounts reclassified from accumulated other</w:t>
              <w:br/>
              <w:t>   comprehensive loss, net of tax</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1.0</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Other comprehensive earnings, net of tax</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1.1</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6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(37.4</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r>
      <w:tr>
        <w:trPr/>
        <w:tc>
          <w:tcPr>
            <w:tcW w:w="4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6"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4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4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1"/>
              </w:rPr>
            </w:pPr>
            <w:r>
              <w:rPr>
                <w:rFonts w:ascii="Calibri;sans-serif" w:hAnsi="Calibri;sans-serif"/>
                <w:b w:val="false"/>
                <w:sz w:val="21"/>
              </w:rPr>
              <w:t>Three Months Ended March 31, 2022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(97.6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(97.6</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 xml:space="preserve">Other comprehensive (loss) earnings before reclassifications, </w:t>
              <w:br/>
              <w:t>   net of tax</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left"/>
              <w:rPr/>
            </w:pPr>
            <w:r>
              <w:rPr/>
              <w:t> </w:t>
            </w:r>
          </w:p>
        </w:tc>
        <w:tc>
          <w:tcPr>
            <w:tcW w:w="1628" w:type="dxa"/>
            <w:tcBorders/>
            <w:shd w:fill="auto" w:val="cle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(33.3</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1325" w:type="dxa"/>
            <w:tcBorders/>
            <w:shd w:fill="auto" w:val="cle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(32.9</w:t>
            </w:r>
          </w:p>
        </w:tc>
        <w:tc>
          <w:tcPr>
            <w:tcW w:w="214"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 xml:space="preserve">Amounts reclassified from accumulated other </w:t>
              <w:br/>
              <w:t>   comprehensive loss, net of tax</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1.3</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Other comprehensive (loss) earnings, net of tax</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(31.6</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r>
      <w:tr>
        <w:trPr/>
        <w:tc>
          <w:tcPr>
            <w:tcW w:w="4001" w:type="dxa"/>
            <w:tcBorders/>
            <w:shd w:fill="auto" w:val="cle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6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(129.6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c>
          <w:tcPr>
            <w:tcW w:w="1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1"/>
              </w:rPr>
            </w:pPr>
            <w:r>
              <w:rPr>
                <w:rFonts w:ascii="Calibri;sans-serif" w:hAnsi="Calibri;sans-serif"/>
                <w:b w:val="false"/>
                <w:sz w:val="21"/>
              </w:rPr>
              <w:t>(129.2</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1"/>
              </w:rPr>
            </w:pPr>
            <w:r>
              <w:rPr>
                <w:rFonts w:ascii="Calibri;sans-serif" w:hAnsi="Calibri;sans-serif"/>
                <w:b w:val="false"/>
                <w:sz w:val="21"/>
              </w:rPr>
              <w:t>)</w:t>
            </w:r>
          </w:p>
        </w:tc>
      </w:tr>
    </w:tbl>
    <w:p>
      <w:pPr>
        <w:pStyle w:val="TextBody"/>
        <w:spacing w:before="200" w:after="0"/>
        <w:jc w:val="both"/>
        <w:rPr>
          <w:rFonts w:ascii="Calibri" w:hAnsi="Calibri"/>
          <w:sz w:val="22"/>
        </w:rPr>
      </w:pPr>
      <w:r>
        <w:rPr>
          <w:rFonts w:ascii="Calibri;sans-serif" w:hAnsi="Calibri;sans-serif"/>
          <w:b w:val="false"/>
          <w:sz w:val="22"/>
        </w:rPr>
        <w:t>The $33.3</w:t>
      </w:r>
      <w:r>
        <w:rPr>
          <w:rFonts w:ascii="Calibri" w:hAnsi="Calibri"/>
          <w:sz w:val="22"/>
        </w:rPr>
        <w:t xml:space="preserve"> </w:t>
      </w:r>
      <w:r>
        <w:rPr>
          <w:rFonts w:ascii="Calibri;sans-serif" w:hAnsi="Calibri;sans-serif"/>
          <w:b w:val="false"/>
          <w:sz w:val="22"/>
        </w:rPr>
        <w:t>million, net of tax, other comprehensive loss before reclassifications in the Pension and Postretirement Benefit Plans for the three months ended March 31, 2022 was driven by the remeasurement of the funded status of the Company’s qualified pension plan, required as a result of a plan amendment that provided an enhanced benefit for eligible hourly employees.</w:t>
      </w:r>
    </w:p>
    <w:p>
      <w:pPr>
        <w:pStyle w:val="TextBody"/>
        <w:spacing w:before="120" w:after="0"/>
        <w:jc w:val="both"/>
        <w:rPr>
          <w:rFonts w:ascii="Calibri" w:hAnsi="Calibri"/>
          <w:sz w:val="22"/>
        </w:rPr>
      </w:pPr>
      <w:r>
        <w:rPr>
          <w:rFonts w:ascii="Calibri;sans-serif" w:hAnsi="Calibri;sans-serif"/>
          <w:b w:val="false"/>
          <w:sz w:val="22"/>
        </w:rPr>
        <w:t>Changes in net noncurrent deferred tax assets related to accumulated other comprehensive loss are as follows:</w:t>
      </w:r>
      <w:r>
        <w:rPr>
          <w:rFonts w:ascii="Calibri" w:hAnsi="Calibri"/>
          <w:sz w:val="22"/>
        </w:rPr>
        <w:t xml:space="preserve"> </w:t>
      </w:r>
    </w:p>
    <w:p>
      <w:pPr>
        <w:pStyle w:val="TextBody"/>
        <w:spacing w:before="0" w:after="0"/>
        <w:jc w:val="left"/>
        <w:rPr/>
      </w:pPr>
      <w:r>
        <w:rPr/>
        <w:t> </w:t>
      </w:r>
    </w:p>
    <w:tbl>
      <w:tblPr>
        <w:tblW w:w="8707" w:type="dxa"/>
        <w:jc w:val="left"/>
        <w:tblInd w:w="0" w:type="dxa"/>
        <w:tblCellMar>
          <w:top w:w="28" w:type="dxa"/>
          <w:left w:w="28" w:type="dxa"/>
          <w:bottom w:w="28" w:type="dxa"/>
          <w:right w:w="28" w:type="dxa"/>
        </w:tblCellMar>
      </w:tblPr>
      <w:tblGrid>
        <w:gridCol w:w="4531"/>
        <w:gridCol w:w="146"/>
        <w:gridCol w:w="474"/>
        <w:gridCol w:w="1103"/>
        <w:gridCol w:w="379"/>
        <w:gridCol w:w="306"/>
        <w:gridCol w:w="474"/>
        <w:gridCol w:w="1103"/>
        <w:gridCol w:w="191"/>
      </w:tblGrid>
      <w:tr>
        <w:trPr/>
        <w:tc>
          <w:tcPr>
            <w:tcW w:w="4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3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Pension and Postretirement Benefit Plans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39"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3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6" w:type="dxa"/>
            <w:tcBorders/>
            <w:shd w:fill="auto" w:val="clear"/>
            <w:vAlign w:val="center"/>
          </w:tcPr>
          <w:p>
            <w:pPr>
              <w:pStyle w:val="TableContents"/>
              <w:spacing w:before="0" w:after="0"/>
              <w:ind w:left="0" w:right="0" w:hanging="0"/>
              <w:jc w:val="center"/>
              <w:rPr/>
            </w:pPr>
            <w:r>
              <w:rPr/>
              <w:t> </w:t>
            </w:r>
          </w:p>
        </w:tc>
        <w:tc>
          <w:tcPr>
            <w:tcW w:w="15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39"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103"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50.1</w:t>
            </w:r>
          </w:p>
        </w:tc>
        <w:tc>
          <w:tcPr>
            <w:tcW w:w="379"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103"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69.7</w:t>
            </w:r>
          </w:p>
        </w:tc>
        <w:tc>
          <w:tcPr>
            <w:tcW w:w="19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Tax effect of other comprehensive (earnings) loss</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(0.3</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306" w:type="dxa"/>
            <w:tcBorders/>
            <w:shd w:fill="auto" w:val="clear"/>
            <w:vAlign w:val="center"/>
          </w:tcPr>
          <w:p>
            <w:pPr>
              <w:pStyle w:val="TableContents"/>
              <w:spacing w:before="0" w:after="0"/>
              <w:ind w:left="0" w:right="0" w:hanging="0"/>
              <w:jc w:val="right"/>
              <w:rPr/>
            </w:pPr>
            <w:r>
              <w:rPr/>
              <w:t> </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1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49.8</w:t>
            </w:r>
          </w:p>
        </w:tc>
        <w:tc>
          <w:tcPr>
            <w:tcW w:w="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4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1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80.2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10</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200" w:after="0"/>
        <w:jc w:val="both"/>
        <w:rPr>
          <w:rFonts w:ascii="Calibri" w:hAnsi="Calibri"/>
          <w:sz w:val="22"/>
        </w:rPr>
      </w:pPr>
      <w:r>
        <w:rPr>
          <w:rFonts w:ascii="Calibri;sans-serif" w:hAnsi="Calibri;sans-serif"/>
          <w:b w:val="false"/>
          <w:sz w:val="22"/>
        </w:rPr>
        <w:t>Reclassifications out of accumulated other comprehensive loss are as follows:</w:t>
      </w:r>
      <w:r>
        <w:rPr>
          <w:rFonts w:ascii="Calibri" w:hAnsi="Calibri"/>
          <w:sz w:val="22"/>
        </w:rPr>
        <w:t xml:space="preserve"> </w:t>
      </w:r>
    </w:p>
    <w:p>
      <w:pPr>
        <w:pStyle w:val="TextBody"/>
        <w:spacing w:before="0" w:after="0"/>
        <w:jc w:val="left"/>
        <w:rPr/>
      </w:pPr>
      <w:r>
        <w:rPr/>
        <w:t> </w:t>
      </w:r>
    </w:p>
    <w:tbl>
      <w:tblPr>
        <w:tblW w:w="8529" w:type="dxa"/>
        <w:jc w:val="left"/>
        <w:tblInd w:w="0" w:type="dxa"/>
        <w:tblCellMar>
          <w:top w:w="28" w:type="dxa"/>
          <w:left w:w="28" w:type="dxa"/>
          <w:bottom w:w="28" w:type="dxa"/>
          <w:right w:w="28" w:type="dxa"/>
        </w:tblCellMar>
      </w:tblPr>
      <w:tblGrid>
        <w:gridCol w:w="2641"/>
        <w:gridCol w:w="146"/>
        <w:gridCol w:w="259"/>
        <w:gridCol w:w="551"/>
        <w:gridCol w:w="207"/>
        <w:gridCol w:w="167"/>
        <w:gridCol w:w="259"/>
        <w:gridCol w:w="551"/>
        <w:gridCol w:w="181"/>
        <w:gridCol w:w="146"/>
        <w:gridCol w:w="342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Affected line items in the</w:t>
            </w:r>
          </w:p>
        </w:tc>
      </w:tr>
      <w:tr>
        <w:trPr/>
        <w:tc>
          <w:tcPr>
            <w:tcW w:w="26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consolidated statements of earnings</w:t>
            </w:r>
          </w:p>
        </w:tc>
      </w:tr>
      <w:tr>
        <w:trPr/>
        <w:tc>
          <w:tcPr>
            <w:tcW w:w="26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7" w:type="dxa"/>
            <w:tcBorders/>
            <w:shd w:fill="auto" w:val="clear"/>
            <w:vAlign w:val="center"/>
          </w:tcPr>
          <w:p>
            <w:pPr>
              <w:pStyle w:val="TableContents"/>
              <w:spacing w:before="0" w:after="0"/>
              <w:ind w:left="0" w:right="0" w:hanging="0"/>
              <w:jc w:val="center"/>
              <w:rPr/>
            </w:pPr>
            <w:r>
              <w:rPr/>
              <w:t> </w:t>
            </w:r>
          </w:p>
        </w:tc>
        <w:tc>
          <w:tcPr>
            <w:tcW w:w="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and comprehensive earnings</w:t>
            </w:r>
          </w:p>
        </w:tc>
      </w:tr>
      <w:tr>
        <w:trPr/>
        <w:tc>
          <w:tcPr>
            <w:tcW w:w="26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1" w:type="dxa"/>
            <w:gridSpan w:val="8"/>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342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Pension and postretirement</w:t>
              <w:br/>
              <w:t>   benefit plans</w:t>
            </w:r>
          </w:p>
        </w:tc>
        <w:tc>
          <w:tcPr>
            <w:tcW w:w="146" w:type="dxa"/>
            <w:tcBorders/>
            <w:shd w:fill="auto" w:val="clear"/>
            <w:vAlign w:val="center"/>
          </w:tcPr>
          <w:p>
            <w:pPr>
              <w:pStyle w:val="TableContents"/>
              <w:spacing w:before="0" w:after="0"/>
              <w:ind w:left="0" w:right="0" w:hanging="0"/>
              <w:jc w:val="left"/>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Amortization of:</w:t>
            </w:r>
          </w:p>
        </w:tc>
        <w:tc>
          <w:tcPr>
            <w:tcW w:w="146" w:type="dxa"/>
            <w:tcBorders/>
            <w:shd w:fill="auto" w:val="clear"/>
            <w:vAlign w:val="center"/>
          </w:tcPr>
          <w:p>
            <w:pPr>
              <w:pStyle w:val="TableContents"/>
              <w:spacing w:before="0" w:after="0"/>
              <w:ind w:left="0" w:right="0" w:hanging="0"/>
              <w:jc w:val="left"/>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283"/>
              <w:ind w:left="0" w:right="0" w:hanging="0"/>
              <w:rPr>
                <w:sz w:val="4"/>
                <w:szCs w:val="4"/>
              </w:rPr>
            </w:pPr>
            <w:r>
              <w:rPr>
                <w:sz w:val="4"/>
                <w:szCs w:val="4"/>
              </w:rPr>
            </w:r>
          </w:p>
        </w:tc>
        <w:tc>
          <w:tcPr>
            <w:tcW w:w="81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21" w:type="dxa"/>
            <w:tcBorders/>
            <w:shd w:fill="auto" w:val="clear"/>
            <w:vAlign w:val="center"/>
          </w:tcPr>
          <w:p>
            <w:pPr>
              <w:pStyle w:val="TableContents"/>
              <w:spacing w:before="0" w:after="0"/>
              <w:ind w:left="0" w:right="0" w:firstLine="400"/>
              <w:jc w:val="left"/>
              <w:rPr/>
            </w:pPr>
            <w:r>
              <w:rPr/>
              <w:t> </w:t>
            </w:r>
          </w:p>
        </w:tc>
      </w:tr>
      <w:tr>
        <w:trPr/>
        <w:tc>
          <w:tcPr>
            <w:tcW w:w="2641" w:type="dxa"/>
            <w:tcBorders/>
            <w:shd w:fill="auto" w:val="clear"/>
            <w:vAlign w:val="center"/>
          </w:tcPr>
          <w:p>
            <w:pPr>
              <w:pStyle w:val="TableContents"/>
              <w:spacing w:before="0" w:after="0"/>
              <w:ind w:left="400" w:right="0" w:hanging="0"/>
              <w:jc w:val="left"/>
              <w:rPr>
                <w:rFonts w:ascii="Calibri;sans-serif" w:hAnsi="Calibri;sans-serif"/>
                <w:b w:val="false"/>
                <w:sz w:val="22"/>
              </w:rPr>
            </w:pPr>
            <w:r>
              <w:rPr>
                <w:rFonts w:ascii="Calibri;sans-serif" w:hAnsi="Calibri;sans-serif"/>
                <w:b w:val="false"/>
                <w:sz w:val="22"/>
              </w:rPr>
              <w:t>Prior service cost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5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w:t>
            </w:r>
          </w:p>
        </w:tc>
        <w:tc>
          <w:tcPr>
            <w:tcW w:w="207"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283"/>
              <w:ind w:left="0" w:right="0" w:hanging="0"/>
              <w:rPr>
                <w:sz w:val="4"/>
                <w:szCs w:val="4"/>
              </w:rPr>
            </w:pPr>
            <w:r>
              <w:rPr>
                <w:sz w:val="4"/>
                <w:szCs w:val="4"/>
              </w:rPr>
            </w:r>
          </w:p>
        </w:tc>
        <w:tc>
          <w:tcPr>
            <w:tcW w:w="25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5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21" w:type="dxa"/>
            <w:tcBorders/>
            <w:shd w:fill="auto" w:val="clear"/>
            <w:vAlign w:val="center"/>
          </w:tcPr>
          <w:p>
            <w:pPr>
              <w:pStyle w:val="TableContents"/>
              <w:spacing w:before="0" w:after="0"/>
              <w:ind w:left="0" w:right="0" w:firstLine="400"/>
              <w:jc w:val="left"/>
              <w:rPr/>
            </w:pPr>
            <w:r>
              <w:rPr/>
              <w:t> </w:t>
            </w:r>
          </w:p>
        </w:tc>
      </w:tr>
      <w:tr>
        <w:trPr/>
        <w:tc>
          <w:tcPr>
            <w:tcW w:w="2641" w:type="dxa"/>
            <w:tcBorders/>
            <w:shd w:fill="auto" w:val="clear"/>
            <w:vAlign w:val="center"/>
          </w:tcPr>
          <w:p>
            <w:pPr>
              <w:pStyle w:val="TableContents"/>
              <w:spacing w:before="0" w:after="0"/>
              <w:ind w:left="400" w:right="0" w:hanging="0"/>
              <w:jc w:val="left"/>
              <w:rPr>
                <w:rFonts w:ascii="Calibri;sans-serif" w:hAnsi="Calibri;sans-serif"/>
                <w:b w:val="false"/>
                <w:sz w:val="22"/>
              </w:rPr>
            </w:pPr>
            <w:r>
              <w:rPr>
                <w:rFonts w:ascii="Calibri;sans-serif" w:hAnsi="Calibri;sans-serif"/>
                <w:b w:val="false"/>
                <w:sz w:val="22"/>
              </w:rPr>
              <w:t>Actuarial loss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283"/>
              <w:ind w:left="0" w:right="0" w:hanging="0"/>
              <w:rPr>
                <w:sz w:val="4"/>
                <w:szCs w:val="4"/>
              </w:rPr>
            </w:pPr>
            <w:r>
              <w:rPr>
                <w:sz w:val="4"/>
                <w:szCs w:val="4"/>
              </w:rPr>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0.8</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2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w:t>
            </w:r>
          </w:p>
        </w:tc>
        <w:tc>
          <w:tcPr>
            <w:tcW w:w="207"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1" w:type="dxa"/>
            <w:tcBorders/>
            <w:shd w:fill="auto" w:val="clear"/>
            <w:vAlign w:val="center"/>
          </w:tcPr>
          <w:p>
            <w:pPr>
              <w:pStyle w:val="TableContents"/>
              <w:spacing w:before="0" w:after="0"/>
              <w:ind w:left="0" w:right="0" w:firstLine="200"/>
              <w:jc w:val="left"/>
              <w:rPr>
                <w:rFonts w:ascii="Calibri;sans-serif" w:hAnsi="Calibri;sans-serif"/>
                <w:b w:val="false"/>
                <w:sz w:val="22"/>
              </w:rPr>
            </w:pPr>
            <w:r>
              <w:rPr>
                <w:rFonts w:ascii="Calibri;sans-serif" w:hAnsi="Calibri;sans-serif"/>
                <w:b w:val="false"/>
                <w:sz w:val="22"/>
              </w:rPr>
              <w:t>Other nonoperating income, net</w:t>
            </w:r>
          </w:p>
        </w:tc>
      </w:tr>
      <w:tr>
        <w:trPr/>
        <w:tc>
          <w:tcPr>
            <w:tcW w:w="2641"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Tax effect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(0.3</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67" w:type="dxa"/>
            <w:tcBorders/>
            <w:shd w:fill="auto" w:val="clear"/>
            <w:vAlign w:val="center"/>
          </w:tcPr>
          <w:p>
            <w:pPr>
              <w:pStyle w:val="TableContents"/>
              <w:spacing w:before="0" w:after="283"/>
              <w:ind w:left="0" w:right="0" w:hanging="0"/>
              <w:rPr>
                <w:sz w:val="4"/>
                <w:szCs w:val="4"/>
              </w:rPr>
            </w:pPr>
            <w:r>
              <w:rPr>
                <w:sz w:val="4"/>
                <w:szCs w:val="4"/>
              </w:rPr>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Income tax expense</w:t>
            </w:r>
          </w:p>
        </w:tc>
      </w:tr>
      <w:tr>
        <w:trPr/>
        <w:tc>
          <w:tcPr>
            <w:tcW w:w="264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283"/>
              <w:ind w:left="0" w:right="0" w:hanging="0"/>
              <w:rPr>
                <w:sz w:val="4"/>
                <w:szCs w:val="4"/>
              </w:rPr>
            </w:pPr>
            <w:r>
              <w:rPr>
                <w:sz w:val="4"/>
                <w:szCs w:val="4"/>
              </w:rPr>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2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Calibri" w:hAnsi="Calibri"/>
          <w:sz w:val="22"/>
        </w:rPr>
      </w:pPr>
      <w:r>
        <w:rPr>
          <w:rFonts w:ascii="Calibri;sans-serif" w:hAnsi="Calibri;sans-serif"/>
          <w:b/>
          <w:sz w:val="22"/>
        </w:rPr>
        <w:t>Earnings per Common Share</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numerator for basic and diluted earnings per common share is net earnings attributable to Martin Marietta, reduced by dividends and undistributed earnings attributable to certain of the Company’s stock-based compensation arrangements. If there is a net loss, no amount of the undistributed loss is attributed to unvested participating securities.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months ended March 31, 2023 and 2022, the diluted per-share computations reflect the number of common shares outstanding including the number of additional shares that would have been outstanding if the potentially dilutive common shares had been issued.</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following table reconciles the denominator for basic and diluted earnings from continuing operations per common share:</w:t>
      </w:r>
      <w:r>
        <w:rPr>
          <w:rFonts w:ascii="Calibri" w:hAnsi="Calibri"/>
          <w:sz w:val="22"/>
        </w:rPr>
        <w:t xml:space="preserve"> </w:t>
      </w:r>
    </w:p>
    <w:p>
      <w:pPr>
        <w:pStyle w:val="TextBody"/>
        <w:spacing w:before="0" w:after="0"/>
        <w:jc w:val="left"/>
        <w:rPr/>
      </w:pPr>
      <w:r>
        <w:rPr/>
        <w:t> </w:t>
      </w:r>
    </w:p>
    <w:tbl>
      <w:tblPr>
        <w:tblW w:w="7387" w:type="dxa"/>
        <w:jc w:val="left"/>
        <w:tblInd w:w="0" w:type="dxa"/>
        <w:tblCellMar>
          <w:top w:w="28" w:type="dxa"/>
          <w:left w:w="28" w:type="dxa"/>
          <w:bottom w:w="28" w:type="dxa"/>
          <w:right w:w="28" w:type="dxa"/>
        </w:tblCellMar>
      </w:tblPr>
      <w:tblGrid>
        <w:gridCol w:w="5056"/>
        <w:gridCol w:w="146"/>
        <w:gridCol w:w="178"/>
        <w:gridCol w:w="641"/>
        <w:gridCol w:w="178"/>
        <w:gridCol w:w="178"/>
        <w:gridCol w:w="178"/>
        <w:gridCol w:w="641"/>
        <w:gridCol w:w="191"/>
      </w:tblGrid>
      <w:tr>
        <w:trPr/>
        <w:tc>
          <w:tcPr>
            <w:tcW w:w="5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5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8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505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Basic weighted-average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62.1</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62.4</w:t>
            </w:r>
          </w:p>
        </w:tc>
        <w:tc>
          <w:tcPr>
            <w:tcW w:w="191" w:type="dxa"/>
            <w:tcBorders/>
            <w:shd w:fill="auto" w:val="clear"/>
            <w:vAlign w:val="center"/>
          </w:tcPr>
          <w:p>
            <w:pPr>
              <w:pStyle w:val="TableContents"/>
              <w:spacing w:before="0" w:after="0"/>
              <w:ind w:left="0" w:right="0" w:hanging="0"/>
              <w:jc w:val="left"/>
              <w:rPr/>
            </w:pPr>
            <w:r>
              <w:rPr/>
              <w:t> </w:t>
            </w:r>
          </w:p>
        </w:tc>
      </w:tr>
      <w:tr>
        <w:trPr/>
        <w:tc>
          <w:tcPr>
            <w:tcW w:w="505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Effect of dilutive employee and director awards</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right"/>
              <w:rPr/>
            </w:pPr>
            <w:r>
              <w:rPr/>
              <w:t> </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5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Diluted weighted-average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62.2</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62.6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Calibri;sans-serif" w:hAnsi="Calibri;sans-serif"/>
          <w:b/>
          <w:sz w:val="22"/>
        </w:rPr>
      </w:pPr>
      <w:r>
        <w:rPr>
          <w:rFonts w:ascii="Calibri;sans-serif" w:hAnsi="Calibri;sans-serif"/>
          <w:b/>
          <w:sz w:val="22"/>
        </w:rPr>
        <w:t>Reclassifications</w:t>
      </w:r>
    </w:p>
    <w:p>
      <w:pPr>
        <w:pStyle w:val="TextBody"/>
        <w:spacing w:before="120" w:after="0"/>
        <w:jc w:val="both"/>
        <w:rPr>
          <w:rFonts w:ascii="Calibri;sans-serif" w:hAnsi="Calibri;sans-serif"/>
          <w:b w:val="false"/>
          <w:sz w:val="22"/>
        </w:rPr>
      </w:pPr>
      <w:r>
        <w:rPr>
          <w:rFonts w:ascii="Calibri;sans-serif" w:hAnsi="Calibri;sans-serif"/>
          <w:b w:val="false"/>
          <w:sz w:val="22"/>
        </w:rPr>
        <w:t>As of March 31, 2023, the Company combined products and services revenues and freight revenues into total revenues, and combined cost of revenues - products and services and cost of revenues - freight into total cost of revenues on the Company's consolidated statements of earnings and comprehensive earnings. Prior-year information has been reclassified to conform to the current-year presentation. The reclassifications had no impact on the Company’s previously reported results of operations, financial position or cash flows.</w:t>
      </w:r>
    </w:p>
    <w:p>
      <w:pPr>
        <w:pStyle w:val="TextBody"/>
        <w:spacing w:before="0" w:after="0"/>
        <w:jc w:val="both"/>
        <w:rPr/>
      </w:pPr>
      <w:r>
        <w:rPr/>
        <w:t>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11</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120" w:after="0"/>
        <w:jc w:val="left"/>
        <w:rPr>
          <w:rFonts w:ascii="Calibri" w:hAnsi="Calibri"/>
          <w:b/>
          <w:sz w:val="22"/>
        </w:rPr>
      </w:pPr>
      <w:r>
        <w:rPr>
          <w:rFonts w:ascii="Calibri" w:hAnsi="Calibri"/>
          <w:b/>
          <w:sz w:val="22"/>
        </w:rPr>
        <w:t>2.</w:t>
      </w:r>
    </w:p>
    <w:p>
      <w:pPr>
        <w:pStyle w:val="TextBody"/>
        <w:spacing w:before="120" w:after="283"/>
        <w:jc w:val="left"/>
        <w:rPr>
          <w:rFonts w:ascii="Calibri;sans-serif" w:hAnsi="Calibri;sans-serif"/>
          <w:b/>
          <w:sz w:val="22"/>
        </w:rPr>
      </w:pPr>
      <w:r>
        <w:rPr>
          <w:rFonts w:ascii="Calibri;sans-serif" w:hAnsi="Calibri;sans-serif"/>
          <w:b/>
          <w:sz w:val="22"/>
        </w:rPr>
        <w:t>Discontinued Operations and Assets and Liabilities Held for Sale</w:t>
      </w:r>
    </w:p>
    <w:p>
      <w:pPr>
        <w:pStyle w:val="TextBody"/>
        <w:spacing w:before="240" w:after="0"/>
        <w:jc w:val="left"/>
        <w:rPr>
          <w:rFonts w:ascii="Calibri;sans-serif" w:hAnsi="Calibri;sans-serif"/>
          <w:b/>
          <w:sz w:val="22"/>
        </w:rPr>
      </w:pPr>
      <w:r>
        <w:rPr>
          <w:rFonts w:ascii="Calibri;sans-serif" w:hAnsi="Calibri;sans-serif"/>
          <w:b/>
          <w:sz w:val="22"/>
        </w:rPr>
        <w:t>Discontinued Operations</w:t>
      </w:r>
    </w:p>
    <w:p>
      <w:pPr>
        <w:pStyle w:val="TextBody"/>
        <w:spacing w:before="120" w:after="0"/>
        <w:jc w:val="both"/>
        <w:rPr>
          <w:rFonts w:ascii="Calibri" w:hAnsi="Calibri"/>
          <w:sz w:val="22"/>
        </w:rPr>
      </w:pPr>
      <w:r>
        <w:rPr>
          <w:rFonts w:ascii="Calibri;sans-serif" w:hAnsi="Calibri;sans-serif"/>
          <w:b w:val="false"/>
          <w:sz w:val="22"/>
        </w:rPr>
        <w:t>For the three months ended March 31, 2023 and 2022, discontinued operations included the Company's Tehachapi, California cement plant, related cement distribution terminals, California cement import operations and California ready mixed concrete businesses. Discontinued operations as of March 31, 2022 also included the Company's Redding, California cement plant, related cement distribution terminals and 14</w:t>
      </w:r>
      <w:r>
        <w:rPr>
          <w:rFonts w:ascii="Calibri" w:hAnsi="Calibri"/>
          <w:sz w:val="22"/>
        </w:rPr>
        <w:t xml:space="preserve"> </w:t>
      </w:r>
      <w:r>
        <w:rPr>
          <w:rFonts w:ascii="Calibri;sans-serif" w:hAnsi="Calibri;sans-serif"/>
          <w:b w:val="false"/>
          <w:sz w:val="22"/>
        </w:rPr>
        <w:t>California ready mix operations that were sold in June 2022 (hereinafter, the Redding transaction).</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Financial results for the Company's discontinued operations are as follows:</w:t>
      </w:r>
    </w:p>
    <w:p>
      <w:pPr>
        <w:pStyle w:val="TextBody"/>
        <w:spacing w:before="0" w:after="0"/>
        <w:jc w:val="both"/>
        <w:rPr/>
      </w:pPr>
      <w:r>
        <w:rPr/>
        <w:t> </w:t>
      </w:r>
    </w:p>
    <w:tbl>
      <w:tblPr>
        <w:tblW w:w="7960" w:type="dxa"/>
        <w:jc w:val="left"/>
        <w:tblInd w:w="0" w:type="dxa"/>
        <w:tblCellMar>
          <w:top w:w="28" w:type="dxa"/>
          <w:left w:w="28" w:type="dxa"/>
          <w:bottom w:w="28" w:type="dxa"/>
          <w:right w:w="28" w:type="dxa"/>
        </w:tblCellMar>
      </w:tblPr>
      <w:tblGrid>
        <w:gridCol w:w="5596"/>
        <w:gridCol w:w="146"/>
        <w:gridCol w:w="236"/>
        <w:gridCol w:w="629"/>
        <w:gridCol w:w="189"/>
        <w:gridCol w:w="152"/>
        <w:gridCol w:w="236"/>
        <w:gridCol w:w="550"/>
        <w:gridCol w:w="226"/>
      </w:tblGrid>
      <w:tr>
        <w:trPr/>
        <w:tc>
          <w:tcPr>
            <w:tcW w:w="5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5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2"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226" w:type="dxa"/>
            <w:tcBorders/>
            <w:shd w:fill="auto" w:val="clear"/>
            <w:vAlign w:val="center"/>
          </w:tcPr>
          <w:p>
            <w:pPr>
              <w:pStyle w:val="TableContents"/>
              <w:spacing w:before="0" w:after="0"/>
              <w:ind w:left="0" w:right="0" w:hanging="0"/>
              <w:jc w:val="center"/>
              <w:rPr/>
            </w:pPr>
            <w:r>
              <w:rPr/>
              <w:t> </w:t>
            </w:r>
          </w:p>
        </w:tc>
      </w:tr>
      <w:tr>
        <w:trPr/>
        <w:tc>
          <w:tcPr>
            <w:tcW w:w="5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2"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226" w:type="dxa"/>
            <w:tcBorders/>
            <w:shd w:fill="auto" w:val="clear"/>
            <w:vAlign w:val="center"/>
          </w:tcPr>
          <w:p>
            <w:pPr>
              <w:pStyle w:val="TableContents"/>
              <w:spacing w:before="0" w:after="0"/>
              <w:ind w:left="0" w:right="0" w:hanging="0"/>
              <w:jc w:val="center"/>
              <w:rPr/>
            </w:pPr>
            <w:r>
              <w:rPr/>
              <w:t> </w:t>
            </w:r>
          </w:p>
        </w:tc>
      </w:tr>
      <w:tr>
        <w:trPr/>
        <w:tc>
          <w:tcPr>
            <w:tcW w:w="5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86"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22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5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2" w:type="dxa"/>
            <w:gridSpan w:val="6"/>
            <w:tcBorders/>
            <w:shd w:fill="auto" w:val="clear"/>
            <w:vAlign w:val="center"/>
          </w:tcPr>
          <w:p>
            <w:pPr>
              <w:pStyle w:val="TableContents"/>
              <w:spacing w:before="0" w:after="0"/>
              <w:ind w:left="0" w:right="0" w:hanging="0"/>
              <w:jc w:val="center"/>
              <w:rPr>
                <w:rFonts w:ascii="Calibri" w:hAnsi="Calibri"/>
                <w:sz w:val="22"/>
              </w:rPr>
            </w:pPr>
            <w:r>
              <w:rPr>
                <w:rFonts w:ascii="Calibri;sans-serif" w:hAnsi="Calibri;sans-serif"/>
                <w:b w:val="false"/>
                <w:i/>
                <w:sz w:val="22"/>
              </w:rPr>
              <w:t>(Dollars in</w:t>
            </w:r>
            <w:r>
              <w:rPr>
                <w:rFonts w:ascii="Calibri" w:hAnsi="Calibri"/>
                <w:sz w:val="22"/>
              </w:rPr>
              <w:t xml:space="preserve"> </w:t>
            </w:r>
            <w:r>
              <w:rPr>
                <w:rFonts w:ascii="Calibri;sans-serif" w:hAnsi="Calibri;sans-serif"/>
                <w:b w:val="false"/>
                <w:i/>
                <w:sz w:val="22"/>
              </w:rPr>
              <w:t>Millions)</w:t>
            </w:r>
          </w:p>
        </w:tc>
        <w:tc>
          <w:tcPr>
            <w:tcW w:w="226" w:type="dxa"/>
            <w:tcBorders/>
            <w:shd w:fill="auto" w:val="clear"/>
            <w:vAlign w:val="center"/>
          </w:tcPr>
          <w:p>
            <w:pPr>
              <w:pStyle w:val="TableContents"/>
              <w:spacing w:before="0" w:after="0"/>
              <w:ind w:left="0" w:right="0" w:hanging="0"/>
              <w:jc w:val="center"/>
              <w:rPr/>
            </w:pPr>
            <w:r>
              <w:rPr/>
              <w:t> </w:t>
            </w:r>
          </w:p>
        </w:tc>
      </w:tr>
      <w:tr>
        <w:trPr/>
        <w:tc>
          <w:tcPr>
            <w:tcW w:w="55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revenues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24.6</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94.7</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86" w:type="dxa"/>
            <w:gridSpan w:val="2"/>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r>
      <w:tr>
        <w:trPr/>
        <w:tc>
          <w:tcPr>
            <w:tcW w:w="55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Pretax loss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29"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(17.1</w:t>
            </w:r>
          </w:p>
        </w:tc>
        <w:tc>
          <w:tcPr>
            <w:tcW w:w="1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52"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50"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55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Income tax benefit</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52"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55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Loss from discontinued operations, net of income tax benefit</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(12.9</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52"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200" w:after="0"/>
        <w:jc w:val="both"/>
        <w:rPr>
          <w:rFonts w:ascii="Calibri" w:hAnsi="Calibri"/>
          <w:sz w:val="22"/>
        </w:rPr>
      </w:pPr>
      <w:r>
        <w:rPr>
          <w:rFonts w:ascii="Calibri;sans-serif" w:hAnsi="Calibri;sans-serif"/>
          <w:b w:val="false"/>
          <w:sz w:val="22"/>
        </w:rPr>
        <w:t>Total cash used for operating and investing activities for discontinued operations was $5.4</w:t>
      </w:r>
      <w:r>
        <w:rPr>
          <w:rFonts w:ascii="Calibri" w:hAnsi="Calibri"/>
          <w:sz w:val="22"/>
        </w:rPr>
        <w:t xml:space="preserve"> </w:t>
      </w:r>
      <w:r>
        <w:rPr>
          <w:rFonts w:ascii="Calibri;sans-serif" w:hAnsi="Calibri;sans-serif"/>
          <w:b w:val="false"/>
          <w:sz w:val="22"/>
        </w:rPr>
        <w:t>million for the three months ended March 31, 2023, which included $1.6</w:t>
      </w:r>
      <w:r>
        <w:rPr>
          <w:rFonts w:ascii="Calibri" w:hAnsi="Calibri"/>
          <w:sz w:val="22"/>
        </w:rPr>
        <w:t xml:space="preserve"> </w:t>
      </w:r>
      <w:r>
        <w:rPr>
          <w:rFonts w:ascii="Calibri;sans-serif" w:hAnsi="Calibri;sans-serif"/>
          <w:b w:val="false"/>
          <w:sz w:val="22"/>
        </w:rPr>
        <w:t>million of cash used for capital expenditures. Total cash used for operating and investing activities for the three months ended March 31, 2022</w:t>
      </w:r>
      <w:r>
        <w:rPr>
          <w:rFonts w:ascii="Calibri" w:hAnsi="Calibri"/>
          <w:sz w:val="22"/>
        </w:rPr>
        <w:t xml:space="preserve"> </w:t>
      </w:r>
      <w:r>
        <w:rPr>
          <w:rFonts w:ascii="Calibri;sans-serif" w:hAnsi="Calibri;sans-serif"/>
          <w:b w:val="false"/>
          <w:sz w:val="22"/>
        </w:rPr>
        <w:t>was $14.0</w:t>
      </w:r>
      <w:r>
        <w:rPr>
          <w:rFonts w:ascii="Calibri" w:hAnsi="Calibri"/>
          <w:sz w:val="22"/>
        </w:rPr>
        <w:t xml:space="preserve"> </w:t>
      </w:r>
      <w:r>
        <w:rPr>
          <w:rFonts w:ascii="Calibri;sans-serif" w:hAnsi="Calibri;sans-serif"/>
          <w:b w:val="false"/>
          <w:sz w:val="22"/>
        </w:rPr>
        <w:t>million, which included $8.6</w:t>
      </w:r>
      <w:r>
        <w:rPr>
          <w:rFonts w:ascii="Calibri" w:hAnsi="Calibri"/>
          <w:sz w:val="22"/>
        </w:rPr>
        <w:t xml:space="preserve"> </w:t>
      </w:r>
      <w:r>
        <w:rPr>
          <w:rFonts w:ascii="Calibri;sans-serif" w:hAnsi="Calibri;sans-serif"/>
          <w:b w:val="false"/>
          <w:sz w:val="22"/>
        </w:rPr>
        <w:t>million of cash used for capital expenditures.</w:t>
      </w:r>
      <w:r>
        <w:rPr>
          <w:rFonts w:ascii="Calibri" w:hAnsi="Calibri"/>
          <w:sz w:val="22"/>
        </w:rPr>
        <w:t xml:space="preserve"> </w:t>
      </w:r>
    </w:p>
    <w:p>
      <w:pPr>
        <w:pStyle w:val="TextBody"/>
        <w:spacing w:before="240" w:after="0"/>
        <w:jc w:val="left"/>
        <w:rPr>
          <w:rFonts w:ascii="Calibri;sans-serif" w:hAnsi="Calibri;sans-serif"/>
          <w:b/>
          <w:sz w:val="22"/>
        </w:rPr>
      </w:pPr>
      <w:r>
        <w:rPr>
          <w:rFonts w:ascii="Calibri;sans-serif" w:hAnsi="Calibri;sans-serif"/>
          <w:b/>
          <w:sz w:val="22"/>
        </w:rPr>
        <w:t>Assets and Liabilities Held for Sale</w:t>
      </w:r>
    </w:p>
    <w:p>
      <w:pPr>
        <w:pStyle w:val="TextBody"/>
        <w:spacing w:before="120" w:after="0"/>
        <w:jc w:val="both"/>
        <w:rPr>
          <w:rFonts w:ascii="Calibri" w:hAnsi="Calibri"/>
          <w:sz w:val="22"/>
        </w:rPr>
      </w:pPr>
      <w:r>
        <w:rPr>
          <w:rFonts w:ascii="Calibri;sans-serif" w:hAnsi="Calibri;sans-serif"/>
          <w:b w:val="false"/>
          <w:sz w:val="22"/>
        </w:rPr>
        <w:t>Assets and liabilities held for sale at March 31, 2023 and December 31, 2022 included a cement plant in Tehachapi, California; related cement distribution terminals; the California cement import operations; the California ready mixed concrete plants not sold as part of the Redding transaction; and certain investment properties.</w:t>
      </w:r>
      <w:r>
        <w:rPr>
          <w:rFonts w:ascii="Calibri" w:hAnsi="Calibri"/>
          <w:sz w:val="22"/>
        </w:rPr>
        <w:t xml:space="preserve">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12</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120" w:after="0"/>
        <w:jc w:val="both"/>
        <w:rPr>
          <w:rFonts w:ascii="Calibri;sans-serif" w:hAnsi="Calibri;sans-serif"/>
          <w:b w:val="false"/>
          <w:sz w:val="22"/>
        </w:rPr>
      </w:pPr>
      <w:r>
        <w:rPr>
          <w:rFonts w:ascii="Calibri;sans-serif" w:hAnsi="Calibri;sans-serif"/>
          <w:b w:val="false"/>
          <w:sz w:val="22"/>
        </w:rPr>
        <w:t>Assets and liabilities held for sale are as follows: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389"/>
        <w:gridCol w:w="146"/>
        <w:gridCol w:w="357"/>
        <w:gridCol w:w="835"/>
        <w:gridCol w:w="146"/>
        <w:gridCol w:w="146"/>
        <w:gridCol w:w="355"/>
        <w:gridCol w:w="1018"/>
        <w:gridCol w:w="181"/>
        <w:gridCol w:w="146"/>
        <w:gridCol w:w="226"/>
        <w:gridCol w:w="646"/>
        <w:gridCol w:w="181"/>
        <w:gridCol w:w="146"/>
        <w:gridCol w:w="357"/>
        <w:gridCol w:w="835"/>
        <w:gridCol w:w="146"/>
        <w:gridCol w:w="146"/>
        <w:gridCol w:w="355"/>
        <w:gridCol w:w="1018"/>
        <w:gridCol w:w="181"/>
        <w:gridCol w:w="146"/>
        <w:gridCol w:w="226"/>
        <w:gridCol w:w="646"/>
        <w:gridCol w:w="231"/>
      </w:tblGrid>
      <w:tr>
        <w:trPr/>
        <w:tc>
          <w:tcPr>
            <w:tcW w:w="13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3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6"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 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6"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December 31, 2022</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Continuing Operations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Discontinued Operations</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Total</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Continuing Operations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Discontinued Operations</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Total</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9" w:type="dxa"/>
            <w:gridSpan w:val="22"/>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231" w:type="dxa"/>
            <w:tcBorders/>
            <w:shd w:fill="auto" w:val="clear"/>
            <w:vAlign w:val="center"/>
          </w:tcPr>
          <w:p>
            <w:pPr>
              <w:pStyle w:val="TableContents"/>
              <w:spacing w:before="0" w:after="0"/>
              <w:ind w:left="0" w:right="0" w:hanging="0"/>
              <w:jc w:val="center"/>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38.6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38.6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31.3</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31.3</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Investment land</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40.6</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Other assets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current assets held for sale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39.5</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60.1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32.6</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73.2</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126.8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126.8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124.5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124.5</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Intangible assets, excluding goodwill</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208.5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208.5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208.5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208.5</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12.1</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Goodwill</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31.9</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Valuation allowance for loss on sale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noncurrent assets held for sale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374.6</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374.6</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372.5</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372.5</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Lease obligations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current liabilities held for sale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(4.5</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3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3"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Lease obligations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(3.3</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(3.3</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w:t>
            </w:r>
          </w:p>
        </w:tc>
        <w:tc>
          <w:tcPr>
            <w:tcW w:w="2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Asset retirement obligations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(17.7</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(17.7</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389"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noncurrent liabilities held for sale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(21.2</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(21.2</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(21.8</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(21.8</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0" w:after="0"/>
        <w:jc w:val="both"/>
        <w:rPr/>
      </w:pPr>
      <w:r>
        <w:rPr/>
        <w:t> </w:t>
      </w:r>
    </w:p>
    <w:p>
      <w:pPr>
        <w:pStyle w:val="TextBody"/>
        <w:spacing w:before="120" w:after="0"/>
        <w:jc w:val="left"/>
        <w:rPr>
          <w:rFonts w:ascii="Calibri" w:hAnsi="Calibri"/>
          <w:b/>
          <w:sz w:val="22"/>
        </w:rPr>
      </w:pPr>
      <w:r>
        <w:rPr>
          <w:rFonts w:ascii="Calibri" w:hAnsi="Calibri"/>
          <w:b/>
          <w:sz w:val="22"/>
        </w:rPr>
        <w:t>3.</w:t>
      </w:r>
    </w:p>
    <w:p>
      <w:pPr>
        <w:pStyle w:val="TextBody"/>
        <w:spacing w:before="120" w:after="283"/>
        <w:jc w:val="left"/>
        <w:rPr>
          <w:rFonts w:ascii="Calibri;sans-serif" w:hAnsi="Calibri;sans-serif"/>
          <w:b/>
          <w:sz w:val="22"/>
        </w:rPr>
      </w:pPr>
      <w:r>
        <w:rPr>
          <w:rFonts w:ascii="Calibri;sans-serif" w:hAnsi="Calibri;sans-serif"/>
          <w:b/>
          <w:sz w:val="22"/>
        </w:rPr>
        <w:t xml:space="preserve">Inventories, Net </w:t>
      </w:r>
    </w:p>
    <w:p>
      <w:pPr>
        <w:pStyle w:val="TextBody"/>
        <w:spacing w:before="0" w:after="0"/>
        <w:jc w:val="left"/>
        <w:rPr/>
      </w:pPr>
      <w:r>
        <w:rPr/>
        <w:t> </w:t>
      </w:r>
    </w:p>
    <w:tbl>
      <w:tblPr>
        <w:tblW w:w="5967" w:type="dxa"/>
        <w:jc w:val="left"/>
        <w:tblInd w:w="0" w:type="dxa"/>
        <w:tblCellMar>
          <w:top w:w="28" w:type="dxa"/>
          <w:left w:w="28" w:type="dxa"/>
          <w:bottom w:w="28" w:type="dxa"/>
          <w:right w:w="28" w:type="dxa"/>
        </w:tblCellMar>
      </w:tblPr>
      <w:tblGrid>
        <w:gridCol w:w="2851"/>
        <w:gridCol w:w="146"/>
        <w:gridCol w:w="226"/>
        <w:gridCol w:w="826"/>
        <w:gridCol w:w="181"/>
        <w:gridCol w:w="146"/>
        <w:gridCol w:w="293"/>
        <w:gridCol w:w="1072"/>
        <w:gridCol w:w="226"/>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December 31,</w:t>
            </w:r>
          </w:p>
        </w:tc>
        <w:tc>
          <w:tcPr>
            <w:tcW w:w="226"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4"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226"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Finished products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1,023.8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932.4</w:t>
            </w:r>
          </w:p>
        </w:tc>
        <w:tc>
          <w:tcPr>
            <w:tcW w:w="226"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Products in process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24.8</w:t>
            </w:r>
          </w:p>
        </w:tc>
        <w:tc>
          <w:tcPr>
            <w:tcW w:w="226"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93.5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71.7</w:t>
            </w:r>
          </w:p>
        </w:tc>
        <w:tc>
          <w:tcPr>
            <w:tcW w:w="226"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Supplies and expendable parts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158.5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153.1</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inventories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1,297.3</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1,182.0</w:t>
            </w:r>
          </w:p>
        </w:tc>
        <w:tc>
          <w:tcPr>
            <w:tcW w:w="226"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Less: Allowances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(348.6</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(308.3</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28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948.7</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873.7</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center"/>
        <w:rPr>
          <w:rFonts w:ascii="Calibri" w:hAnsi="Calibri"/>
          <w:sz w:val="22"/>
        </w:rPr>
      </w:pPr>
      <w:r>
        <w:rPr>
          <w:rFonts w:ascii="Calibri;sans-serif" w:hAnsi="Calibri;sans-serif"/>
          <w:b w:val="false"/>
          <w:sz w:val="22"/>
        </w:rPr>
        <w:t>Page 13</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360" w:after="0"/>
        <w:jc w:val="left"/>
        <w:rPr>
          <w:rFonts w:ascii="Calibri" w:hAnsi="Calibri"/>
          <w:b/>
          <w:sz w:val="22"/>
        </w:rPr>
      </w:pPr>
      <w:r>
        <w:rPr>
          <w:rFonts w:ascii="Calibri" w:hAnsi="Calibri"/>
          <w:b/>
          <w:sz w:val="22"/>
        </w:rPr>
        <w:t>4.</w:t>
      </w:r>
    </w:p>
    <w:p>
      <w:pPr>
        <w:pStyle w:val="TextBody"/>
        <w:spacing w:before="360" w:after="283"/>
        <w:jc w:val="left"/>
        <w:rPr>
          <w:rFonts w:ascii="Calibri;sans-serif" w:hAnsi="Calibri;sans-serif"/>
          <w:b/>
          <w:sz w:val="22"/>
        </w:rPr>
      </w:pPr>
      <w:r>
        <w:rPr>
          <w:rFonts w:ascii="Calibri;sans-serif" w:hAnsi="Calibri;sans-serif"/>
          <w:b/>
          <w:sz w:val="22"/>
        </w:rPr>
        <w:t xml:space="preserve">Long-Term Debt </w:t>
      </w:r>
    </w:p>
    <w:p>
      <w:pPr>
        <w:pStyle w:val="TextBody"/>
        <w:spacing w:before="0" w:after="0"/>
        <w:jc w:val="left"/>
        <w:rPr/>
      </w:pPr>
      <w:r>
        <w:rPr/>
        <w:t> </w:t>
      </w:r>
    </w:p>
    <w:tbl>
      <w:tblPr>
        <w:tblW w:w="7287" w:type="dxa"/>
        <w:jc w:val="left"/>
        <w:tblInd w:w="0" w:type="dxa"/>
        <w:tblCellMar>
          <w:top w:w="28" w:type="dxa"/>
          <w:left w:w="28" w:type="dxa"/>
          <w:bottom w:w="28" w:type="dxa"/>
          <w:right w:w="28" w:type="dxa"/>
        </w:tblCellMar>
      </w:tblPr>
      <w:tblGrid>
        <w:gridCol w:w="4171"/>
        <w:gridCol w:w="146"/>
        <w:gridCol w:w="226"/>
        <w:gridCol w:w="826"/>
        <w:gridCol w:w="181"/>
        <w:gridCol w:w="146"/>
        <w:gridCol w:w="293"/>
        <w:gridCol w:w="1072"/>
        <w:gridCol w:w="226"/>
      </w:tblGrid>
      <w:tr>
        <w:trPr/>
        <w:tc>
          <w:tcPr>
            <w:tcW w:w="4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4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December 31,</w:t>
            </w:r>
          </w:p>
        </w:tc>
        <w:tc>
          <w:tcPr>
            <w:tcW w:w="226" w:type="dxa"/>
            <w:tcBorders/>
            <w:shd w:fill="auto" w:val="cle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4"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226" w:type="dxa"/>
            <w:tcBorders/>
            <w:shd w:fill="auto" w:val="cle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left"/>
              <w:rPr>
                <w:rFonts w:ascii="Calibri" w:hAnsi="Calibri"/>
                <w:sz w:val="22"/>
              </w:rPr>
            </w:pPr>
            <w:r>
              <w:rPr>
                <w:rFonts w:ascii="Calibri;sans-serif" w:hAnsi="Calibri;sans-serif"/>
                <w:b w:val="false"/>
                <w:sz w:val="22"/>
              </w:rPr>
              <w:t>0.650% Senior Notes, due</w:t>
            </w:r>
            <w:r>
              <w:rPr>
                <w:rFonts w:ascii="Calibri" w:hAnsi="Calibri"/>
                <w:sz w:val="22"/>
              </w:rPr>
              <w:t xml:space="preserve"> </w:t>
            </w:r>
            <w:r>
              <w:rPr>
                <w:rFonts w:ascii="Calibri;sans-serif" w:hAnsi="Calibri;sans-serif"/>
                <w:b w:val="false"/>
                <w:sz w:val="22"/>
              </w:rPr>
              <w:t>2023</w:t>
            </w:r>
            <w:r>
              <w:rPr>
                <w:rFonts w:ascii="Calibri" w:hAnsi="Calibri"/>
                <w:sz w:val="22"/>
              </w:rPr>
              <w:t> </w:t>
            </w:r>
            <w:r>
              <w:rPr>
                <w:rFonts w:ascii="Calibri;sans-serif" w:hAnsi="Calibri;sans-serif"/>
                <w:b w:val="false"/>
                <w:sz w:val="22"/>
              </w:rPr>
              <w:t>(discharged)</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699.6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699.1</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4.250% Senior Notes, due 2024</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399.1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398.9</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7% Debentures, due 2025</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124.7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124.7</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3.450% Senior Notes, due 2027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298.4</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298.3</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3.500% Senior Notes, due 2027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491.7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491.5</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2.500% Senior Notes, due 2030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470.8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470.5</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2.400% Senior Notes, due 2031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888.8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888.6</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6.25% Senior Notes, due 2037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228.4</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228.4</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4.250% Senior Notes, due 2047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590.2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590.2</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3.200% Senior Notes, due 2051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849.9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849.8</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debt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5,041.6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5,040.0</w:t>
            </w:r>
          </w:p>
        </w:tc>
        <w:tc>
          <w:tcPr>
            <w:tcW w:w="226"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Less: current maturities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(699.6</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(699.1</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41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4,342.0</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4,340.9</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Calibri" w:hAnsi="Calibri"/>
          <w:sz w:val="22"/>
        </w:rPr>
      </w:pPr>
      <w:r>
        <w:rPr>
          <w:rFonts w:ascii="Calibri;sans-serif" w:hAnsi="Calibri;sans-serif"/>
          <w:b w:val="false"/>
          <w:sz w:val="22"/>
        </w:rPr>
        <w:t xml:space="preserve">On September 29, 2022, the Company satisfied and discharged the 2023 Notes. In connection with the satisfaction and discharge, the Company irrevocably deposited funds with Regions Bank, as trustee under the indenture governing the 2023 Notes, in an amount sufficient to satisfy all remaining principal and interest payments on the 2023 Notes. Holders of the 2023 Notes will receive payment of principal on the scheduled maturity date of the 2023 Notes and payment of interest at the per annum rate (and on the dates) set forth in the 2023 Notes indenture. The Company utilized existing cash resources to fund the satisfaction and discharge. As a result of the satisfaction and discharge of the 2023 Notes, the obligations of the Company under the indenture with respect to the 2023 Notes have been terminated, except those provisions of the indenture that, by their terms, survive the satisfaction and discharge. Because the discharge did not represent a legal defeasance, the 2023 Notes remain on the Company’s consolidated balance sheets at March 31, 2023 and December 31, 2022 and will continue to accrete to their par value over the period until maturity in July 2023. Additionally, the related trust assets are included in </w:t>
      </w:r>
      <w:r>
        <w:rPr>
          <w:rFonts w:ascii="Calibri;sans-serif" w:hAnsi="Calibri;sans-serif"/>
          <w:b w:val="false"/>
          <w:i/>
          <w:sz w:val="22"/>
        </w:rPr>
        <w:t>Restricted investments (to satisfy discharged debt and related interest)</w:t>
      </w:r>
      <w:r>
        <w:rPr>
          <w:rFonts w:ascii="Calibri" w:hAnsi="Calibri"/>
          <w:sz w:val="22"/>
        </w:rPr>
        <w:t xml:space="preserve"> </w:t>
      </w:r>
      <w:r>
        <w:rPr>
          <w:rFonts w:ascii="Calibri;sans-serif" w:hAnsi="Calibri;sans-serif"/>
          <w:b w:val="false"/>
          <w:sz w:val="22"/>
        </w:rPr>
        <w:t>on the Company’s consolidated balance sheets at March 31, 2023 and December 31, 2022.</w:t>
      </w:r>
    </w:p>
    <w:p>
      <w:pPr>
        <w:pStyle w:val="TextBody"/>
        <w:spacing w:before="120" w:after="0"/>
        <w:jc w:val="both"/>
        <w:rPr>
          <w:rFonts w:ascii="Calibri" w:hAnsi="Calibri"/>
          <w:sz w:val="22"/>
        </w:rPr>
      </w:pPr>
      <w:r>
        <w:rPr>
          <w:rFonts w:ascii="Calibri;sans-serif" w:hAnsi="Calibri;sans-serif"/>
          <w:b w:val="false"/>
          <w:sz w:val="22"/>
        </w:rPr>
        <w:t>The Company has a credit agreement with JPMorgan Chase Bank, N.A., as Administrative Agent, Deutsche Bank Securities, Inc., PNC Bank, Truist Bank and Wells Fargo Bank, N.A., as Syndication Agents, and the lenders party thereto (the Credit Agreement), which provides for a $800.0</w:t>
      </w:r>
      <w:r>
        <w:rPr>
          <w:rFonts w:ascii="Calibri" w:hAnsi="Calibri"/>
          <w:sz w:val="22"/>
        </w:rPr>
        <w:t xml:space="preserve"> </w:t>
      </w:r>
      <w:r>
        <w:rPr>
          <w:rFonts w:ascii="Calibri;sans-serif" w:hAnsi="Calibri;sans-serif"/>
          <w:b w:val="false"/>
          <w:sz w:val="22"/>
        </w:rPr>
        <w:t>million five-year</w:t>
      </w:r>
      <w:r>
        <w:rPr>
          <w:rFonts w:ascii="Calibri" w:hAnsi="Calibri"/>
          <w:sz w:val="22"/>
        </w:rPr>
        <w:t xml:space="preserve"> </w:t>
      </w:r>
      <w:r>
        <w:rPr>
          <w:rFonts w:ascii="Calibri;sans-serif" w:hAnsi="Calibri;sans-serif"/>
          <w:b w:val="false"/>
          <w:sz w:val="22"/>
        </w:rPr>
        <w:t>senior unsecured revolving facility (the Revolving Facility) with a maturity date of December 21, 2027. Borrowings under the Revolving Facility bear interest, at the Company’s option, at rates based upon the Secured Overnight Financing Rate (SOFR) or a base rate, plus, for each rate, a margin determined in accordance with a ratings-based pricing grid. There were no</w:t>
      </w:r>
      <w:r>
        <w:rPr>
          <w:rFonts w:ascii="Calibri" w:hAnsi="Calibri"/>
          <w:sz w:val="22"/>
        </w:rPr>
        <w:t xml:space="preserve"> </w:t>
      </w:r>
      <w:r>
        <w:rPr>
          <w:rFonts w:ascii="Calibri;sans-serif" w:hAnsi="Calibri;sans-serif"/>
          <w:b w:val="false"/>
          <w:sz w:val="22"/>
        </w:rPr>
        <w:t>borrowings outstanding under the Credit Agreement as of March 31, 2023 and December 31, 2022. Any outstanding principal amounts, together with interest accrued thereon, are due in full on that maturity date. Available borrowings under the Revolving Facility are reduced by any outstanding letters of credit issued by the Company under the Revolving Facility. At March 31, 2023 and December 31, 2022, the Company had $2.6</w:t>
      </w:r>
      <w:r>
        <w:rPr>
          <w:rFonts w:ascii="Calibri" w:hAnsi="Calibri"/>
          <w:sz w:val="22"/>
        </w:rPr>
        <w:t xml:space="preserve"> </w:t>
      </w:r>
      <w:r>
        <w:rPr>
          <w:rFonts w:ascii="Calibri;sans-serif" w:hAnsi="Calibri;sans-serif"/>
          <w:b w:val="false"/>
          <w:sz w:val="22"/>
        </w:rPr>
        <w:t>million of outstanding letters of credit issued under the Revolving Facility.</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Credit Agreement requires the Company’s ratio of consolidated net debt-to-consolidated earnings before interest, taxes, depreciation, depletion and amortization (EBITDA), as defined by the Revolving Facility, for the trailing-twelve months (the Ratio) to not exceed 3.50x as of the end of any fiscal quarter, provided that the Company may exclude</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14</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120" w:after="0"/>
        <w:jc w:val="both"/>
        <w:rPr>
          <w:rFonts w:ascii="Calibri" w:hAnsi="Calibri"/>
          <w:sz w:val="22"/>
        </w:rPr>
      </w:pPr>
      <w:r>
        <w:rPr>
          <w:rFonts w:ascii="Calibri;sans-serif" w:hAnsi="Calibri;sans-serif"/>
          <w:b w:val="false"/>
          <w:sz w:val="22"/>
        </w:rPr>
        <w:t>from the Ratio any debt incurred in connection with certain acquisitions during the quarter or three preceding quarters so long as the Ratio calculated without such exclusion does not exceed 4.00x. Additionally, if no amounts are outstanding under the Revolving Facility or the Company's trade receivable securitization facility (discussed below), consolidated debt, as defined, which includes debt for which the Company is a guarantor (see Note 8), shall be reduced in an amount equal to the lesser of $500.0</w:t>
      </w:r>
      <w:r>
        <w:rPr>
          <w:rFonts w:ascii="Calibri" w:hAnsi="Calibri"/>
          <w:sz w:val="22"/>
        </w:rPr>
        <w:t xml:space="preserve"> </w:t>
      </w:r>
      <w:r>
        <w:rPr>
          <w:rFonts w:ascii="Calibri;sans-serif" w:hAnsi="Calibri;sans-serif"/>
          <w:b w:val="false"/>
          <w:sz w:val="22"/>
        </w:rPr>
        <w:t>million or the sum of the Company’s unrestricted cash and temporary investments, for purposes of the covenant calculation. The Company was in compliance with the Ratio at March 31, 2023.</w:t>
      </w:r>
    </w:p>
    <w:p>
      <w:pPr>
        <w:pStyle w:val="TextBody"/>
        <w:spacing w:before="120" w:after="0"/>
        <w:jc w:val="both"/>
        <w:rPr>
          <w:rFonts w:ascii="Calibri" w:hAnsi="Calibri"/>
          <w:sz w:val="22"/>
        </w:rPr>
      </w:pPr>
      <w:r>
        <w:rPr>
          <w:rFonts w:ascii="Calibri;sans-serif" w:hAnsi="Calibri;sans-serif"/>
          <w:b w:val="false"/>
          <w:sz w:val="22"/>
        </w:rPr>
        <w:t>The Company, through a wholly-owned special-purpose subsidiary, has a $400</w:t>
      </w:r>
      <w:r>
        <w:rPr>
          <w:rFonts w:ascii="Calibri" w:hAnsi="Calibri"/>
          <w:sz w:val="22"/>
        </w:rPr>
        <w:t xml:space="preserve"> </w:t>
      </w:r>
      <w:r>
        <w:rPr>
          <w:rFonts w:ascii="Calibri;sans-serif" w:hAnsi="Calibri;sans-serif"/>
          <w:b w:val="false"/>
          <w:sz w:val="22"/>
        </w:rPr>
        <w:t>million trade receivable securitization facility (the Trade Receivable Facility), that matures on September 20, 2023. The Trade Receivable Facility, with Truist Bank, Regions Bank, PNC Bank, N.A., MUFG Bank, Ltd., New York Branch,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0.65% for borrowings funded by conduit lenders and Adjusted Term Secured Overnight Financing Rate (Adjusted Term SOFR), as defined, plus 0.7%, subject to change in the event that this rate no longer reflects the lender’s cost of lending, for borrowings funded by all other lenders. The Trade Receivable Facility contains a cross-default provision to the Company’s other debt agreements. Subject to certain conditions, including lenders providing the requisite commitments, the Trade Receivable Facility may be increased to a borrowing base not to exceed $500</w:t>
      </w:r>
      <w:r>
        <w:rPr>
          <w:rFonts w:ascii="Calibri" w:hAnsi="Calibri"/>
          <w:sz w:val="22"/>
        </w:rPr>
        <w:t xml:space="preserve"> </w:t>
      </w:r>
      <w:r>
        <w:rPr>
          <w:rFonts w:ascii="Calibri;sans-serif" w:hAnsi="Calibri;sans-serif"/>
          <w:b w:val="false"/>
          <w:sz w:val="22"/>
        </w:rPr>
        <w:t>million. There were no</w:t>
      </w:r>
      <w:r>
        <w:rPr>
          <w:rFonts w:ascii="Calibri" w:hAnsi="Calibri"/>
          <w:sz w:val="22"/>
        </w:rPr>
        <w:t xml:space="preserve"> </w:t>
      </w:r>
      <w:r>
        <w:rPr>
          <w:rFonts w:ascii="Calibri;sans-serif" w:hAnsi="Calibri;sans-serif"/>
          <w:b w:val="false"/>
          <w:sz w:val="22"/>
        </w:rPr>
        <w:t>borrowings outstanding under the Trade Receivable Facility at March 31, 2023 and December 31, 2022.</w:t>
      </w:r>
      <w:r>
        <w:rPr>
          <w:rFonts w:ascii="Calibri" w:hAnsi="Calibri"/>
          <w:sz w:val="22"/>
        </w:rPr>
        <w:t xml:space="preserve"> </w:t>
      </w:r>
    </w:p>
    <w:p>
      <w:pPr>
        <w:pStyle w:val="TextBody"/>
        <w:spacing w:before="360" w:after="0"/>
        <w:jc w:val="both"/>
        <w:rPr>
          <w:rFonts w:ascii="Calibri" w:hAnsi="Calibri"/>
          <w:b/>
          <w:sz w:val="22"/>
        </w:rPr>
      </w:pPr>
      <w:r>
        <w:rPr>
          <w:rFonts w:ascii="Calibri" w:hAnsi="Calibri"/>
          <w:b/>
          <w:sz w:val="22"/>
        </w:rPr>
        <w:t>5.</w:t>
      </w:r>
    </w:p>
    <w:p>
      <w:pPr>
        <w:pStyle w:val="TextBody"/>
        <w:spacing w:before="360" w:after="283"/>
        <w:jc w:val="both"/>
        <w:rPr>
          <w:rFonts w:ascii="Calibri;sans-serif" w:hAnsi="Calibri;sans-serif"/>
          <w:b/>
          <w:sz w:val="22"/>
        </w:rPr>
      </w:pPr>
      <w:r>
        <w:rPr>
          <w:rFonts w:ascii="Calibri;sans-serif" w:hAnsi="Calibri;sans-serif"/>
          <w:b/>
          <w:sz w:val="22"/>
        </w:rPr>
        <w:t xml:space="preserve">Financial Instruments </w:t>
      </w:r>
    </w:p>
    <w:p>
      <w:pPr>
        <w:pStyle w:val="TextBody"/>
        <w:spacing w:before="120" w:after="0"/>
        <w:jc w:val="both"/>
        <w:rPr>
          <w:rFonts w:ascii="Calibri" w:hAnsi="Calibri"/>
          <w:sz w:val="22"/>
        </w:rPr>
      </w:pPr>
      <w:r>
        <w:rPr>
          <w:rFonts w:ascii="Calibri;sans-serif" w:hAnsi="Calibri;sans-serif"/>
          <w:b w:val="false"/>
          <w:sz w:val="22"/>
        </w:rPr>
        <w:t>The Company’s financial instruments include temporary cash investments, restricted cash, restricted investments, accounts receivable, notes receivable, accounts payable, publicly-registered long-term notes, debentures and other long-term debt.</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Temporary cash investments are placed primarily in money market funds, money market demand deposit accounts and Eurodollar time deposit accounts with financial institutions. The Company’s cash equivalents have maturities of less than three months. Due to the short maturity of these investments, they are carried on the consolidated balance sheets at cost, which approximates fair value.</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Restricted cash is held in a trust account with a third-party intermediary. Due to the short-term nature of this account, the carrying value of restricted cash approximates its fair value.</w:t>
      </w:r>
    </w:p>
    <w:p>
      <w:pPr>
        <w:pStyle w:val="TextBody"/>
        <w:spacing w:before="120" w:after="0"/>
        <w:jc w:val="both"/>
        <w:rPr>
          <w:rFonts w:ascii="Calibri;sans-serif" w:hAnsi="Calibri;sans-serif"/>
          <w:b w:val="false"/>
          <w:sz w:val="22"/>
        </w:rPr>
      </w:pPr>
      <w:r>
        <w:rPr>
          <w:rFonts w:ascii="Calibri;sans-serif" w:hAnsi="Calibri;sans-serif"/>
          <w:b w:val="false"/>
          <w:sz w:val="22"/>
        </w:rPr>
        <w:t>Restricted investments are held in a fund that invests solely in U.S. Treasury securities. The estimated fair value of the fund is valued at net asset value, which the fund seeks to maintain at one dollar per share. As such, the carrying value of the restricted investments approximates its fair value. The Company is restricted from accessing the investments, which will be used to settle the 2023 Notes and related interest payments. Investment returns on those trust assets are for the account of the Company if there are any after satisfaction of all amounts payable in connection with the 2023 Notes.</w:t>
      </w:r>
    </w:p>
    <w:p>
      <w:pPr>
        <w:pStyle w:val="TextBody"/>
        <w:spacing w:before="120" w:after="0"/>
        <w:jc w:val="both"/>
        <w:rPr>
          <w:rFonts w:ascii="Calibri" w:hAnsi="Calibri"/>
          <w:sz w:val="22"/>
        </w:rPr>
      </w:pPr>
      <w:r>
        <w:rPr>
          <w:rFonts w:ascii="Calibri;sans-serif" w:hAnsi="Calibri;sans-serif"/>
          <w:b w:val="false"/>
          <w:sz w:val="22"/>
        </w:rPr>
        <w:t>Accounts receivable are due from a large number of customers, primarily in the construction industry, and are dispersed across wide geographic and economic regions. No</w:t>
      </w:r>
      <w:r>
        <w:rPr>
          <w:rFonts w:ascii="Calibri" w:hAnsi="Calibri"/>
          <w:sz w:val="22"/>
        </w:rPr>
        <w:t xml:space="preserve"> </w:t>
      </w:r>
      <w:r>
        <w:rPr>
          <w:rFonts w:ascii="Calibri;sans-serif" w:hAnsi="Calibri;sans-serif"/>
          <w:b w:val="false"/>
          <w:sz w:val="22"/>
        </w:rPr>
        <w:t>single customer accounted for 10% or more of consolidated accounts receivable at March 31, 2023 and December 31, 2022. The carrying values of accounts receivable approximate their fair values.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15</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120" w:after="0"/>
        <w:jc w:val="both"/>
        <w:rPr>
          <w:rFonts w:ascii="Calibri" w:hAnsi="Calibri"/>
          <w:sz w:val="22"/>
        </w:rPr>
      </w:pPr>
      <w:r>
        <w:rPr>
          <w:rFonts w:ascii="Calibri;sans-serif" w:hAnsi="Calibri;sans-serif"/>
          <w:b w:val="false"/>
          <w:sz w:val="22"/>
        </w:rPr>
        <w:t>Notes receivable are primarily promissory notes with customers and are not publicly traded. Management estimates that the carrying value of notes receivable approximates its fair value.</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Accounts payable represent amounts owed to suppliers and vendors. The estimated carrying value of accounts payable approximates its fair value due to the short-term nature of the payables.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carrying values and fair values of the Company’s long-term debt were $5.04</w:t>
      </w:r>
      <w:r>
        <w:rPr>
          <w:rFonts w:ascii="Calibri" w:hAnsi="Calibri"/>
          <w:sz w:val="22"/>
        </w:rPr>
        <w:t xml:space="preserve"> </w:t>
      </w:r>
      <w:r>
        <w:rPr>
          <w:rFonts w:ascii="Calibri;sans-serif" w:hAnsi="Calibri;sans-serif"/>
          <w:b w:val="false"/>
          <w:sz w:val="22"/>
        </w:rPr>
        <w:t>billion</w:t>
      </w:r>
      <w:r>
        <w:rPr>
          <w:rFonts w:ascii="Calibri" w:hAnsi="Calibri"/>
          <w:sz w:val="22"/>
        </w:rPr>
        <w:t xml:space="preserve"> </w:t>
      </w:r>
      <w:r>
        <w:rPr>
          <w:rFonts w:ascii="Calibri;sans-serif" w:hAnsi="Calibri;sans-serif"/>
          <w:b w:val="false"/>
          <w:sz w:val="22"/>
        </w:rPr>
        <w:t>and $4.46</w:t>
      </w:r>
      <w:r>
        <w:rPr>
          <w:rFonts w:ascii="Calibri" w:hAnsi="Calibri"/>
          <w:sz w:val="22"/>
        </w:rPr>
        <w:t xml:space="preserve"> </w:t>
      </w:r>
      <w:r>
        <w:rPr>
          <w:rFonts w:ascii="Calibri;sans-serif" w:hAnsi="Calibri;sans-serif"/>
          <w:b w:val="false"/>
          <w:sz w:val="22"/>
        </w:rPr>
        <w:t>billion, respectively, at March 31, 2023 and $5.04</w:t>
      </w:r>
      <w:r>
        <w:rPr>
          <w:rFonts w:ascii="Calibri" w:hAnsi="Calibri"/>
          <w:sz w:val="22"/>
        </w:rPr>
        <w:t xml:space="preserve"> </w:t>
      </w:r>
      <w:r>
        <w:rPr>
          <w:rFonts w:ascii="Calibri;sans-serif" w:hAnsi="Calibri;sans-serif"/>
          <w:b w:val="false"/>
          <w:sz w:val="22"/>
        </w:rPr>
        <w:t>billion</w:t>
      </w:r>
      <w:r>
        <w:rPr>
          <w:rFonts w:ascii="Calibri" w:hAnsi="Calibri"/>
          <w:sz w:val="22"/>
        </w:rPr>
        <w:t xml:space="preserve"> </w:t>
      </w:r>
      <w:r>
        <w:rPr>
          <w:rFonts w:ascii="Calibri;sans-serif" w:hAnsi="Calibri;sans-serif"/>
          <w:b w:val="false"/>
          <w:sz w:val="22"/>
        </w:rPr>
        <w:t>and $4.36</w:t>
      </w:r>
      <w:r>
        <w:rPr>
          <w:rFonts w:ascii="Calibri" w:hAnsi="Calibri"/>
          <w:sz w:val="22"/>
        </w:rPr>
        <w:t xml:space="preserve"> </w:t>
      </w:r>
      <w:r>
        <w:rPr>
          <w:rFonts w:ascii="Calibri;sans-serif" w:hAnsi="Calibri;sans-serif"/>
          <w:b w:val="false"/>
          <w:sz w:val="22"/>
        </w:rPr>
        <w:t>billion, respectively, at December 31, 2022. The estimated fair value of the Company’s publicly-registered long-term debt was estimated based on Level 1 of the fair value hierarchy using quoted market prices. The carrying values of other borrowings, which primarily represent variable-rate debt, approximate their fair value as the interest rates reset periodically.</w:t>
      </w:r>
      <w:r>
        <w:rPr>
          <w:rFonts w:ascii="Calibri" w:hAnsi="Calibri"/>
          <w:sz w:val="22"/>
        </w:rPr>
        <w:t xml:space="preserve"> </w:t>
      </w:r>
    </w:p>
    <w:p>
      <w:pPr>
        <w:pStyle w:val="TextBody"/>
        <w:spacing w:before="360" w:after="0"/>
        <w:jc w:val="both"/>
        <w:rPr>
          <w:rFonts w:ascii="Calibri" w:hAnsi="Calibri"/>
          <w:b/>
          <w:sz w:val="22"/>
        </w:rPr>
      </w:pPr>
      <w:r>
        <w:rPr>
          <w:rFonts w:ascii="Calibri" w:hAnsi="Calibri"/>
          <w:b/>
          <w:sz w:val="22"/>
        </w:rPr>
        <w:t>6.</w:t>
      </w:r>
    </w:p>
    <w:p>
      <w:pPr>
        <w:pStyle w:val="TextBody"/>
        <w:spacing w:before="360" w:after="283"/>
        <w:jc w:val="both"/>
        <w:rPr>
          <w:rFonts w:ascii="Calibri;sans-serif" w:hAnsi="Calibri;sans-serif"/>
          <w:b/>
          <w:sz w:val="22"/>
        </w:rPr>
      </w:pPr>
      <w:r>
        <w:rPr>
          <w:rFonts w:ascii="Calibri;sans-serif" w:hAnsi="Calibri;sans-serif"/>
          <w:b/>
          <w:sz w:val="22"/>
        </w:rPr>
        <w:t xml:space="preserve">Income Taxes </w:t>
      </w:r>
    </w:p>
    <w:p>
      <w:pPr>
        <w:pStyle w:val="TextBody"/>
        <w:spacing w:before="120" w:after="0"/>
        <w:jc w:val="both"/>
        <w:rPr>
          <w:rFonts w:ascii="Calibri" w:hAnsi="Calibri"/>
          <w:sz w:val="22"/>
        </w:rPr>
      </w:pPr>
      <w:r>
        <w:rPr>
          <w:rFonts w:ascii="Calibri;sans-serif" w:hAnsi="Calibri;sans-serif"/>
          <w:b w:val="false"/>
          <w:sz w:val="22"/>
        </w:rPr>
        <w:t>The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20.9%</w:t>
      </w:r>
      <w:r>
        <w:rPr>
          <w:rFonts w:ascii="Calibri" w:hAnsi="Calibri"/>
          <w:sz w:val="22"/>
        </w:rPr>
        <w:t xml:space="preserve"> </w:t>
      </w:r>
      <w:r>
        <w:rPr>
          <w:rFonts w:ascii="Calibri;sans-serif" w:hAnsi="Calibri;sans-serif"/>
          <w:b w:val="false"/>
          <w:sz w:val="22"/>
        </w:rPr>
        <w:t>and 19.3% for the three months ended March 31, 2023 and 2022, respectively.</w:t>
      </w:r>
    </w:p>
    <w:p>
      <w:pPr>
        <w:pStyle w:val="TextBody"/>
        <w:spacing w:before="360" w:after="0"/>
        <w:jc w:val="both"/>
        <w:rPr>
          <w:rFonts w:ascii="Calibri" w:hAnsi="Calibri"/>
          <w:b/>
          <w:sz w:val="22"/>
        </w:rPr>
      </w:pPr>
      <w:r>
        <w:rPr>
          <w:rFonts w:ascii="Calibri" w:hAnsi="Calibri"/>
          <w:b/>
          <w:sz w:val="22"/>
        </w:rPr>
        <w:t>7.</w:t>
      </w:r>
    </w:p>
    <w:p>
      <w:pPr>
        <w:pStyle w:val="TextBody"/>
        <w:spacing w:before="360" w:after="283"/>
        <w:jc w:val="both"/>
        <w:rPr>
          <w:rFonts w:ascii="Calibri;sans-serif" w:hAnsi="Calibri;sans-serif"/>
          <w:b/>
          <w:sz w:val="22"/>
        </w:rPr>
      </w:pPr>
      <w:r>
        <w:rPr>
          <w:rFonts w:ascii="Calibri;sans-serif" w:hAnsi="Calibri;sans-serif"/>
          <w:b/>
          <w:sz w:val="22"/>
        </w:rPr>
        <w:t xml:space="preserve">Pension and Postretirement Benefits </w:t>
      </w:r>
    </w:p>
    <w:p>
      <w:pPr>
        <w:pStyle w:val="TextBody"/>
        <w:spacing w:before="120" w:after="0"/>
        <w:jc w:val="both"/>
        <w:rPr>
          <w:rFonts w:ascii="Calibri" w:hAnsi="Calibri"/>
          <w:sz w:val="22"/>
        </w:rPr>
      </w:pPr>
      <w:r>
        <w:rPr>
          <w:rFonts w:ascii="Calibri;sans-serif" w:hAnsi="Calibri;sans-serif"/>
          <w:b w:val="false"/>
          <w:sz w:val="22"/>
        </w:rPr>
        <w:t>The net periodic benefit cost (credit) for pension and postretirement benefits includes the following components:</w:t>
      </w:r>
      <w:r>
        <w:rPr>
          <w:rFonts w:ascii="Calibri" w:hAnsi="Calibri"/>
          <w:sz w:val="22"/>
        </w:rPr>
        <w:t xml:space="preserve"> </w:t>
      </w:r>
    </w:p>
    <w:p>
      <w:pPr>
        <w:pStyle w:val="TextBody"/>
        <w:spacing w:before="0" w:after="0"/>
        <w:jc w:val="both"/>
        <w:rPr/>
      </w:pPr>
      <w:r>
        <w:rPr/>
        <w:t> </w:t>
      </w:r>
    </w:p>
    <w:tbl>
      <w:tblPr>
        <w:tblW w:w="8159" w:type="dxa"/>
        <w:jc w:val="left"/>
        <w:tblInd w:w="0" w:type="dxa"/>
        <w:tblCellMar>
          <w:top w:w="28" w:type="dxa"/>
          <w:left w:w="28" w:type="dxa"/>
          <w:bottom w:w="28" w:type="dxa"/>
          <w:right w:w="28" w:type="dxa"/>
        </w:tblCellMar>
      </w:tblPr>
      <w:tblGrid>
        <w:gridCol w:w="3031"/>
        <w:gridCol w:w="146"/>
        <w:gridCol w:w="226"/>
        <w:gridCol w:w="601"/>
        <w:gridCol w:w="181"/>
        <w:gridCol w:w="146"/>
        <w:gridCol w:w="226"/>
        <w:gridCol w:w="601"/>
        <w:gridCol w:w="181"/>
        <w:gridCol w:w="146"/>
        <w:gridCol w:w="292"/>
        <w:gridCol w:w="621"/>
        <w:gridCol w:w="234"/>
        <w:gridCol w:w="188"/>
        <w:gridCol w:w="292"/>
        <w:gridCol w:w="621"/>
        <w:gridCol w:w="426"/>
      </w:tblGrid>
      <w:tr>
        <w:trPr/>
        <w:tc>
          <w:tcPr>
            <w:tcW w:w="3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3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Pension</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Postretirement Benefits</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55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 March 31,</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9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556" w:type="dxa"/>
            <w:gridSpan w:val="14"/>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426" w:type="dxa"/>
            <w:tcBorders/>
            <w:shd w:fill="auto" w:val="clear"/>
            <w:vAlign w:val="center"/>
          </w:tcPr>
          <w:p>
            <w:pPr>
              <w:pStyle w:val="TableContents"/>
              <w:spacing w:before="0" w:after="0"/>
              <w:ind w:left="0" w:right="0" w:hanging="0"/>
              <w:jc w:val="center"/>
              <w:rPr/>
            </w:pPr>
            <w:r>
              <w:rPr/>
              <w:t> </w:t>
            </w:r>
          </w:p>
        </w:tc>
      </w:tr>
      <w:tr>
        <w:trPr/>
        <w:tc>
          <w:tcPr>
            <w:tcW w:w="30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Service cost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21" w:type="dxa"/>
            <w:tcBorders/>
            <w:shd w:fill="auto" w:val="clear"/>
            <w:vAlign w:val="center"/>
          </w:tcPr>
          <w:p>
            <w:pPr>
              <w:pStyle w:val="TableContents"/>
              <w:spacing w:before="0" w:after="0"/>
              <w:ind w:left="0" w:right="0" w:hanging="0"/>
              <w:jc w:val="right"/>
              <w:rPr/>
            </w:pPr>
            <w:r>
              <w:rPr/>
              <w:t>—</w:t>
            </w:r>
          </w:p>
        </w:tc>
        <w:tc>
          <w:tcPr>
            <w:tcW w:w="234"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292"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21" w:type="dxa"/>
            <w:tcBorders/>
            <w:shd w:fill="auto" w:val="clear"/>
            <w:vAlign w:val="center"/>
          </w:tcPr>
          <w:p>
            <w:pPr>
              <w:pStyle w:val="TableContents"/>
              <w:spacing w:before="0" w:after="0"/>
              <w:ind w:left="0" w:right="0" w:hanging="0"/>
              <w:jc w:val="right"/>
              <w:rPr/>
            </w:pPr>
            <w:r>
              <w:rPr/>
              <w:t>—</w:t>
            </w:r>
          </w:p>
        </w:tc>
        <w:tc>
          <w:tcPr>
            <w:tcW w:w="426" w:type="dxa"/>
            <w:tcBorders/>
            <w:shd w:fill="auto" w:val="clear"/>
            <w:vAlign w:val="center"/>
          </w:tcPr>
          <w:p>
            <w:pPr>
              <w:pStyle w:val="TableContents"/>
              <w:spacing w:before="0" w:after="0"/>
              <w:ind w:left="0" w:right="0" w:hanging="0"/>
              <w:jc w:val="left"/>
              <w:rPr/>
            </w:pPr>
            <w:r>
              <w:rPr/>
              <w:t> </w:t>
            </w:r>
          </w:p>
        </w:tc>
      </w:tr>
      <w:tr>
        <w:trPr/>
        <w:tc>
          <w:tcPr>
            <w:tcW w:w="30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Interest cost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234"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426" w:type="dxa"/>
            <w:tcBorders/>
            <w:shd w:fill="auto" w:val="clear"/>
            <w:vAlign w:val="center"/>
          </w:tcPr>
          <w:p>
            <w:pPr>
              <w:pStyle w:val="TableContents"/>
              <w:spacing w:before="0" w:after="0"/>
              <w:ind w:left="0" w:right="0" w:hanging="0"/>
              <w:jc w:val="left"/>
              <w:rPr/>
            </w:pPr>
            <w:r>
              <w:rPr/>
              <w:t> </w:t>
            </w:r>
          </w:p>
        </w:tc>
      </w:tr>
      <w:tr>
        <w:trPr/>
        <w:tc>
          <w:tcPr>
            <w:tcW w:w="30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Expected return on assets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(17.8</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(19.4</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234"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426" w:type="dxa"/>
            <w:tcBorders/>
            <w:shd w:fill="auto" w:val="clear"/>
            <w:vAlign w:val="center"/>
          </w:tcPr>
          <w:p>
            <w:pPr>
              <w:pStyle w:val="TableContents"/>
              <w:spacing w:before="0" w:after="0"/>
              <w:ind w:left="0" w:right="0" w:hanging="0"/>
              <w:jc w:val="left"/>
              <w:rPr/>
            </w:pPr>
            <w:r>
              <w:rPr/>
              <w:t> </w:t>
            </w:r>
          </w:p>
        </w:tc>
      </w:tr>
      <w:tr>
        <w:trPr/>
        <w:tc>
          <w:tcPr>
            <w:tcW w:w="30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Amortization of:</w:t>
            </w:r>
          </w:p>
        </w:tc>
        <w:tc>
          <w:tcPr>
            <w:tcW w:w="146" w:type="dxa"/>
            <w:tcBorders/>
            <w:shd w:fill="auto" w:val="clear"/>
            <w:vAlign w:val="center"/>
          </w:tcPr>
          <w:p>
            <w:pPr>
              <w:pStyle w:val="TableContents"/>
              <w:spacing w:before="0" w:after="0"/>
              <w:ind w:left="0" w:right="0" w:hanging="0"/>
              <w:jc w:val="righ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3" w:type="dxa"/>
            <w:gridSpan w:val="2"/>
            <w:tcBorders/>
            <w:shd w:fill="auto" w:val="clear"/>
            <w:vAlign w:val="center"/>
          </w:tcPr>
          <w:p>
            <w:pPr>
              <w:pStyle w:val="TableContents"/>
              <w:spacing w:before="0" w:after="0"/>
              <w:ind w:left="0" w:right="0" w:hanging="0"/>
              <w:jc w:val="right"/>
              <w:rPr/>
            </w:pPr>
            <w:r>
              <w:rPr/>
              <w:t> </w:t>
            </w:r>
          </w:p>
        </w:tc>
        <w:tc>
          <w:tcPr>
            <w:tcW w:w="234" w:type="dxa"/>
            <w:tcBorders/>
            <w:shd w:fill="auto" w:val="clear"/>
            <w:vAlign w:val="center"/>
          </w:tcPr>
          <w:p>
            <w:pPr>
              <w:pStyle w:val="TableContents"/>
              <w:spacing w:before="0" w:after="0"/>
              <w:ind w:left="0" w:right="0" w:hanging="0"/>
              <w:jc w:val="righ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913" w:type="dxa"/>
            <w:gridSpan w:val="2"/>
            <w:tcBorders/>
            <w:shd w:fill="auto" w:val="clear"/>
            <w:vAlign w:val="center"/>
          </w:tcPr>
          <w:p>
            <w:pPr>
              <w:pStyle w:val="TableContents"/>
              <w:spacing w:before="0" w:after="0"/>
              <w:ind w:left="0" w:right="0" w:hanging="0"/>
              <w:jc w:val="right"/>
              <w:rPr/>
            </w:pPr>
            <w:r>
              <w:rPr/>
              <w:t> </w:t>
            </w:r>
          </w:p>
        </w:tc>
        <w:tc>
          <w:tcPr>
            <w:tcW w:w="426" w:type="dxa"/>
            <w:tcBorders/>
            <w:shd w:fill="auto" w:val="clear"/>
            <w:vAlign w:val="center"/>
          </w:tcPr>
          <w:p>
            <w:pPr>
              <w:pStyle w:val="TableContents"/>
              <w:spacing w:before="0" w:after="0"/>
              <w:ind w:left="0" w:right="0" w:firstLine="200"/>
              <w:jc w:val="right"/>
              <w:rPr/>
            </w:pPr>
            <w:r>
              <w:rPr/>
              <w:t> </w:t>
            </w:r>
          </w:p>
        </w:tc>
      </w:tr>
      <w:tr>
        <w:trPr/>
        <w:tc>
          <w:tcPr>
            <w:tcW w:w="3031"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Prior service cost (credit)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234"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88" w:type="dxa"/>
            <w:tcBorders/>
            <w:shd w:fill="auto" w:val="clear"/>
            <w:vAlign w:val="center"/>
          </w:tcPr>
          <w:p>
            <w:pPr>
              <w:pStyle w:val="TableContents"/>
              <w:spacing w:before="0" w:after="0"/>
              <w:ind w:left="0" w:right="0" w:hanging="0"/>
              <w:jc w:val="righ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(0.2</w:t>
            </w:r>
          </w:p>
        </w:tc>
        <w:tc>
          <w:tcPr>
            <w:tcW w:w="426" w:type="dxa"/>
            <w:tcBorders/>
            <w:shd w:fill="auto" w:val="clear"/>
            <w:vAlign w:val="center"/>
          </w:tcPr>
          <w:p>
            <w:pPr>
              <w:pStyle w:val="TableContents"/>
              <w:spacing w:before="0" w:after="0"/>
              <w:ind w:left="0" w:right="0" w:firstLine="200"/>
              <w:jc w:val="left"/>
              <w:rPr>
                <w:rFonts w:ascii="Calibri;sans-serif" w:hAnsi="Calibri;sans-serif"/>
                <w:b w:val="false"/>
                <w:sz w:val="22"/>
              </w:rPr>
            </w:pPr>
            <w:r>
              <w:rPr>
                <w:rFonts w:ascii="Calibri;sans-serif" w:hAnsi="Calibri;sans-serif"/>
                <w:b w:val="false"/>
                <w:sz w:val="22"/>
              </w:rPr>
              <w:t>)</w:t>
            </w:r>
          </w:p>
        </w:tc>
      </w:tr>
      <w:tr>
        <w:trPr/>
        <w:tc>
          <w:tcPr>
            <w:tcW w:w="3031"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Actuarial loss (gain)</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234"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88" w:type="dxa"/>
            <w:tcBorders/>
            <w:shd w:fill="auto" w:val="clear"/>
            <w:vAlign w:val="center"/>
          </w:tcPr>
          <w:p>
            <w:pPr>
              <w:pStyle w:val="TableContents"/>
              <w:spacing w:before="0" w:after="0"/>
              <w:ind w:left="0" w:right="0" w:hanging="0"/>
              <w:jc w:val="righ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4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03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Net periodic benefit cost (credit)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w:t>
            </w:r>
          </w:p>
        </w:tc>
        <w:tc>
          <w:tcPr>
            <w:tcW w:w="1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4.4</w:t>
            </w:r>
          </w:p>
        </w:tc>
        <w:tc>
          <w:tcPr>
            <w:tcW w:w="1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23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88" w:type="dxa"/>
            <w:tcBorders/>
            <w:shd w:fill="auto" w:val="clear"/>
            <w:vAlign w:val="center"/>
          </w:tcPr>
          <w:p>
            <w:pPr>
              <w:pStyle w:val="TableContents"/>
              <w:spacing w:before="0" w:after="0"/>
              <w:ind w:left="0" w:right="0" w:hanging="0"/>
              <w:jc w:val="right"/>
              <w:rPr/>
            </w:pPr>
            <w:r>
              <w:rPr/>
              <w:t> </w:t>
            </w:r>
          </w:p>
        </w:tc>
        <w:tc>
          <w:tcPr>
            <w:tcW w:w="29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(0.2</w:t>
            </w:r>
          </w:p>
        </w:tc>
        <w:tc>
          <w:tcPr>
            <w:tcW w:w="4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200" w:after="0"/>
        <w:jc w:val="both"/>
        <w:rPr>
          <w:rFonts w:ascii="Calibri" w:hAnsi="Calibri"/>
          <w:sz w:val="22"/>
        </w:rPr>
      </w:pPr>
      <w:r>
        <w:rPr>
          <w:rFonts w:ascii="Calibri;sans-serif" w:hAnsi="Calibri;sans-serif"/>
          <w:b w:val="false"/>
          <w:sz w:val="22"/>
        </w:rPr>
        <w:t xml:space="preserve">The components of net periodic benefit cost (credit), other than service cost, are included in the line item </w:t>
      </w:r>
      <w:r>
        <w:rPr>
          <w:rFonts w:ascii="Calibri;sans-serif" w:hAnsi="Calibri;sans-serif"/>
          <w:b w:val="false"/>
          <w:i/>
          <w:sz w:val="22"/>
        </w:rPr>
        <w:t>Other nonoperating income, net</w:t>
      </w:r>
      <w:r>
        <w:rPr>
          <w:rFonts w:ascii="Calibri;sans-serif" w:hAnsi="Calibri;sans-serif"/>
          <w:b w:val="false"/>
          <w:sz w:val="22"/>
        </w:rPr>
        <w:t xml:space="preserve">, in the consolidated statements of earnings and comprehensive earnings. Based on the roles of the employees, service cost is included in </w:t>
      </w:r>
      <w:r>
        <w:rPr>
          <w:rFonts w:ascii="Calibri;sans-serif" w:hAnsi="Calibri;sans-serif"/>
          <w:b w:val="false"/>
          <w:i/>
          <w:sz w:val="22"/>
        </w:rPr>
        <w:t>Cost of revenues</w:t>
      </w:r>
      <w:r>
        <w:rPr>
          <w:rFonts w:ascii="Calibri" w:hAnsi="Calibri"/>
          <w:sz w:val="22"/>
        </w:rPr>
        <w:t xml:space="preserve"> </w:t>
      </w:r>
      <w:r>
        <w:rPr>
          <w:rFonts w:ascii="Calibri;sans-serif" w:hAnsi="Calibri;sans-serif"/>
          <w:b w:val="false"/>
          <w:sz w:val="22"/>
        </w:rPr>
        <w:t xml:space="preserve">or </w:t>
      </w:r>
      <w:r>
        <w:rPr>
          <w:rFonts w:ascii="Calibri;sans-serif" w:hAnsi="Calibri;sans-serif"/>
          <w:b w:val="false"/>
          <w:i/>
          <w:sz w:val="22"/>
        </w:rPr>
        <w:t>Selling</w:t>
      </w:r>
      <w:r>
        <w:rPr>
          <w:rFonts w:ascii="Calibri;sans-serif" w:hAnsi="Calibri;sans-serif"/>
          <w:b w:val="false"/>
          <w:sz w:val="22"/>
        </w:rPr>
        <w:t xml:space="preserve">, </w:t>
      </w:r>
      <w:r>
        <w:rPr>
          <w:rFonts w:ascii="Calibri;sans-serif" w:hAnsi="Calibri;sans-serif"/>
          <w:b w:val="false"/>
          <w:i/>
          <w:sz w:val="22"/>
        </w:rPr>
        <w:t>general and administrative expenses</w:t>
      </w:r>
      <w:r>
        <w:rPr>
          <w:rFonts w:ascii="Calibri" w:hAnsi="Calibri"/>
          <w:sz w:val="22"/>
        </w:rPr>
        <w:t xml:space="preserve"> </w:t>
      </w:r>
      <w:r>
        <w:rPr>
          <w:rFonts w:ascii="Calibri;sans-serif" w:hAnsi="Calibri;sans-serif"/>
          <w:b w:val="false"/>
          <w:sz w:val="22"/>
        </w:rPr>
        <w:t>line items in the consolidated statements of earnings and comprehensive earnings.</w:t>
      </w:r>
      <w:r>
        <w:rPr>
          <w:rFonts w:ascii="Calibri" w:hAnsi="Calibri"/>
          <w:sz w:val="22"/>
        </w:rPr>
        <w:t xml:space="preserve"> </w:t>
      </w:r>
    </w:p>
    <w:p>
      <w:pPr>
        <w:pStyle w:val="TextBody"/>
        <w:spacing w:before="360" w:after="0"/>
        <w:jc w:val="both"/>
        <w:rPr>
          <w:rFonts w:ascii="Calibri" w:hAnsi="Calibri"/>
          <w:b/>
          <w:sz w:val="22"/>
        </w:rPr>
      </w:pPr>
      <w:r>
        <w:rPr>
          <w:rFonts w:ascii="Calibri" w:hAnsi="Calibri"/>
          <w:b/>
          <w:sz w:val="22"/>
        </w:rPr>
        <w:t>8.</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both"/>
        <w:rPr>
          <w:rFonts w:ascii="Calibri;sans-serif" w:hAnsi="Calibri;sans-serif"/>
          <w:b/>
          <w:sz w:val="22"/>
        </w:rPr>
      </w:pPr>
      <w:r>
        <w:rPr>
          <w:rFonts w:ascii="Calibri;sans-serif" w:hAnsi="Calibri;sans-serif"/>
          <w:b/>
          <w:sz w:val="22"/>
        </w:rPr>
        <w:t>Commitments and Contingencies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Calibri" w:hAnsi="Calibri"/>
          <w:sz w:val="22"/>
        </w:rPr>
      </w:pPr>
      <w:r>
        <w:rPr>
          <w:rFonts w:ascii="Calibri;sans-serif" w:hAnsi="Calibri;sans-serif"/>
          <w:b/>
          <w:sz w:val="22"/>
        </w:rPr>
        <w:t>Legal and Administrative Proceedings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 is engaged in certain legal and administrative proceedings incidental to its normal business activities, including matters relating to environmental protection.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16</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120" w:after="0"/>
        <w:jc w:val="both"/>
        <w:rPr>
          <w:rFonts w:ascii="Calibri" w:hAnsi="Calibri"/>
          <w:sz w:val="22"/>
        </w:rPr>
      </w:pPr>
      <w:r>
        <w:rPr>
          <w:rFonts w:ascii="Calibri;sans-serif" w:hAnsi="Calibri;sans-serif"/>
          <w:b w:val="false"/>
          <w:sz w:val="22"/>
        </w:rPr>
        <w:t>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r>
        <w:rPr>
          <w:rFonts w:ascii="Calibri" w:hAnsi="Calibri"/>
          <w:sz w:val="22"/>
        </w:rPr>
        <w:t xml:space="preserve"> </w:t>
      </w:r>
    </w:p>
    <w:p>
      <w:pPr>
        <w:pStyle w:val="TextBody"/>
        <w:spacing w:before="240" w:after="0"/>
        <w:jc w:val="left"/>
        <w:rPr>
          <w:rFonts w:ascii="Calibri;sans-serif" w:hAnsi="Calibri;sans-serif"/>
          <w:b/>
          <w:sz w:val="22"/>
        </w:rPr>
      </w:pPr>
      <w:r>
        <w:rPr>
          <w:rFonts w:ascii="Calibri;sans-serif" w:hAnsi="Calibri;sans-serif"/>
          <w:b/>
          <w:sz w:val="22"/>
        </w:rPr>
        <w:t>Letters of Credit</w:t>
      </w:r>
    </w:p>
    <w:p>
      <w:pPr>
        <w:pStyle w:val="TextBody"/>
        <w:spacing w:before="120" w:after="0"/>
        <w:jc w:val="both"/>
        <w:rPr>
          <w:rFonts w:ascii="Calibri" w:hAnsi="Calibri"/>
          <w:sz w:val="22"/>
        </w:rPr>
      </w:pPr>
      <w:r>
        <w:rPr>
          <w:rFonts w:ascii="Calibri;sans-serif" w:hAnsi="Calibri;sans-serif"/>
          <w:b w:val="false"/>
          <w:sz w:val="22"/>
        </w:rPr>
        <w:t>In the normal course of business, the Company provides certain third parties with standby letter of credit agreements guaranteeing its payment for certain insurance claims, contract performance and permit requirements. At March 31, 2023, the Company was contingently liable for $26.8</w:t>
      </w:r>
      <w:r>
        <w:rPr>
          <w:rFonts w:ascii="Calibri" w:hAnsi="Calibri"/>
          <w:sz w:val="22"/>
        </w:rPr>
        <w:t xml:space="preserve"> </w:t>
      </w:r>
      <w:r>
        <w:rPr>
          <w:rFonts w:ascii="Calibri;sans-serif" w:hAnsi="Calibri;sans-serif"/>
          <w:b w:val="false"/>
          <w:sz w:val="22"/>
        </w:rPr>
        <w:t>million in letters of credit.</w:t>
      </w:r>
    </w:p>
    <w:p>
      <w:pPr>
        <w:pStyle w:val="TextBody"/>
        <w:spacing w:before="240" w:after="0"/>
        <w:jc w:val="left"/>
        <w:rPr>
          <w:rFonts w:ascii="Calibri" w:hAnsi="Calibri"/>
          <w:sz w:val="22"/>
        </w:rPr>
      </w:pPr>
      <w:r>
        <w:rPr>
          <w:rFonts w:ascii="Calibri;sans-serif" w:hAnsi="Calibri;sans-serif"/>
          <w:b/>
          <w:sz w:val="22"/>
        </w:rPr>
        <w:t>Borrowing Arrangements with Affiliate</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 is a guarantor with an unconsolidated affiliate for a $15.0</w:t>
      </w:r>
      <w:r>
        <w:rPr>
          <w:rFonts w:ascii="Calibri" w:hAnsi="Calibri"/>
          <w:sz w:val="22"/>
        </w:rPr>
        <w:t xml:space="preserve"> </w:t>
      </w:r>
      <w:r>
        <w:rPr>
          <w:rFonts w:ascii="Calibri;sans-serif" w:hAnsi="Calibri;sans-serif"/>
          <w:b w:val="false"/>
          <w:sz w:val="22"/>
        </w:rPr>
        <w:t>million revolving line of credit agreement with Truist Bank that has a maturity date of March 2024, of which $2.4</w:t>
      </w:r>
      <w:r>
        <w:rPr>
          <w:rFonts w:ascii="Calibri" w:hAnsi="Calibri"/>
          <w:sz w:val="22"/>
        </w:rPr>
        <w:t xml:space="preserve"> </w:t>
      </w:r>
      <w:r>
        <w:rPr>
          <w:rFonts w:ascii="Calibri;sans-serif" w:hAnsi="Calibri;sans-serif"/>
          <w:b w:val="false"/>
          <w:sz w:val="22"/>
        </w:rPr>
        <w:t>million was outstanding at March 31, 2023.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In addition, the Company has a $6.0</w:t>
      </w:r>
      <w:r>
        <w:rPr>
          <w:rFonts w:ascii="Calibri" w:hAnsi="Calibri"/>
          <w:sz w:val="22"/>
        </w:rPr>
        <w:t xml:space="preserve"> </w:t>
      </w:r>
      <w:r>
        <w:rPr>
          <w:rFonts w:ascii="Calibri;sans-serif" w:hAnsi="Calibri;sans-serif"/>
          <w:b w:val="false"/>
          <w:sz w:val="22"/>
        </w:rPr>
        <w:t>million interest-only loan receivable, due December 31, 2024, outstanding from this unconsolidated affiliate at March 31, 2023 and December 31, 2022. The interest rate is one-month LIBOR plus a current spread of 1.63%.</w:t>
      </w:r>
    </w:p>
    <w:p>
      <w:pPr>
        <w:pStyle w:val="TextBody"/>
        <w:spacing w:before="360" w:after="0"/>
        <w:jc w:val="both"/>
        <w:rPr>
          <w:rFonts w:ascii="Calibri" w:hAnsi="Calibri"/>
          <w:b/>
          <w:sz w:val="22"/>
        </w:rPr>
      </w:pPr>
      <w:r>
        <w:rPr>
          <w:rFonts w:ascii="Calibri" w:hAnsi="Calibri"/>
          <w:b/>
          <w:sz w:val="22"/>
        </w:rPr>
        <w:t>9.</w:t>
      </w:r>
    </w:p>
    <w:p>
      <w:pPr>
        <w:pStyle w:val="TextBody"/>
        <w:spacing w:before="360" w:after="283"/>
        <w:jc w:val="both"/>
        <w:rPr>
          <w:rFonts w:ascii="Calibri;sans-serif" w:hAnsi="Calibri;sans-serif"/>
          <w:b/>
          <w:sz w:val="22"/>
        </w:rPr>
      </w:pPr>
      <w:r>
        <w:rPr>
          <w:rFonts w:ascii="Calibri;sans-serif" w:hAnsi="Calibri;sans-serif"/>
          <w:b/>
          <w:sz w:val="22"/>
        </w:rPr>
        <w:t>Segments</w:t>
      </w:r>
    </w:p>
    <w:p>
      <w:pPr>
        <w:pStyle w:val="TextBody"/>
        <w:spacing w:before="120" w:after="0"/>
        <w:jc w:val="both"/>
        <w:rPr>
          <w:rFonts w:ascii="Calibri" w:hAnsi="Calibri"/>
          <w:sz w:val="22"/>
        </w:rPr>
      </w:pPr>
      <w:r>
        <w:rPr>
          <w:rFonts w:ascii="Calibri;sans-serif" w:hAnsi="Calibri;sans-serif"/>
          <w:b w:val="false"/>
          <w:sz w:val="22"/>
        </w:rPr>
        <w:t>The Building Materials business contains two</w:t>
      </w:r>
      <w:r>
        <w:rPr>
          <w:rFonts w:ascii="Calibri" w:hAnsi="Calibri"/>
          <w:sz w:val="22"/>
        </w:rPr>
        <w:t xml:space="preserve"> </w:t>
      </w:r>
      <w:r>
        <w:rPr>
          <w:rFonts w:ascii="Calibri;sans-serif" w:hAnsi="Calibri;sans-serif"/>
          <w:b w:val="false"/>
          <w:sz w:val="22"/>
        </w:rPr>
        <w:t>reportable segments: the East Group and the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 and integration expenses; other operating income and expenses, net; and exclude interest expense; other nonoperating income and expenses, net; and income tax expense. Corporate loss from operations primarily includes depreciation; expenses for corporate administrative functions; acquisition and integration expenses; and other nonrecurring income and expenses not attributable to operations of the Company's other operating segments. All long-term debt and related interest expense are held at Corporate.</w:t>
      </w:r>
    </w:p>
    <w:p>
      <w:pPr>
        <w:pStyle w:val="TextBody"/>
        <w:spacing w:before="120" w:after="0"/>
        <w:jc w:val="both"/>
        <w:rPr>
          <w:rFonts w:ascii="Calibri;sans-serif" w:hAnsi="Calibri;sans-serif"/>
          <w:b w:val="false"/>
          <w:sz w:val="22"/>
        </w:rPr>
      </w:pPr>
      <w:r>
        <w:rPr>
          <w:rFonts w:ascii="Calibri;sans-serif" w:hAnsi="Calibri;sans-serif"/>
          <w:b w:val="false"/>
          <w:sz w:val="22"/>
        </w:rPr>
        <w:t>The following table displays selected financial data for the Company’s reportable segments. Total revenues, as presented on the consolidated statements of earnings and comprehensive earnings, reflect the elimination of intersegment revenues, which represent sales from one segment to another segment. Total revenues and earnings (loss) from operations reflect continuing operations only.</w:t>
      </w:r>
    </w:p>
    <w:p>
      <w:pPr>
        <w:pStyle w:val="TextBody"/>
        <w:spacing w:before="0" w:after="0"/>
        <w:jc w:val="center"/>
        <w:rPr>
          <w:rFonts w:ascii="Calibri" w:hAnsi="Calibri"/>
          <w:sz w:val="22"/>
        </w:rPr>
      </w:pPr>
      <w:r>
        <w:rPr>
          <w:rFonts w:ascii="Calibri;sans-serif" w:hAnsi="Calibri;sans-serif"/>
          <w:b w:val="false"/>
          <w:sz w:val="22"/>
        </w:rPr>
        <w:t>Page 17</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0" w:after="0"/>
        <w:jc w:val="both"/>
        <w:rPr/>
      </w:pPr>
      <w:r>
        <w:rPr/>
        <w:t> </w:t>
      </w:r>
    </w:p>
    <w:tbl>
      <w:tblPr>
        <w:tblW w:w="5894" w:type="dxa"/>
        <w:jc w:val="left"/>
        <w:tblInd w:w="0" w:type="dxa"/>
        <w:tblCellMar>
          <w:top w:w="28" w:type="dxa"/>
          <w:left w:w="28" w:type="dxa"/>
          <w:bottom w:w="28" w:type="dxa"/>
          <w:right w:w="28" w:type="dxa"/>
        </w:tblCellMar>
      </w:tblPr>
      <w:tblGrid>
        <w:gridCol w:w="3091"/>
        <w:gridCol w:w="146"/>
        <w:gridCol w:w="226"/>
        <w:gridCol w:w="826"/>
        <w:gridCol w:w="181"/>
        <w:gridCol w:w="146"/>
        <w:gridCol w:w="226"/>
        <w:gridCol w:w="826"/>
        <w:gridCol w:w="226"/>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31"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22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31"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22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Total revenues:</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East Group</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529.6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418.8</w:t>
            </w:r>
          </w:p>
        </w:tc>
        <w:tc>
          <w:tcPr>
            <w:tcW w:w="22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West Group</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741.1</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735.0</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Building Materials business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1,270.7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1,153.8</w:t>
            </w:r>
          </w:p>
        </w:tc>
        <w:tc>
          <w:tcPr>
            <w:tcW w:w="22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Magnesia Specialties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83.4</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77.0</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1,354.1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1,230.8</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Earnings (Loss) from operations:</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East Group</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108.9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28.0</w:t>
            </w:r>
          </w:p>
        </w:tc>
        <w:tc>
          <w:tcPr>
            <w:tcW w:w="22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West Group</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94.7</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43.0</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Building Materials business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203.6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71.0</w:t>
            </w:r>
          </w:p>
        </w:tc>
        <w:tc>
          <w:tcPr>
            <w:tcW w:w="22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Magnesia Specialties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21.5</w:t>
            </w:r>
          </w:p>
        </w:tc>
        <w:tc>
          <w:tcPr>
            <w:tcW w:w="22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Corporate</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(28.1</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(32.6</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0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196.1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59.9</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360" w:after="0"/>
        <w:jc w:val="both"/>
        <w:rPr>
          <w:rFonts w:ascii="Calibri" w:hAnsi="Calibri"/>
          <w:b/>
          <w:sz w:val="22"/>
        </w:rPr>
      </w:pPr>
      <w:r>
        <w:rPr>
          <w:rFonts w:ascii="Calibri" w:hAnsi="Calibri"/>
          <w:b/>
          <w:sz w:val="22"/>
        </w:rPr>
        <w:t>10.</w:t>
      </w:r>
    </w:p>
    <w:p>
      <w:pPr>
        <w:pStyle w:val="TextBody"/>
        <w:spacing w:before="360" w:after="283"/>
        <w:jc w:val="both"/>
        <w:rPr>
          <w:rFonts w:ascii="Calibri;sans-serif" w:hAnsi="Calibri;sans-serif"/>
          <w:b/>
          <w:sz w:val="22"/>
        </w:rPr>
      </w:pPr>
      <w:r>
        <w:rPr>
          <w:rFonts w:ascii="Calibri;sans-serif" w:hAnsi="Calibri;sans-serif"/>
          <w:b/>
          <w:sz w:val="22"/>
        </w:rPr>
        <w:t>Revenues and Gross Profit</w:t>
      </w:r>
    </w:p>
    <w:p>
      <w:pPr>
        <w:pStyle w:val="TextBody"/>
        <w:spacing w:before="120" w:after="0"/>
        <w:jc w:val="both"/>
        <w:rPr>
          <w:rFonts w:ascii="Calibri" w:hAnsi="Calibri"/>
          <w:sz w:val="22"/>
        </w:rPr>
      </w:pPr>
      <w:r>
        <w:rPr>
          <w:rFonts w:ascii="Calibri;sans-serif" w:hAnsi="Calibri;sans-serif"/>
          <w:b/>
          <w:i/>
          <w:sz w:val="22"/>
        </w:rPr>
        <w:t>Performance Obligations.</w:t>
      </w:r>
      <w:r>
        <w:rPr>
          <w:rFonts w:ascii="Calibri" w:hAnsi="Calibri"/>
          <w:sz w:val="22"/>
        </w:rPr>
        <w:t xml:space="preserve"> </w:t>
      </w:r>
      <w:r>
        <w:rPr>
          <w:rFonts w:ascii="Calibri;sans-serif" w:hAnsi="Calibri;sans-serif"/>
          <w:b w:val="false"/>
          <w:sz w:val="22"/>
        </w:rPr>
        <w:t>Performance obligations are contractual promises to transfer or provide a distinct good or service for a stated price. The Company’s product sales agreements are single-performance obligations that are satisfied at a point in time. Performance obligations within paving service agreements are satisfied over time, primarily ranging from one day</w:t>
      </w:r>
      <w:r>
        <w:rPr>
          <w:rFonts w:ascii="Calibri;sans-serif" w:hAnsi="Calibri;sans-serif"/>
          <w:sz w:val="22"/>
        </w:rPr>
        <w:t xml:space="preserve"> </w:t>
      </w:r>
      <w:r>
        <w:rPr>
          <w:rFonts w:ascii="Calibri;sans-serif" w:hAnsi="Calibri;sans-serif"/>
          <w:b w:val="false"/>
          <w:sz w:val="22"/>
        </w:rPr>
        <w:t>to two years. For product and freight revenues, customer payment terms are generally 30</w:t>
      </w:r>
      <w:r>
        <w:rPr>
          <w:rFonts w:ascii="Calibri;sans-serif" w:hAnsi="Calibri;sans-serif"/>
          <w:sz w:val="22"/>
        </w:rPr>
        <w:t xml:space="preserve"> </w:t>
      </w:r>
      <w:r>
        <w:rPr>
          <w:rFonts w:ascii="Calibri;sans-serif" w:hAnsi="Calibri;sans-serif"/>
          <w:b w:val="false"/>
          <w:sz w:val="22"/>
        </w:rPr>
        <w:t>days from invoice date. Customer payments for the paving operations are based on a contractual billing schedule and are due 30</w:t>
      </w:r>
      <w:r>
        <w:rPr>
          <w:rFonts w:ascii="Calibri;sans-serif" w:hAnsi="Calibri;sans-serif"/>
          <w:sz w:val="22"/>
        </w:rPr>
        <w:t xml:space="preserve"> </w:t>
      </w:r>
      <w:r>
        <w:rPr>
          <w:rFonts w:ascii="Calibri;sans-serif" w:hAnsi="Calibri;sans-serif"/>
          <w:b w:val="false"/>
          <w:sz w:val="22"/>
        </w:rPr>
        <w:t>days from invoice date.</w:t>
      </w:r>
    </w:p>
    <w:p>
      <w:pPr>
        <w:pStyle w:val="TextBody"/>
        <w:spacing w:before="120" w:after="0"/>
        <w:jc w:val="both"/>
        <w:rPr>
          <w:rFonts w:ascii="Calibri" w:hAnsi="Calibri"/>
          <w:sz w:val="22"/>
        </w:rPr>
      </w:pPr>
      <w:r>
        <w:rPr>
          <w:rFonts w:ascii="Calibri;sans-serif" w:hAnsi="Calibri;sans-serif"/>
          <w:b w:val="false"/>
          <w:sz w:val="22"/>
        </w:rPr>
        <w:t>Future revenues from unsatisfied performance obligations at March 31, 2023 and 2022 were $241.0</w:t>
      </w:r>
      <w:r>
        <w:rPr>
          <w:rFonts w:ascii="Calibri" w:hAnsi="Calibri"/>
          <w:sz w:val="22"/>
        </w:rPr>
        <w:t xml:space="preserve"> </w:t>
      </w:r>
      <w:r>
        <w:rPr>
          <w:rFonts w:ascii="Calibri;sans-serif" w:hAnsi="Calibri;sans-serif"/>
          <w:b w:val="false"/>
          <w:sz w:val="22"/>
        </w:rPr>
        <w:t>million and $213.9</w:t>
      </w:r>
      <w:r>
        <w:rPr>
          <w:rFonts w:ascii="Calibri" w:hAnsi="Calibri"/>
          <w:sz w:val="22"/>
        </w:rPr>
        <w:t xml:space="preserve"> </w:t>
      </w:r>
      <w:r>
        <w:rPr>
          <w:rFonts w:ascii="Calibri;sans-serif" w:hAnsi="Calibri;sans-serif"/>
          <w:b w:val="false"/>
          <w:sz w:val="22"/>
        </w:rPr>
        <w:t>million, respectively, where the remaining periods to complete these obligations ranged from less than one month</w:t>
      </w:r>
      <w:r>
        <w:rPr>
          <w:rFonts w:ascii="Calibri" w:hAnsi="Calibri"/>
          <w:sz w:val="22"/>
        </w:rPr>
        <w:t xml:space="preserve"> </w:t>
      </w:r>
      <w:r>
        <w:rPr>
          <w:rFonts w:ascii="Calibri;sans-serif" w:hAnsi="Calibri;sans-serif"/>
          <w:b w:val="false"/>
          <w:sz w:val="22"/>
        </w:rPr>
        <w:t>to 30 months</w:t>
      </w:r>
      <w:r>
        <w:rPr>
          <w:rFonts w:ascii="Calibri" w:hAnsi="Calibri"/>
          <w:sz w:val="22"/>
        </w:rPr>
        <w:t xml:space="preserve"> </w:t>
      </w:r>
      <w:r>
        <w:rPr>
          <w:rFonts w:ascii="Calibri;sans-serif" w:hAnsi="Calibri;sans-serif"/>
          <w:b w:val="false"/>
          <w:sz w:val="22"/>
        </w:rPr>
        <w:t>and one month</w:t>
      </w:r>
      <w:r>
        <w:rPr>
          <w:rFonts w:ascii="Calibri" w:hAnsi="Calibri"/>
          <w:sz w:val="22"/>
        </w:rPr>
        <w:t xml:space="preserve"> </w:t>
      </w:r>
      <w:r>
        <w:rPr>
          <w:rFonts w:ascii="Calibri;sans-serif" w:hAnsi="Calibri;sans-serif"/>
          <w:b w:val="false"/>
          <w:sz w:val="22"/>
        </w:rPr>
        <w:t>to 25 months, respectively.</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i/>
          <w:sz w:val="22"/>
        </w:rPr>
        <w:t>Service Revenues.</w:t>
      </w:r>
      <w:r>
        <w:rPr>
          <w:rFonts w:ascii="Calibri" w:hAnsi="Calibri"/>
          <w:sz w:val="22"/>
        </w:rPr>
        <w:t xml:space="preserve"> </w:t>
      </w:r>
      <w:r>
        <w:rPr>
          <w:rFonts w:ascii="Calibri;sans-serif" w:hAnsi="Calibri;sans-serif"/>
          <w:b w:val="false"/>
          <w:sz w:val="22"/>
        </w:rPr>
        <w:t>Service revenues, which include paving services located in California and Colorado, were</w:t>
      </w:r>
      <w:r>
        <w:rPr>
          <w:rFonts w:ascii="Calibri" w:hAnsi="Calibri"/>
          <w:sz w:val="22"/>
        </w:rPr>
        <w:t xml:space="preserve"> </w:t>
      </w:r>
      <w:r>
        <w:rPr>
          <w:rFonts w:ascii="Calibri;sans-serif" w:hAnsi="Calibri;sans-serif"/>
          <w:b w:val="false"/>
          <w:sz w:val="22"/>
        </w:rPr>
        <w:t>$26.3</w:t>
      </w:r>
      <w:r>
        <w:rPr>
          <w:rFonts w:ascii="Calibri" w:hAnsi="Calibri"/>
          <w:sz w:val="22"/>
        </w:rPr>
        <w:t xml:space="preserve"> </w:t>
      </w:r>
      <w:r>
        <w:rPr>
          <w:rFonts w:ascii="Calibri;sans-serif" w:hAnsi="Calibri;sans-serif"/>
          <w:b w:val="false"/>
          <w:sz w:val="22"/>
        </w:rPr>
        <w:t>million and $18.3</w:t>
      </w:r>
      <w:r>
        <w:rPr>
          <w:rFonts w:ascii="Calibri" w:hAnsi="Calibri"/>
          <w:sz w:val="22"/>
        </w:rPr>
        <w:t xml:space="preserve"> </w:t>
      </w:r>
      <w:r>
        <w:rPr>
          <w:rFonts w:ascii="Calibri;sans-serif" w:hAnsi="Calibri;sans-serif"/>
          <w:b w:val="false"/>
          <w:sz w:val="22"/>
        </w:rPr>
        <w:t>million for the three months ended March 31, 2023 and 2022, respectively, and are reported in the West Group.</w:t>
      </w:r>
    </w:p>
    <w:p>
      <w:pPr>
        <w:pStyle w:val="TextBody"/>
        <w:spacing w:before="120" w:after="0"/>
        <w:jc w:val="both"/>
        <w:rPr>
          <w:rFonts w:ascii="Calibri" w:hAnsi="Calibri"/>
          <w:sz w:val="22"/>
        </w:rPr>
      </w:pPr>
      <w:r>
        <w:rPr>
          <w:rFonts w:ascii="Calibri;sans-serif" w:hAnsi="Calibri;sans-serif"/>
          <w:b/>
          <w:i/>
          <w:sz w:val="22"/>
        </w:rPr>
        <w:t>Contract Balances.</w:t>
      </w:r>
      <w:r>
        <w:rPr>
          <w:rFonts w:ascii="Calibri" w:hAnsi="Calibri"/>
          <w:sz w:val="22"/>
        </w:rPr>
        <w:t xml:space="preserve"> </w:t>
      </w:r>
      <w:r>
        <w:rPr>
          <w:rFonts w:ascii="Calibri;sans-serif" w:hAnsi="Calibri;sans-serif"/>
          <w:b w:val="false"/>
          <w:sz w:val="22"/>
        </w:rPr>
        <w:t>Costs in excess of billings relate to the conditional right to consideration for completed contractual performance and 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pStyle w:val="TextBody"/>
        <w:spacing w:before="0" w:after="0"/>
        <w:jc w:val="both"/>
        <w:rPr/>
      </w:pPr>
      <w:r>
        <w:rPr/>
        <w:t> </w:t>
      </w:r>
    </w:p>
    <w:tbl>
      <w:tblPr>
        <w:tblW w:w="6420" w:type="dxa"/>
        <w:jc w:val="left"/>
        <w:tblInd w:w="0" w:type="dxa"/>
        <w:tblCellMar>
          <w:top w:w="28" w:type="dxa"/>
          <w:left w:w="28" w:type="dxa"/>
          <w:bottom w:w="28" w:type="dxa"/>
          <w:right w:w="28" w:type="dxa"/>
        </w:tblCellMar>
      </w:tblPr>
      <w:tblGrid>
        <w:gridCol w:w="2341"/>
        <w:gridCol w:w="146"/>
        <w:gridCol w:w="557"/>
        <w:gridCol w:w="1003"/>
        <w:gridCol w:w="146"/>
        <w:gridCol w:w="146"/>
        <w:gridCol w:w="566"/>
        <w:gridCol w:w="1324"/>
        <w:gridCol w:w="19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2"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234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Costs in excess of billings</w:t>
            </w:r>
          </w:p>
        </w:tc>
        <w:tc>
          <w:tcPr>
            <w:tcW w:w="146" w:type="dxa"/>
            <w:tcBorders/>
            <w:shd w:fill="auto" w:val="clear"/>
            <w:vAlign w:val="center"/>
          </w:tcPr>
          <w:p>
            <w:pPr>
              <w:pStyle w:val="TableContents"/>
              <w:spacing w:before="0" w:after="0"/>
              <w:ind w:left="0" w:right="0" w:hanging="0"/>
              <w:jc w:val="left"/>
              <w:rPr/>
            </w:pPr>
            <w:r>
              <w:rPr/>
              <w:t> </w:t>
            </w:r>
          </w:p>
        </w:tc>
        <w:tc>
          <w:tcPr>
            <w:tcW w:w="5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03"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6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32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5.1</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Billings in excess of costs</w:t>
            </w:r>
          </w:p>
        </w:tc>
        <w:tc>
          <w:tcPr>
            <w:tcW w:w="146" w:type="dxa"/>
            <w:tcBorders/>
            <w:shd w:fill="auto" w:val="clear"/>
            <w:vAlign w:val="center"/>
          </w:tcPr>
          <w:p>
            <w:pPr>
              <w:pStyle w:val="TableContents"/>
              <w:spacing w:before="0" w:after="0"/>
              <w:ind w:left="0" w:right="0" w:hanging="0"/>
              <w:jc w:val="left"/>
              <w:rPr/>
            </w:pPr>
            <w:r>
              <w:rPr/>
              <w:t> </w:t>
            </w:r>
          </w:p>
        </w:tc>
        <w:tc>
          <w:tcPr>
            <w:tcW w:w="557"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003"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6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32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18</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200" w:after="0"/>
        <w:jc w:val="both"/>
        <w:rPr>
          <w:rFonts w:ascii="Calibri" w:hAnsi="Calibri"/>
          <w:sz w:val="22"/>
        </w:rPr>
      </w:pPr>
      <w:r>
        <w:rPr>
          <w:rFonts w:ascii="Calibri;sans-serif" w:hAnsi="Calibri;sans-serif"/>
          <w:b w:val="false"/>
          <w:sz w:val="22"/>
        </w:rPr>
        <w:t>Revenues recognized from the beginning balance of contract liabilities for the three months ended March 31, 2023 and 2022 were</w:t>
      </w:r>
      <w:r>
        <w:rPr>
          <w:rFonts w:ascii="Calibri" w:hAnsi="Calibri"/>
          <w:sz w:val="22"/>
        </w:rPr>
        <w:t xml:space="preserve"> </w:t>
      </w:r>
      <w:r>
        <w:rPr>
          <w:rFonts w:ascii="Calibri;sans-serif" w:hAnsi="Calibri;sans-serif"/>
          <w:b w:val="false"/>
          <w:sz w:val="22"/>
        </w:rPr>
        <w:t>$5.2</w:t>
      </w:r>
      <w:r>
        <w:rPr>
          <w:rFonts w:ascii="Calibri" w:hAnsi="Calibri"/>
          <w:sz w:val="22"/>
        </w:rPr>
        <w:t xml:space="preserve"> </w:t>
      </w:r>
      <w:r>
        <w:rPr>
          <w:rFonts w:ascii="Calibri;sans-serif" w:hAnsi="Calibri;sans-serif"/>
          <w:b w:val="false"/>
          <w:sz w:val="22"/>
        </w:rPr>
        <w:t>million and $3.5</w:t>
      </w:r>
      <w:r>
        <w:rPr>
          <w:rFonts w:ascii="Calibri" w:hAnsi="Calibri"/>
          <w:sz w:val="22"/>
        </w:rPr>
        <w:t xml:space="preserve"> </w:t>
      </w:r>
      <w:r>
        <w:rPr>
          <w:rFonts w:ascii="Calibri;sans-serif" w:hAnsi="Calibri;sans-serif"/>
          <w:b w:val="false"/>
          <w:sz w:val="22"/>
        </w:rPr>
        <w:t>million, respectively.</w:t>
      </w:r>
    </w:p>
    <w:p>
      <w:pPr>
        <w:pStyle w:val="TextBody"/>
        <w:spacing w:before="120" w:after="0"/>
        <w:jc w:val="both"/>
        <w:rPr>
          <w:rFonts w:ascii="Calibri" w:hAnsi="Calibri"/>
          <w:sz w:val="22"/>
        </w:rPr>
      </w:pPr>
      <w:r>
        <w:rPr>
          <w:rFonts w:ascii="Calibri;sans-serif" w:hAnsi="Calibri;sans-serif"/>
          <w:b w:val="false"/>
          <w:sz w:val="22"/>
        </w:rPr>
        <w:t xml:space="preserve">Retainage, which primarily relates to the paving services, represents amounts that have been billed to customers but payment withheld until final acceptance of the performance obligation by the customer. Retainage, which is included in </w:t>
      </w:r>
      <w:r>
        <w:rPr>
          <w:rFonts w:ascii="Calibri;sans-serif" w:hAnsi="Calibri;sans-serif"/>
          <w:b w:val="false"/>
          <w:i/>
          <w:sz w:val="22"/>
        </w:rPr>
        <w:t>Other current assets</w:t>
      </w:r>
      <w:r>
        <w:rPr>
          <w:rFonts w:ascii="Calibri" w:hAnsi="Calibri"/>
          <w:sz w:val="22"/>
        </w:rPr>
        <w:t xml:space="preserve"> </w:t>
      </w:r>
      <w:r>
        <w:rPr>
          <w:rFonts w:ascii="Calibri;sans-serif" w:hAnsi="Calibri;sans-serif"/>
          <w:b w:val="false"/>
          <w:sz w:val="22"/>
        </w:rPr>
        <w:t>on the Company’s consolidated balance sheets, was $10.0</w:t>
      </w:r>
      <w:r>
        <w:rPr>
          <w:rFonts w:ascii="Calibri" w:hAnsi="Calibri"/>
          <w:sz w:val="22"/>
        </w:rPr>
        <w:t xml:space="preserve"> </w:t>
      </w:r>
      <w:r>
        <w:rPr>
          <w:rFonts w:ascii="Calibri;sans-serif" w:hAnsi="Calibri;sans-serif"/>
          <w:b w:val="false"/>
          <w:sz w:val="22"/>
        </w:rPr>
        <w:t>million and $13.4</w:t>
      </w:r>
      <w:r>
        <w:rPr>
          <w:rFonts w:ascii="Calibri" w:hAnsi="Calibri"/>
          <w:sz w:val="22"/>
        </w:rPr>
        <w:t xml:space="preserve"> </w:t>
      </w:r>
      <w:r>
        <w:rPr>
          <w:rFonts w:ascii="Calibri;sans-serif" w:hAnsi="Calibri;sans-serif"/>
          <w:b w:val="false"/>
          <w:sz w:val="22"/>
        </w:rPr>
        <w:t>million at March 31, 2023 and December 31, 2022, respectively.</w:t>
      </w:r>
    </w:p>
    <w:p>
      <w:pPr>
        <w:pStyle w:val="TextBody"/>
        <w:spacing w:before="120" w:after="0"/>
        <w:jc w:val="both"/>
        <w:rPr>
          <w:rFonts w:ascii="Calibri" w:hAnsi="Calibri"/>
          <w:sz w:val="22"/>
        </w:rPr>
      </w:pPr>
      <w:r>
        <w:rPr>
          <w:rFonts w:ascii="Calibri;sans-serif" w:hAnsi="Calibri;sans-serif"/>
          <w:b w:val="false"/>
          <w:sz w:val="22"/>
        </w:rPr>
        <w:t>The following table, which is reconciled to consolidated amounts, provides total revenues and gross profit (loss) by line of business: Building Materials (further divided by product line) and Magnesia Specialties.</w:t>
      </w:r>
      <w:r>
        <w:rPr>
          <w:rFonts w:ascii="Calibri" w:hAnsi="Calibri"/>
          <w:sz w:val="22"/>
        </w:rPr>
        <w:t xml:space="preserve"> </w:t>
      </w:r>
      <w:r>
        <w:rPr>
          <w:rFonts w:ascii="Calibri;sans-serif" w:hAnsi="Calibri;sans-serif"/>
          <w:b w:val="false"/>
          <w:sz w:val="22"/>
        </w:rPr>
        <w:t>Interproduct revenues represent sales from the aggregates product line to the ready mixed concrete and asphalt and paving product lines and sales from the cement product line to the ready mixed concrete product line. Total revenues and gross profit (loss) reflect continuing operations only.</w:t>
      </w:r>
      <w:r>
        <w:rPr>
          <w:rFonts w:ascii="Calibri" w:hAnsi="Calibri"/>
          <w:sz w:val="22"/>
        </w:rPr>
        <w:t xml:space="preserve"> </w:t>
      </w:r>
    </w:p>
    <w:tbl>
      <w:tblPr>
        <w:tblW w:w="6195" w:type="dxa"/>
        <w:jc w:val="left"/>
        <w:tblInd w:w="0" w:type="dxa"/>
        <w:tblCellMar>
          <w:top w:w="28" w:type="dxa"/>
          <w:left w:w="28" w:type="dxa"/>
          <w:bottom w:w="28" w:type="dxa"/>
          <w:right w:w="28" w:type="dxa"/>
        </w:tblCellMar>
      </w:tblPr>
      <w:tblGrid>
        <w:gridCol w:w="3046"/>
        <w:gridCol w:w="146"/>
        <w:gridCol w:w="226"/>
        <w:gridCol w:w="826"/>
        <w:gridCol w:w="181"/>
        <w:gridCol w:w="146"/>
        <w:gridCol w:w="226"/>
        <w:gridCol w:w="826"/>
        <w:gridCol w:w="181"/>
        <w:gridCol w:w="39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81"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3" w:type="dxa"/>
            <w:gridSpan w:val="8"/>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Total revenues: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Building Materials business: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Aggregates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911.9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756.6</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Cement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168.6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138.3</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Ready mixed concrete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220.0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291.1</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Asphalt and paving services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58.0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56.8</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Less: interproduct revenues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(87.8</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(89.0</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Building Materials business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1,270.7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1,153.8</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Magnesia Specialties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83.4</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77.0</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1,354.1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1,230.8</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Gross profit (loss):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Building Materials business: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Aggregates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238.1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102.8</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Cement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47.1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26.9</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Ready mixed concrete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21.9</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Asphalt and paving services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Building Materials business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275.9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138.4</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Magnesia Specialties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25.0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25.6</w:t>
            </w:r>
          </w:p>
        </w:tc>
        <w:tc>
          <w:tcPr>
            <w:tcW w:w="181"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Corporate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302.8</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156.1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19</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(UNAUDITED) NOTES TO CONSOLIDATED FINANCIAL STATEMENTS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center"/>
        <w:rPr/>
      </w:pPr>
      <w:r>
        <w:rPr/>
        <w:t> </w:t>
      </w:r>
    </w:p>
    <w:p>
      <w:pPr>
        <w:pStyle w:val="TextBody"/>
        <w:spacing w:before="360" w:after="0"/>
        <w:jc w:val="both"/>
        <w:rPr>
          <w:rFonts w:ascii="Calibri" w:hAnsi="Calibri"/>
          <w:b/>
          <w:sz w:val="22"/>
        </w:rPr>
      </w:pPr>
      <w:r>
        <w:rPr>
          <w:rFonts w:ascii="Calibri" w:hAnsi="Calibri"/>
          <w:b/>
          <w:sz w:val="22"/>
        </w:rPr>
        <w:t>11.</w:t>
      </w:r>
    </w:p>
    <w:p>
      <w:pPr>
        <w:pStyle w:val="TextBody"/>
        <w:spacing w:before="360" w:after="283"/>
        <w:jc w:val="both"/>
        <w:rPr>
          <w:rFonts w:ascii="Calibri;sans-serif" w:hAnsi="Calibri;sans-serif"/>
          <w:b/>
          <w:sz w:val="22"/>
        </w:rPr>
      </w:pPr>
      <w:r>
        <w:rPr>
          <w:rFonts w:ascii="Calibri;sans-serif" w:hAnsi="Calibri;sans-serif"/>
          <w:b/>
          <w:sz w:val="22"/>
        </w:rPr>
        <w:t>Supplemental Cash Flow Information</w:t>
      </w:r>
    </w:p>
    <w:p>
      <w:pPr>
        <w:pStyle w:val="TextBody"/>
        <w:spacing w:before="120" w:after="0"/>
        <w:jc w:val="both"/>
        <w:rPr>
          <w:rFonts w:ascii="Calibri" w:hAnsi="Calibri"/>
          <w:sz w:val="22"/>
        </w:rPr>
      </w:pPr>
      <w:r>
        <w:rPr>
          <w:rFonts w:ascii="Calibri;sans-serif" w:hAnsi="Calibri;sans-serif"/>
          <w:b w:val="false"/>
          <w:sz w:val="22"/>
        </w:rPr>
        <w:t>Noncash investing and financing activities are as follows:</w:t>
      </w:r>
      <w:r>
        <w:rPr>
          <w:rFonts w:ascii="Calibri" w:hAnsi="Calibri"/>
          <w:sz w:val="22"/>
        </w:rPr>
        <w:t xml:space="preserve"> </w:t>
      </w:r>
    </w:p>
    <w:p>
      <w:pPr>
        <w:pStyle w:val="TextBody"/>
        <w:spacing w:before="0" w:after="0"/>
        <w:jc w:val="both"/>
        <w:rPr/>
      </w:pPr>
      <w:r>
        <w:rPr/>
        <w:t> </w:t>
      </w:r>
    </w:p>
    <w:tbl>
      <w:tblPr>
        <w:tblW w:w="8347" w:type="dxa"/>
        <w:jc w:val="left"/>
        <w:tblInd w:w="0" w:type="dxa"/>
        <w:tblCellMar>
          <w:top w:w="28" w:type="dxa"/>
          <w:left w:w="28" w:type="dxa"/>
          <w:bottom w:w="28" w:type="dxa"/>
          <w:right w:w="28" w:type="dxa"/>
        </w:tblCellMar>
      </w:tblPr>
      <w:tblGrid>
        <w:gridCol w:w="6016"/>
        <w:gridCol w:w="146"/>
        <w:gridCol w:w="251"/>
        <w:gridCol w:w="584"/>
        <w:gridCol w:w="162"/>
        <w:gridCol w:w="162"/>
        <w:gridCol w:w="251"/>
        <w:gridCol w:w="584"/>
        <w:gridCol w:w="191"/>
      </w:tblGrid>
      <w:tr>
        <w:trPr/>
        <w:tc>
          <w:tcPr>
            <w:tcW w:w="6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Accrued liabilities for purchases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39.8</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24.5</w:t>
            </w:r>
          </w:p>
        </w:tc>
        <w:tc>
          <w:tcPr>
            <w:tcW w:w="191" w:type="dxa"/>
            <w:tcBorders/>
            <w:shd w:fill="auto" w:val="cle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Remeasurement of operating lease right-of-use assets</w:t>
            </w:r>
          </w:p>
        </w:tc>
        <w:tc>
          <w:tcPr>
            <w:tcW w:w="146" w:type="dxa"/>
            <w:tcBorders/>
            <w:shd w:fill="auto" w:val="clear"/>
            <w:vAlign w:val="center"/>
          </w:tcPr>
          <w:p>
            <w:pPr>
              <w:pStyle w:val="TableContents"/>
              <w:spacing w:before="0" w:after="0"/>
              <w:ind w:left="0" w:right="0" w:hanging="0"/>
              <w:jc w:val="both"/>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0.5</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0.3</w:t>
            </w:r>
          </w:p>
        </w:tc>
        <w:tc>
          <w:tcPr>
            <w:tcW w:w="191" w:type="dxa"/>
            <w:tcBorders/>
            <w:shd w:fill="auto" w:val="cle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Remeasurement of finance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pPr>
            <w:r>
              <w:rPr/>
              <w:t>—</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0.4</w:t>
            </w:r>
          </w:p>
        </w:tc>
        <w:tc>
          <w:tcPr>
            <w:tcW w:w="191" w:type="dxa"/>
            <w:tcBorders/>
            <w:shd w:fill="auto" w:val="cle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 xml:space="preserve">Right-of-use assets obtained in exchange for new </w:t>
              <w:br/>
              <w:t>   operating lease liabilities</w:t>
            </w:r>
          </w:p>
        </w:tc>
        <w:tc>
          <w:tcPr>
            <w:tcW w:w="146" w:type="dxa"/>
            <w:tcBorders/>
            <w:shd w:fill="auto" w:val="clear"/>
            <w:vAlign w:val="center"/>
          </w:tcPr>
          <w:p>
            <w:pPr>
              <w:pStyle w:val="TableContents"/>
              <w:spacing w:before="0" w:after="0"/>
              <w:ind w:left="0" w:right="0" w:hanging="0"/>
              <w:jc w:val="both"/>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13.8</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6.1</w:t>
            </w:r>
          </w:p>
        </w:tc>
        <w:tc>
          <w:tcPr>
            <w:tcW w:w="191" w:type="dxa"/>
            <w:tcBorders/>
            <w:shd w:fill="auto" w:val="cle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Right-of-use assets obtained in exchange for</w:t>
              <w:br/>
              <w:t>   new finance lease liabilities</w:t>
            </w:r>
          </w:p>
        </w:tc>
        <w:tc>
          <w:tcPr>
            <w:tcW w:w="146" w:type="dxa"/>
            <w:tcBorders/>
            <w:shd w:fill="auto" w:val="clear"/>
            <w:vAlign w:val="center"/>
          </w:tcPr>
          <w:p>
            <w:pPr>
              <w:pStyle w:val="TableContents"/>
              <w:spacing w:before="0" w:after="0"/>
              <w:ind w:left="0" w:right="0" w:hanging="0"/>
              <w:jc w:val="both"/>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5.4</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3.6</w:t>
            </w:r>
          </w:p>
        </w:tc>
        <w:tc>
          <w:tcPr>
            <w:tcW w:w="191" w:type="dxa"/>
            <w:tcBorders/>
            <w:shd w:fill="auto" w:val="cle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Acquisition of assets through asset exchange</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5.2</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both"/>
        <w:rPr>
          <w:rFonts w:ascii="Calibri;sans-serif" w:hAnsi="Calibri;sans-serif"/>
          <w:b w:val="false"/>
          <w:sz w:val="22"/>
        </w:rPr>
      </w:pPr>
      <w:r>
        <w:rPr>
          <w:rFonts w:ascii="Calibri;sans-serif" w:hAnsi="Calibri;sans-serif"/>
          <w:b w:val="false"/>
          <w:sz w:val="22"/>
        </w:rPr>
        <w:t>Supplemental disclosures of cash flow information are as follows:</w:t>
      </w:r>
    </w:p>
    <w:p>
      <w:pPr>
        <w:pStyle w:val="TextBody"/>
        <w:spacing w:before="0" w:after="0"/>
        <w:jc w:val="both"/>
        <w:rPr/>
      </w:pPr>
      <w:r>
        <w:rPr/>
        <w:t> </w:t>
      </w:r>
    </w:p>
    <w:tbl>
      <w:tblPr>
        <w:tblW w:w="6772" w:type="dxa"/>
        <w:jc w:val="left"/>
        <w:tblInd w:w="0" w:type="dxa"/>
        <w:tblCellMar>
          <w:top w:w="28" w:type="dxa"/>
          <w:left w:w="28" w:type="dxa"/>
          <w:bottom w:w="28" w:type="dxa"/>
          <w:right w:w="28" w:type="dxa"/>
        </w:tblCellMar>
      </w:tblPr>
      <w:tblGrid>
        <w:gridCol w:w="4441"/>
        <w:gridCol w:w="146"/>
        <w:gridCol w:w="251"/>
        <w:gridCol w:w="584"/>
        <w:gridCol w:w="162"/>
        <w:gridCol w:w="162"/>
        <w:gridCol w:w="251"/>
        <w:gridCol w:w="584"/>
        <w:gridCol w:w="191"/>
      </w:tblGrid>
      <w:tr>
        <w:trPr/>
        <w:tc>
          <w:tcPr>
            <w:tcW w:w="4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4"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8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4"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Cash paid for interest, net of capitalized amount</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41.4</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44.8</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Cash paid for income taxes, net of refunds</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360" w:after="0"/>
        <w:jc w:val="left"/>
        <w:rPr>
          <w:rFonts w:ascii="Calibri" w:hAnsi="Calibri"/>
          <w:b/>
          <w:sz w:val="22"/>
        </w:rPr>
      </w:pPr>
      <w:r>
        <w:rPr>
          <w:rFonts w:ascii="Calibri" w:hAnsi="Calibri"/>
          <w:b/>
          <w:sz w:val="22"/>
        </w:rPr>
        <w:t>12.</w:t>
      </w:r>
    </w:p>
    <w:p>
      <w:pPr>
        <w:pStyle w:val="TextBody"/>
        <w:spacing w:before="360" w:after="283"/>
        <w:jc w:val="left"/>
        <w:rPr>
          <w:rFonts w:ascii="Calibri;sans-serif" w:hAnsi="Calibri;sans-serif"/>
          <w:b/>
          <w:sz w:val="22"/>
        </w:rPr>
      </w:pPr>
      <w:r>
        <w:rPr>
          <w:rFonts w:ascii="Calibri;sans-serif" w:hAnsi="Calibri;sans-serif"/>
          <w:b/>
          <w:sz w:val="22"/>
        </w:rPr>
        <w:t>Subsequent Events</w:t>
      </w:r>
    </w:p>
    <w:p>
      <w:pPr>
        <w:pStyle w:val="TextBody"/>
        <w:spacing w:before="120" w:after="0"/>
        <w:jc w:val="both"/>
        <w:rPr>
          <w:rFonts w:ascii="Calibri;sans-serif" w:hAnsi="Calibri;sans-serif"/>
          <w:b w:val="false"/>
          <w:sz w:val="22"/>
        </w:rPr>
      </w:pPr>
      <w:r>
        <w:rPr>
          <w:rFonts w:ascii="Calibri;sans-serif" w:hAnsi="Calibri;sans-serif"/>
          <w:b w:val="false"/>
          <w:sz w:val="22"/>
        </w:rPr>
        <w:t>On April 26, 2023, the Company terminated its agreement with CalPortland Company regarding the sale of the Company’s Tehachapi, California cement plant and related distribution terminals to CalPortland in light of the parties being unable to timely obtain the necessary approval by the U.S. Federal Trade Commission. The Company intends to explore the potential sale of Tehachapi to other buyers. On May 3, 2023, the Company divested its cement import operations in California. Since October 1, 2021, these cement businesses have been classified as assets held for sale on the Company’s consolidated balance sheet; the associated financial results have been reported as discontinued operations on the consolidated statement of earnings.</w:t>
      </w:r>
    </w:p>
    <w:p>
      <w:pPr>
        <w:pStyle w:val="TextBody"/>
        <w:spacing w:before="0" w:after="0"/>
        <w:jc w:val="center"/>
        <w:rPr>
          <w:rFonts w:ascii="Calibri" w:hAnsi="Calibri"/>
          <w:sz w:val="22"/>
        </w:rPr>
      </w:pPr>
      <w:r>
        <w:rPr>
          <w:rFonts w:ascii="Calibri;sans-serif" w:hAnsi="Calibri;sans-serif"/>
          <w:b w:val="false"/>
          <w:sz w:val="22"/>
        </w:rPr>
        <w:t>Page 20</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left"/>
        <w:rPr/>
      </w:pPr>
      <w:r>
        <w:rPr/>
        <w:t> </w:t>
      </w:r>
    </w:p>
    <w:p>
      <w:pPr>
        <w:pStyle w:val="TextBody"/>
        <w:spacing w:before="0" w:after="0"/>
        <w:jc w:val="left"/>
        <w:rPr>
          <w:rFonts w:ascii="Calibri" w:hAnsi="Calibri"/>
          <w:sz w:val="22"/>
        </w:rPr>
      </w:pPr>
      <w:bookmarkStart w:id="8" w:name="item_2_management_discussion_and_anal"/>
      <w:bookmarkEnd w:id="8"/>
      <w:r>
        <w:rPr>
          <w:rFonts w:ascii="Calibri;sans-serif" w:hAnsi="Calibri;sans-serif"/>
          <w:b w:val="false"/>
          <w:sz w:val="22"/>
        </w:rPr>
        <w:t>Item 2. Management’s Discussion and Analysis of Financial Condition and Results of Operations.</w:t>
      </w:r>
      <w:r>
        <w:rPr>
          <w:rFonts w:ascii="Calibri" w:hAnsi="Calibri"/>
          <w:sz w:val="22"/>
        </w:rPr>
        <w:t xml:space="preserve"> </w:t>
      </w:r>
    </w:p>
    <w:p>
      <w:pPr>
        <w:pStyle w:val="TextBody"/>
        <w:spacing w:before="0" w:after="0"/>
        <w:jc w:val="left"/>
        <w:rPr>
          <w:rFonts w:ascii="Calibri" w:hAnsi="Calibri"/>
          <w:sz w:val="22"/>
        </w:rPr>
      </w:pPr>
      <w:r>
        <w:rPr>
          <w:rFonts w:ascii="Calibri;sans-serif" w:hAnsi="Calibri;sans-serif"/>
          <w:b w:val="false"/>
          <w:sz w:val="22"/>
        </w:rPr>
        <w:t>OVERVIEW</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Martin Marietta Materials, Inc. (the Company or Martin Marietta) is a natural resource-based building materials company. As of March 31, 2023, the Company supplies aggregates (crushed stone, sand and gravel) through its network of approximately 350 quarries, mines and distribution yards in 28 states, Canada and The Bahamas. Martin Marietta also provides cement and downstream products, namely, ready mixed concrete, asphalt and paving services, in certain vertically-integrated structured markets where the Company has a leading aggregates position. In addition, the Company has one cement plant, related cement distribution terminals, cement import operations and ready mixed concrete operations in California that are classified as assets held for sale and reported as discontinued operations as of and for the three months ended March 31, 2023 and 2022.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pStyle w:val="TextBody"/>
        <w:spacing w:before="120" w:after="0"/>
        <w:jc w:val="both"/>
        <w:rPr>
          <w:rFonts w:ascii="Calibri" w:hAnsi="Calibri"/>
          <w:sz w:val="22"/>
        </w:rPr>
      </w:pPr>
      <w:r>
        <w:rPr>
          <w:rFonts w:ascii="Calibri;sans-serif" w:hAnsi="Calibri;sans-serif"/>
          <w:b w:val="false"/>
          <w:sz w:val="22"/>
        </w:rPr>
        <w:t>The Company’s Building Materials business includes two reportable segments: the East Group and the West Group.</w:t>
      </w:r>
      <w:r>
        <w:rPr>
          <w:rFonts w:ascii="Calibri" w:hAnsi="Calibri"/>
          <w:sz w:val="22"/>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080"/>
        <w:gridCol w:w="146"/>
        <w:gridCol w:w="3027"/>
        <w:gridCol w:w="146"/>
        <w:gridCol w:w="4806"/>
      </w:tblGrid>
      <w:tr>
        <w:trPr/>
        <w:tc>
          <w:tcPr>
            <w:tcW w:w="20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06"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BUILDING MATERIALS BUSINESS</w:t>
            </w:r>
          </w:p>
          <w:p>
            <w:pPr>
              <w:pStyle w:val="TableContents"/>
              <w:spacing w:before="0" w:after="0"/>
              <w:ind w:left="0" w:right="0" w:hanging="0"/>
              <w:jc w:val="center"/>
              <w:rPr>
                <w:rFonts w:ascii="Calibri;sans-serif" w:hAnsi="Calibri;sans-serif"/>
                <w:b/>
                <w:sz w:val="22"/>
              </w:rPr>
            </w:pPr>
            <w:r>
              <w:rPr>
                <w:rFonts w:ascii="Calibri;sans-serif" w:hAnsi="Calibri;sans-serif"/>
                <w:b/>
                <w:sz w:val="22"/>
              </w:rPr>
              <w:t>(continuing operations only)</w:t>
            </w:r>
          </w:p>
        </w:tc>
      </w:tr>
      <w:tr>
        <w:trPr/>
        <w:tc>
          <w:tcPr>
            <w:tcW w:w="2080"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Reportable Segments</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27" w:type="dxa"/>
            <w:tcBorders>
              <w:bottom w:val="single" w:sz="6" w:space="0" w:color="000000"/>
            </w:tcBorders>
            <w:shd w:fill="auto" w:val="clear"/>
            <w:tcMar>
              <w:top w:w="0" w:type="dxa"/>
              <w:left w:w="0" w:type="dxa"/>
              <w:right w:w="0" w:type="dxa"/>
            </w:tcMar>
            <w:vAlign w:val="center"/>
          </w:tcPr>
          <w:p>
            <w:pPr>
              <w:pStyle w:val="TableContents"/>
              <w:spacing w:before="0" w:after="20"/>
              <w:ind w:left="0" w:right="0" w:hanging="0"/>
              <w:jc w:val="center"/>
              <w:rPr>
                <w:rFonts w:ascii="Calibri;sans-serif" w:hAnsi="Calibri;sans-serif"/>
                <w:b w:val="false"/>
                <w:sz w:val="22"/>
              </w:rPr>
            </w:pPr>
            <w:r>
              <w:rPr>
                <w:rFonts w:ascii="Calibri;sans-serif" w:hAnsi="Calibri;sans-serif"/>
                <w:b w:val="false"/>
                <w:sz w:val="22"/>
              </w:rPr>
              <w:t>East Group</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806" w:type="dxa"/>
            <w:tcBorders>
              <w:bottom w:val="single" w:sz="6" w:space="0" w:color="000000"/>
            </w:tcBorders>
            <w:shd w:fill="auto" w:val="clear"/>
            <w:tcMar>
              <w:top w:w="0" w:type="dxa"/>
              <w:left w:w="0" w:type="dxa"/>
              <w:right w:w="0" w:type="dxa"/>
            </w:tcMar>
            <w:vAlign w:val="center"/>
          </w:tcPr>
          <w:p>
            <w:pPr>
              <w:pStyle w:val="TableContents"/>
              <w:spacing w:before="0" w:after="20"/>
              <w:ind w:left="0" w:right="0" w:hanging="0"/>
              <w:jc w:val="center"/>
              <w:rPr>
                <w:rFonts w:ascii="Calibri;sans-serif" w:hAnsi="Calibri;sans-serif"/>
                <w:b w:val="false"/>
                <w:sz w:val="22"/>
              </w:rPr>
            </w:pPr>
            <w:r>
              <w:rPr>
                <w:rFonts w:ascii="Calibri;sans-serif" w:hAnsi="Calibri;sans-serif"/>
                <w:b w:val="false"/>
                <w:sz w:val="22"/>
              </w:rPr>
              <w:t>West Group</w:t>
            </w:r>
          </w:p>
        </w:tc>
      </w:tr>
      <w:tr>
        <w:trPr/>
        <w:tc>
          <w:tcPr>
            <w:tcW w:w="208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Operating Locations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02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Alabama, Florida, Georgia, Indiana, Iowa,</w:t>
              <w:br/>
              <w:t>Kansas, Kentucky, Maryland,</w:t>
              <w:br/>
              <w:t xml:space="preserve">Minnesota, Missouri, Nebraska, </w:t>
              <w:br/>
              <w:t>North Carolina, Ohio, Pennsylvania,</w:t>
              <w:br/>
              <w:t>South Carolina, Tennessee, Virginia,</w:t>
              <w:br/>
              <w:t>West Virginia, Nova Scotia and The Bahamas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8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 w:hAnsi="Calibri"/>
                <w:sz w:val="22"/>
              </w:rPr>
            </w:pPr>
            <w:r>
              <w:rPr>
                <w:rFonts w:ascii="Calibri;sans-serif" w:hAnsi="Calibri;sans-serif"/>
                <w:b w:val="false"/>
                <w:sz w:val="22"/>
              </w:rPr>
              <w:t>Arizona, Arkansas, California, Colorado, Louisiana, Oklahoma, Texas, Utah,</w:t>
              <w:br/>
              <w:t>Washington and Wyoming</w:t>
            </w:r>
            <w:r>
              <w:rPr>
                <w:rFonts w:ascii="Calibri" w:hAnsi="Calibri"/>
                <w:sz w:val="22"/>
              </w:rPr>
              <w:t xml:space="preserve"> </w:t>
            </w:r>
          </w:p>
        </w:tc>
      </w:tr>
      <w:tr>
        <w:trPr/>
        <w:tc>
          <w:tcPr>
            <w:tcW w:w="20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125"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Product Lines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02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Aggregates and Asphalt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8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 w:hAnsi="Calibri"/>
                <w:sz w:val="22"/>
              </w:rPr>
            </w:pPr>
            <w:r>
              <w:rPr>
                <w:rFonts w:ascii="Calibri;sans-serif" w:hAnsi="Calibri;sans-serif"/>
                <w:b w:val="false"/>
                <w:sz w:val="22"/>
              </w:rPr>
              <w:t>Aggregates, Cement, Ready</w:t>
            </w:r>
            <w:r>
              <w:rPr>
                <w:rFonts w:ascii="Calibri" w:hAnsi="Calibri"/>
                <w:sz w:val="22"/>
              </w:rPr>
              <w:t xml:space="preserve"> </w:t>
            </w:r>
          </w:p>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Mixed Concrete, Asphalt and Paving Services</w:t>
            </w:r>
          </w:p>
        </w:tc>
      </w:tr>
      <w:tr>
        <w:trPr/>
        <w:tc>
          <w:tcPr>
            <w:tcW w:w="20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125"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Facility Types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02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 w:hAnsi="Calibri"/>
                <w:sz w:val="22"/>
              </w:rPr>
            </w:pPr>
            <w:r>
              <w:rPr>
                <w:rFonts w:ascii="Calibri;sans-serif" w:hAnsi="Calibri;sans-serif"/>
                <w:b w:val="false"/>
                <w:sz w:val="22"/>
              </w:rPr>
              <w:t>Quarries, Mines, Asphalt Plants and</w:t>
            </w:r>
            <w:r>
              <w:rPr>
                <w:rFonts w:ascii="Calibri" w:hAnsi="Calibri"/>
                <w:sz w:val="22"/>
              </w:rPr>
              <w:t xml:space="preserve"> </w:t>
            </w:r>
          </w:p>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Distribution Facilities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8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Quarries, Cement Plants, Asphalt Plants, Ready Mixed Concrete Plants and</w:t>
            </w:r>
          </w:p>
          <w:p>
            <w:pPr>
              <w:pStyle w:val="TableContents"/>
              <w:spacing w:before="0" w:after="20"/>
              <w:ind w:left="0" w:right="0" w:hanging="0"/>
              <w:jc w:val="center"/>
              <w:rPr>
                <w:rFonts w:ascii="Calibri;sans-serif" w:hAnsi="Calibri;sans-serif"/>
                <w:b w:val="false"/>
                <w:sz w:val="22"/>
              </w:rPr>
            </w:pPr>
            <w:r>
              <w:rPr>
                <w:rFonts w:ascii="Calibri;sans-serif" w:hAnsi="Calibri;sans-serif"/>
                <w:b w:val="false"/>
                <w:sz w:val="22"/>
              </w:rPr>
              <w:t>Distribution Facilities</w:t>
            </w:r>
          </w:p>
        </w:tc>
      </w:tr>
      <w:tr>
        <w:trPr/>
        <w:tc>
          <w:tcPr>
            <w:tcW w:w="20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125" w:type="dxa"/>
            <w:gridSpan w:val="4"/>
            <w:tcBorders/>
            <w:shd w:fill="auto" w:val="clear"/>
            <w:tcMar>
              <w:top w:w="0" w:type="dxa"/>
              <w:left w:w="0" w:type="dxa"/>
              <w:bottom w:w="0" w:type="dxa"/>
              <w:right w:w="0" w:type="dxa"/>
            </w:tcMar>
            <w:vAlign w:val="center"/>
          </w:tcPr>
          <w:p>
            <w:pPr>
              <w:pStyle w:val="TableContents"/>
              <w:spacing w:before="0" w:after="0"/>
              <w:ind w:left="0" w:right="0" w:firstLine="97"/>
              <w:jc w:val="left"/>
              <w:rPr/>
            </w:pPr>
            <w:r>
              <w:rPr/>
              <w:t> </w:t>
            </w:r>
          </w:p>
        </w:tc>
      </w:tr>
      <w:tr>
        <w:trPr/>
        <w:tc>
          <w:tcPr>
            <w:tcW w:w="2080" w:type="dxa"/>
            <w:tcBorders/>
            <w:shd w:fill="auto" w:val="clear"/>
            <w:tcMar>
              <w:top w:w="0" w:type="dxa"/>
              <w:left w:w="0" w:type="dxa"/>
              <w:bottom w:w="0" w:type="dxa"/>
              <w:right w:w="0" w:type="dxa"/>
            </w:tcMar>
            <w:vAlign w:val="center"/>
          </w:tcPr>
          <w:p>
            <w:pPr>
              <w:pStyle w:val="TableContents"/>
              <w:spacing w:before="0" w:after="0"/>
              <w:ind w:left="97" w:right="0" w:hanging="0"/>
              <w:jc w:val="center"/>
              <w:rPr>
                <w:rFonts w:ascii="Calibri" w:hAnsi="Calibri"/>
                <w:sz w:val="22"/>
              </w:rPr>
            </w:pPr>
            <w:r>
              <w:rPr>
                <w:rFonts w:ascii="Calibri;sans-serif" w:hAnsi="Calibri;sans-serif"/>
                <w:b w:val="false"/>
                <w:sz w:val="22"/>
              </w:rPr>
              <w:t>Modes of Transportation</w:t>
            </w:r>
            <w:r>
              <w:rPr>
                <w:rFonts w:ascii="Calibri" w:hAnsi="Calibri"/>
                <w:sz w:val="22"/>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02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Truck, Railcar, Ship and Barge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8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Truck and Railcar</w:t>
            </w:r>
          </w:p>
        </w:tc>
      </w:tr>
    </w:tbl>
    <w:p>
      <w:pPr>
        <w:pStyle w:val="TextBody"/>
        <w:spacing w:before="200" w:after="0"/>
        <w:jc w:val="both"/>
        <w:rPr>
          <w:rFonts w:ascii="Calibri" w:hAnsi="Calibri"/>
          <w:sz w:val="22"/>
        </w:rPr>
      </w:pPr>
      <w:r>
        <w:rPr>
          <w:rFonts w:ascii="Calibri;sans-serif" w:hAnsi="Calibri;sans-serif"/>
          <w:b w:val="false"/>
          <w:sz w:val="22"/>
        </w:rPr>
        <w:t>The Building Materials business is significantly affected by weather patterns, seasonal changes and other climate-related conditions. Production and shipment levels for aggregates, cement, ready mixed concrete and asphalt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Southwest and West. Excessive rainfall, and conversely excessive drought,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21</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360" w:after="0"/>
        <w:jc w:val="left"/>
        <w:rPr>
          <w:rFonts w:ascii="Calibri" w:hAnsi="Calibri"/>
          <w:sz w:val="22"/>
        </w:rPr>
      </w:pPr>
      <w:r>
        <w:rPr>
          <w:rFonts w:ascii="Calibri;sans-serif" w:hAnsi="Calibri;sans-serif"/>
          <w:b w:val="false"/>
          <w:sz w:val="22"/>
        </w:rPr>
        <w:t>CRITICAL ACCOUNTING POLICIES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 outlined its critical accounting policies in its Annual Report on Form 10-K for the year ended December 31, 2022. There were no changes to the Company’s critical accounting policies during the three months ended March 31, 2023.</w:t>
      </w:r>
      <w:r>
        <w:rPr>
          <w:rFonts w:ascii="Calibri" w:hAnsi="Calibri"/>
          <w:sz w:val="22"/>
        </w:rPr>
        <w:t xml:space="preserve"> </w:t>
      </w:r>
    </w:p>
    <w:p>
      <w:pPr>
        <w:pStyle w:val="TextBody"/>
        <w:spacing w:before="360" w:after="0"/>
        <w:jc w:val="left"/>
        <w:rPr>
          <w:rFonts w:ascii="Calibri" w:hAnsi="Calibri"/>
          <w:sz w:val="22"/>
        </w:rPr>
      </w:pPr>
      <w:r>
        <w:rPr>
          <w:rFonts w:ascii="Calibri;sans-serif" w:hAnsi="Calibri;sans-serif"/>
          <w:b w:val="false"/>
          <w:sz w:val="22"/>
        </w:rPr>
        <w:t>RESULTS OF OPERATIONS</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Earnings from continuing operations before interest; income taxes; depreciation, depletion and amortization; earnings/loss from nonconsolidated equity affiliates; and acquisition and integration expenses (Adjusted EBITDA) is an indicator used by the Company and investors to evaluate the Company’s operating performance from period to period. Adjusted EBITDA is not defined by accounting principles generally accepted in the United States (GAAP) and, as such, should not be construed as an alternative to net earnings attributable to Martin Marietta, earnings from operations or operating cash flow. However, the Company’s management believes that Adjusted EBITDA may provide additional information with respect to the Company’s performance and is a measure used by management to evaluate the Company’s performance. Since Adjusted EBITDA excludes some, but not all, items that affect net earnings and may vary among companies, Adjusted EBITDA as presented by the Company may not be comparable with similarly titled measures of other companies.</w:t>
      </w:r>
    </w:p>
    <w:p>
      <w:pPr>
        <w:pStyle w:val="TextBody"/>
        <w:spacing w:before="120" w:after="0"/>
        <w:jc w:val="both"/>
        <w:rPr>
          <w:rFonts w:ascii="Calibri;sans-serif" w:hAnsi="Calibri;sans-serif"/>
          <w:b w:val="false"/>
          <w:sz w:val="22"/>
        </w:rPr>
      </w:pPr>
      <w:r>
        <w:rPr>
          <w:rFonts w:ascii="Calibri;sans-serif" w:hAnsi="Calibri;sans-serif"/>
          <w:b w:val="false"/>
          <w:sz w:val="22"/>
        </w:rPr>
        <w:t>The following table presents a reconciliation of net earnings from continuing operations attributable to Martin Marietta to Adjusted EBITDA:</w:t>
      </w:r>
    </w:p>
    <w:p>
      <w:pPr>
        <w:pStyle w:val="TextBody"/>
        <w:spacing w:before="0" w:after="0"/>
        <w:jc w:val="both"/>
        <w:rPr/>
      </w:pPr>
      <w:r>
        <w:rPr/>
        <w:t> </w:t>
      </w:r>
    </w:p>
    <w:tbl>
      <w:tblPr>
        <w:tblW w:w="9189" w:type="dxa"/>
        <w:jc w:val="left"/>
        <w:tblInd w:w="0" w:type="dxa"/>
        <w:tblCellMar>
          <w:top w:w="28" w:type="dxa"/>
          <w:left w:w="28" w:type="dxa"/>
          <w:bottom w:w="28" w:type="dxa"/>
          <w:right w:w="28" w:type="dxa"/>
        </w:tblCellMar>
      </w:tblPr>
      <w:tblGrid>
        <w:gridCol w:w="6616"/>
        <w:gridCol w:w="146"/>
        <w:gridCol w:w="226"/>
        <w:gridCol w:w="646"/>
        <w:gridCol w:w="146"/>
        <w:gridCol w:w="146"/>
        <w:gridCol w:w="226"/>
        <w:gridCol w:w="646"/>
        <w:gridCol w:w="391"/>
      </w:tblGrid>
      <w:tr>
        <w:trPr/>
        <w:tc>
          <w:tcPr>
            <w:tcW w:w="6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6"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6"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Net earnings from continuing operations attributable to Martin Marietta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24.5</w:t>
            </w:r>
          </w:p>
        </w:tc>
        <w:tc>
          <w:tcPr>
            <w:tcW w:w="39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Add back:</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Interest expense, net of interest income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40.5</w:t>
            </w:r>
          </w:p>
        </w:tc>
        <w:tc>
          <w:tcPr>
            <w:tcW w:w="39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Income tax expense for 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5.9</w:t>
            </w:r>
          </w:p>
        </w:tc>
        <w:tc>
          <w:tcPr>
            <w:tcW w:w="39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Calibri;sans-serif" w:hAnsi="Calibri;sans-serif"/>
                <w:b w:val="false"/>
                <w:sz w:val="22"/>
              </w:rPr>
            </w:pPr>
            <w:r>
              <w:rPr>
                <w:rFonts w:ascii="Calibri;sans-serif" w:hAnsi="Calibri;sans-serif"/>
                <w:b w:val="false"/>
                <w:sz w:val="22"/>
              </w:rPr>
              <w:t xml:space="preserve">Depreciation, depletion and amortization expense and </w:t>
              <w:br/>
              <w:t>   earnings/loss from nonconsolidated equity affiliates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124.9</w:t>
            </w:r>
          </w:p>
        </w:tc>
        <w:tc>
          <w:tcPr>
            <w:tcW w:w="39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Calibri;sans-serif" w:hAnsi="Calibri;sans-serif"/>
                <w:b w:val="false"/>
                <w:sz w:val="22"/>
              </w:rPr>
            </w:pPr>
            <w:r>
              <w:rPr>
                <w:rFonts w:ascii="Calibri;sans-serif" w:hAnsi="Calibri;sans-serif"/>
                <w:b w:val="false"/>
                <w:sz w:val="22"/>
              </w:rPr>
              <w:t>Acquisition and integration expenses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w:t>
            </w:r>
          </w:p>
        </w:tc>
        <w:tc>
          <w:tcPr>
            <w:tcW w:w="39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323.9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197.2</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00" w:after="0"/>
        <w:jc w:val="both"/>
        <w:rPr>
          <w:rFonts w:ascii="Calibri;sans-serif" w:hAnsi="Calibri;sans-serif"/>
          <w:b w:val="false"/>
          <w:sz w:val="22"/>
        </w:rPr>
      </w:pPr>
      <w:r>
        <w:rPr>
          <w:rFonts w:ascii="Calibri;sans-serif" w:hAnsi="Calibri;sans-serif"/>
          <w:b w:val="false"/>
          <w:sz w:val="22"/>
        </w:rPr>
        <w:t>Mix-adjusted average selling price (mix-adjusted ASP) is a non-GAAP measure that excludes the impacts of period-over-period product, geographic and other mix on average selling price. Mix-adjusted ASP is calculated by comparing current-period shipments to like-for-like shipments in the comparable prior period. Management uses this metric to evaluate the realization of pricing increases and believes this information is useful to investors as it provides same-on-same pricing trends. The following reconciles reported average selling price to mix-adjusted ASP and corresponding variances:</w:t>
      </w:r>
    </w:p>
    <w:p>
      <w:pPr>
        <w:pStyle w:val="TextBody"/>
        <w:spacing w:before="120" w:after="0"/>
        <w:jc w:val="both"/>
        <w:rPr/>
      </w:pPr>
      <w:r>
        <w:rPr/>
        <w:t> </w:t>
      </w:r>
    </w:p>
    <w:p>
      <w:pPr>
        <w:pStyle w:val="TextBody"/>
        <w:spacing w:before="0" w:after="0"/>
        <w:jc w:val="center"/>
        <w:rPr>
          <w:rFonts w:ascii="Calibri" w:hAnsi="Calibri"/>
          <w:sz w:val="22"/>
        </w:rPr>
      </w:pPr>
      <w:r>
        <w:rPr>
          <w:rFonts w:ascii="Calibri;sans-serif" w:hAnsi="Calibri;sans-serif"/>
          <w:b w:val="false"/>
          <w:sz w:val="22"/>
        </w:rPr>
        <w:t>Page 22</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0" w:after="0"/>
        <w:jc w:val="left"/>
        <w:rPr/>
      </w:pPr>
      <w:r>
        <w:rPr/>
        <w:t> </w:t>
      </w:r>
    </w:p>
    <w:tbl>
      <w:tblPr>
        <w:tblW w:w="7014" w:type="dxa"/>
        <w:jc w:val="left"/>
        <w:tblInd w:w="0" w:type="dxa"/>
        <w:tblCellMar>
          <w:top w:w="28" w:type="dxa"/>
          <w:left w:w="28" w:type="dxa"/>
          <w:bottom w:w="28" w:type="dxa"/>
          <w:right w:w="28" w:type="dxa"/>
        </w:tblCellMar>
      </w:tblPr>
      <w:tblGrid>
        <w:gridCol w:w="4276"/>
        <w:gridCol w:w="146"/>
        <w:gridCol w:w="226"/>
        <w:gridCol w:w="766"/>
        <w:gridCol w:w="271"/>
        <w:gridCol w:w="146"/>
        <w:gridCol w:w="226"/>
        <w:gridCol w:w="766"/>
        <w:gridCol w:w="19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Aggregates: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Reported average selling price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19.83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16.17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Adjustment for impact of product, geographic</w:t>
              <w:br/>
              <w:t>   and other mix</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(0.50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Mix-adjusted ASP</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19.33</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Reported average selling price variance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Mix-adjusted ASP variance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Cement -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Reported average selling price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170.65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129.11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Adjustment for impact of product, geographic</w:t>
              <w:br/>
              <w:t>   and other mix</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(0.38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Mix-adjusted ASP</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170.27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Reported average selling price variance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32.2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Mix-adjusted ASP variance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Calibri;sans-serif" w:hAnsi="Calibri;sans-serif"/>
          <w:b w:val="false"/>
          <w:sz w:val="22"/>
          <w:u w:val="single"/>
        </w:rPr>
      </w:pPr>
      <w:r>
        <w:rPr>
          <w:rFonts w:ascii="Calibri;sans-serif" w:hAnsi="Calibri;sans-serif"/>
          <w:b w:val="false"/>
          <w:sz w:val="22"/>
          <w:u w:val="single"/>
        </w:rPr>
        <w:t>Quarter Ended March 31, 2023</w:t>
      </w:r>
    </w:p>
    <w:p>
      <w:pPr>
        <w:pStyle w:val="TextBody"/>
        <w:spacing w:before="120" w:after="0"/>
        <w:jc w:val="both"/>
        <w:rPr>
          <w:rFonts w:ascii="Calibri;sans-serif" w:hAnsi="Calibri;sans-serif"/>
          <w:b w:val="false"/>
          <w:sz w:val="22"/>
        </w:rPr>
      </w:pPr>
      <w:r>
        <w:rPr>
          <w:rFonts w:ascii="Calibri;sans-serif" w:hAnsi="Calibri;sans-serif"/>
          <w:b w:val="false"/>
          <w:sz w:val="22"/>
        </w:rPr>
        <w:t>Financial highlights for the quarter ended March 31, 2023 (unless noted, all comparisons are versus the prior-year quarter and for continuing operations):</w:t>
      </w:r>
    </w:p>
    <w:p>
      <w:pPr>
        <w:pStyle w:val="TextBody"/>
        <w:spacing w:before="120" w:after="0"/>
        <w:jc w:val="both"/>
        <w:rPr/>
      </w:pPr>
      <w:r>
        <w:rPr/>
        <w:t>♦</w:t>
      </w:r>
    </w:p>
    <w:p>
      <w:pPr>
        <w:pStyle w:val="TextBody"/>
        <w:spacing w:before="120" w:after="0"/>
        <w:jc w:val="both"/>
        <w:rPr>
          <w:rFonts w:ascii="Calibri;sans-serif" w:hAnsi="Calibri;sans-serif"/>
          <w:b w:val="false"/>
          <w:sz w:val="22"/>
        </w:rPr>
      </w:pPr>
      <w:r>
        <w:rPr>
          <w:rFonts w:ascii="Calibri;sans-serif" w:hAnsi="Calibri;sans-serif"/>
          <w:b w:val="false"/>
          <w:sz w:val="22"/>
        </w:rPr>
        <w:t>Consolidated total revenues of $1.35 billion compared with $1.23 billion</w:t>
      </w:r>
    </w:p>
    <w:p>
      <w:pPr>
        <w:pStyle w:val="TextBody"/>
        <w:spacing w:before="0" w:after="0"/>
        <w:jc w:val="both"/>
        <w:rPr/>
      </w:pPr>
      <w:r>
        <w:rPr/>
        <w:t>♦</w:t>
      </w:r>
    </w:p>
    <w:p>
      <w:pPr>
        <w:pStyle w:val="TextBody"/>
        <w:spacing w:before="0" w:after="0"/>
        <w:jc w:val="both"/>
        <w:rPr>
          <w:rFonts w:ascii="Calibri;sans-serif" w:hAnsi="Calibri;sans-serif"/>
          <w:b w:val="false"/>
          <w:sz w:val="22"/>
        </w:rPr>
      </w:pPr>
      <w:r>
        <w:rPr>
          <w:rFonts w:ascii="Calibri;sans-serif" w:hAnsi="Calibri;sans-serif"/>
          <w:b w:val="false"/>
          <w:sz w:val="22"/>
        </w:rPr>
        <w:t>Building Materials business total revenues of $1.27 billion compared with $1.15 billion</w:t>
      </w:r>
    </w:p>
    <w:p>
      <w:pPr>
        <w:pStyle w:val="TextBody"/>
        <w:spacing w:before="0" w:after="0"/>
        <w:jc w:val="both"/>
        <w:rPr/>
      </w:pPr>
      <w:r>
        <w:rPr/>
        <w:t>♦</w:t>
      </w:r>
    </w:p>
    <w:p>
      <w:pPr>
        <w:pStyle w:val="TextBody"/>
        <w:spacing w:before="0" w:after="0"/>
        <w:jc w:val="both"/>
        <w:rPr>
          <w:rFonts w:ascii="Calibri;sans-serif" w:hAnsi="Calibri;sans-serif"/>
          <w:b w:val="false"/>
          <w:sz w:val="22"/>
        </w:rPr>
      </w:pPr>
      <w:r>
        <w:rPr>
          <w:rFonts w:ascii="Calibri;sans-serif" w:hAnsi="Calibri;sans-serif"/>
          <w:b w:val="false"/>
          <w:sz w:val="22"/>
        </w:rPr>
        <w:t>Magnesia Specialties total revenues of $83.4 million compared with $77.0 million</w:t>
      </w:r>
    </w:p>
    <w:p>
      <w:pPr>
        <w:pStyle w:val="TextBody"/>
        <w:spacing w:before="0" w:after="0"/>
        <w:jc w:val="both"/>
        <w:rPr/>
      </w:pPr>
      <w:r>
        <w:rPr/>
        <w:t>♦</w:t>
      </w:r>
    </w:p>
    <w:p>
      <w:pPr>
        <w:pStyle w:val="TextBody"/>
        <w:spacing w:before="0" w:after="0"/>
        <w:jc w:val="both"/>
        <w:rPr>
          <w:rFonts w:ascii="Calibri;sans-serif" w:hAnsi="Calibri;sans-serif"/>
          <w:b w:val="false"/>
          <w:sz w:val="22"/>
        </w:rPr>
      </w:pPr>
      <w:r>
        <w:rPr>
          <w:rFonts w:ascii="Calibri;sans-serif" w:hAnsi="Calibri;sans-serif"/>
          <w:b w:val="false"/>
          <w:sz w:val="22"/>
        </w:rPr>
        <w:t>Consolidated gross profit of $302.8 million compared with $156.1 million</w:t>
      </w:r>
    </w:p>
    <w:p>
      <w:pPr>
        <w:pStyle w:val="TextBody"/>
        <w:spacing w:before="0" w:after="0"/>
        <w:jc w:val="both"/>
        <w:rPr/>
      </w:pPr>
      <w:r>
        <w:rPr/>
        <w:t>♦</w:t>
      </w:r>
    </w:p>
    <w:p>
      <w:pPr>
        <w:pStyle w:val="TextBody"/>
        <w:spacing w:before="0" w:after="0"/>
        <w:jc w:val="both"/>
        <w:rPr>
          <w:rFonts w:ascii="Calibri;sans-serif" w:hAnsi="Calibri;sans-serif"/>
          <w:b w:val="false"/>
          <w:sz w:val="22"/>
        </w:rPr>
      </w:pPr>
      <w:r>
        <w:rPr>
          <w:rFonts w:ascii="Calibri;sans-serif" w:hAnsi="Calibri;sans-serif"/>
          <w:b w:val="false"/>
          <w:sz w:val="22"/>
        </w:rPr>
        <w:t>Consolidated earnings from operations of $196.1 million compared with $59.9 million</w:t>
      </w:r>
    </w:p>
    <w:p>
      <w:pPr>
        <w:pStyle w:val="TextBody"/>
        <w:spacing w:before="0" w:after="0"/>
        <w:jc w:val="both"/>
        <w:rPr/>
      </w:pPr>
      <w:r>
        <w:rPr/>
        <w:t>♦</w:t>
      </w:r>
    </w:p>
    <w:p>
      <w:pPr>
        <w:pStyle w:val="TextBody"/>
        <w:spacing w:before="0" w:after="0"/>
        <w:jc w:val="both"/>
        <w:rPr>
          <w:rFonts w:ascii="Calibri;sans-serif" w:hAnsi="Calibri;sans-serif"/>
          <w:b w:val="false"/>
          <w:sz w:val="22"/>
        </w:rPr>
      </w:pPr>
      <w:r>
        <w:rPr>
          <w:rFonts w:ascii="Calibri;sans-serif" w:hAnsi="Calibri;sans-serif"/>
          <w:b w:val="false"/>
          <w:sz w:val="22"/>
        </w:rPr>
        <w:t>Net earnings from continuing operations attributable to Martin Marietta of $134.3 million compared with $24.5 million</w:t>
      </w:r>
    </w:p>
    <w:p>
      <w:pPr>
        <w:pStyle w:val="TextBody"/>
        <w:spacing w:before="0" w:after="0"/>
        <w:jc w:val="both"/>
        <w:rPr/>
      </w:pPr>
      <w:r>
        <w:rPr/>
        <w:t>♦</w:t>
      </w:r>
    </w:p>
    <w:p>
      <w:pPr>
        <w:pStyle w:val="TextBody"/>
        <w:spacing w:before="0" w:after="0"/>
        <w:jc w:val="both"/>
        <w:rPr>
          <w:rFonts w:ascii="Calibri;sans-serif" w:hAnsi="Calibri;sans-serif"/>
          <w:b w:val="false"/>
          <w:sz w:val="22"/>
        </w:rPr>
      </w:pPr>
      <w:r>
        <w:rPr>
          <w:rFonts w:ascii="Calibri;sans-serif" w:hAnsi="Calibri;sans-serif"/>
          <w:b w:val="false"/>
          <w:sz w:val="22"/>
        </w:rPr>
        <w:t xml:space="preserve">Adjusted EBITDA of $323.9 million compared with $197.2 million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Earnings per diluted share from continuing operations of $2.16 compared with $0.39</w:t>
      </w:r>
    </w:p>
    <w:p>
      <w:pPr>
        <w:pStyle w:val="TextBody"/>
        <w:spacing w:before="120" w:after="0"/>
        <w:jc w:val="both"/>
        <w:rPr>
          <w:rFonts w:ascii="Calibri" w:hAnsi="Calibri"/>
          <w:sz w:val="22"/>
        </w:rPr>
      </w:pPr>
      <w:r>
        <w:rPr>
          <w:rFonts w:ascii="Calibri;sans-serif" w:hAnsi="Calibri;sans-serif"/>
          <w:b w:val="false"/>
          <w:sz w:val="22"/>
        </w:rPr>
        <w:t>The following tables present total revenues and gross profit (loss) for the Company and its reportable segments by product line for continuing operations for the three months ended March 31, 2023 and 2022. In each case, the data is stated as a percentage of revenues of the Company or the relevant segment or product line, as the case may be.</w:t>
      </w:r>
      <w:r>
        <w:rPr>
          <w:rFonts w:ascii="Calibri" w:hAnsi="Calibri"/>
          <w:sz w:val="22"/>
        </w:rPr>
        <w:t xml:space="preserve"> </w:t>
      </w:r>
    </w:p>
    <w:p>
      <w:pPr>
        <w:pStyle w:val="TextBody"/>
        <w:spacing w:before="120" w:after="0"/>
        <w:jc w:val="both"/>
        <w:rPr/>
      </w:pPr>
      <w:r>
        <w:rPr/>
        <w:t> </w:t>
      </w:r>
    </w:p>
    <w:p>
      <w:pPr>
        <w:pStyle w:val="TextBody"/>
        <w:spacing w:before="0" w:after="0"/>
        <w:jc w:val="center"/>
        <w:rPr>
          <w:rFonts w:ascii="Calibri" w:hAnsi="Calibri"/>
          <w:sz w:val="22"/>
        </w:rPr>
      </w:pPr>
      <w:r>
        <w:rPr>
          <w:rFonts w:ascii="Calibri;sans-serif" w:hAnsi="Calibri;sans-serif"/>
          <w:b w:val="false"/>
          <w:sz w:val="22"/>
        </w:rPr>
        <w:t>Page 23</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0" w:after="0"/>
        <w:jc w:val="both"/>
        <w:rPr/>
      </w:pPr>
      <w:r>
        <w:rPr/>
        <w:t> </w:t>
      </w:r>
    </w:p>
    <w:tbl>
      <w:tblPr>
        <w:tblW w:w="6933" w:type="dxa"/>
        <w:jc w:val="left"/>
        <w:tblInd w:w="0" w:type="dxa"/>
        <w:tblCellMar>
          <w:top w:w="28" w:type="dxa"/>
          <w:left w:w="28" w:type="dxa"/>
          <w:bottom w:w="28" w:type="dxa"/>
          <w:right w:w="28" w:type="dxa"/>
        </w:tblCellMar>
      </w:tblPr>
      <w:tblGrid>
        <w:gridCol w:w="3046"/>
        <w:gridCol w:w="146"/>
        <w:gridCol w:w="226"/>
        <w:gridCol w:w="826"/>
        <w:gridCol w:w="181"/>
        <w:gridCol w:w="146"/>
        <w:gridCol w:w="146"/>
        <w:gridCol w:w="146"/>
        <w:gridCol w:w="226"/>
        <w:gridCol w:w="826"/>
        <w:gridCol w:w="181"/>
        <w:gridCol w:w="146"/>
        <w:gridCol w:w="69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41" w:type="dxa"/>
            <w:gridSpan w:val="11"/>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 March 31,</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Amount</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Amount</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50" w:type="dxa"/>
            <w:gridSpan w:val="10"/>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6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Total revenues:</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Building Materials business:</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300"/>
              <w:jc w:val="left"/>
              <w:rPr/>
            </w:pPr>
            <w:r>
              <w:rPr/>
              <w:t> </w:t>
            </w:r>
          </w:p>
        </w:tc>
      </w:tr>
      <w:tr>
        <w:trPr/>
        <w:tc>
          <w:tcPr>
            <w:tcW w:w="3046" w:type="dxa"/>
            <w:tcBorders/>
            <w:shd w:fill="auto" w:val="clear"/>
            <w:vAlign w:val="center"/>
          </w:tcPr>
          <w:p>
            <w:pPr>
              <w:pStyle w:val="TableContents"/>
              <w:spacing w:before="0" w:after="0"/>
              <w:ind w:left="300" w:right="0" w:hanging="0"/>
              <w:jc w:val="left"/>
              <w:rPr>
                <w:rFonts w:ascii="Calibri;sans-serif" w:hAnsi="Calibri;sans-serif"/>
                <w:b w:val="false"/>
                <w:sz w:val="22"/>
              </w:rPr>
            </w:pPr>
            <w:r>
              <w:rPr>
                <w:rFonts w:ascii="Calibri;sans-serif" w:hAnsi="Calibri;sans-serif"/>
                <w:b w:val="false"/>
                <w:sz w:val="22"/>
              </w:rPr>
              <w:t>East Group</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lef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Aggregates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530.1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419.2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Asphalt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Less: Interproduct revenues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(0.6</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(0.6</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300"/>
              <w:jc w:val="right"/>
              <w:rPr/>
            </w:pPr>
            <w:r>
              <w:rPr/>
              <w:t> </w:t>
            </w:r>
          </w:p>
        </w:tc>
      </w:tr>
      <w:tr>
        <w:trPr/>
        <w:tc>
          <w:tcPr>
            <w:tcW w:w="3046" w:type="dxa"/>
            <w:tcBorders/>
            <w:shd w:fill="auto" w:val="clear"/>
            <w:vAlign w:val="center"/>
          </w:tcPr>
          <w:p>
            <w:pPr>
              <w:pStyle w:val="TableContents"/>
              <w:spacing w:before="0" w:after="0"/>
              <w:ind w:left="300" w:right="0" w:hanging="0"/>
              <w:jc w:val="left"/>
              <w:rPr>
                <w:rFonts w:ascii="Calibri;sans-serif" w:hAnsi="Calibri;sans-serif"/>
                <w:b w:val="false"/>
                <w:sz w:val="22"/>
              </w:rPr>
            </w:pPr>
            <w:r>
              <w:rPr>
                <w:rFonts w:ascii="Calibri;sans-serif" w:hAnsi="Calibri;sans-serif"/>
                <w:b w:val="false"/>
                <w:sz w:val="22"/>
              </w:rPr>
              <w:t>East Group Total</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529.6</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418.8</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300"/>
              <w:jc w:val="right"/>
              <w:rPr/>
            </w:pPr>
            <w:r>
              <w:rPr/>
              <w:t> </w:t>
            </w:r>
          </w:p>
        </w:tc>
      </w:tr>
      <w:tr>
        <w:trPr/>
        <w:tc>
          <w:tcPr>
            <w:tcW w:w="3046" w:type="dxa"/>
            <w:tcBorders/>
            <w:shd w:fill="auto" w:val="clear"/>
            <w:vAlign w:val="center"/>
          </w:tcPr>
          <w:p>
            <w:pPr>
              <w:pStyle w:val="TableContents"/>
              <w:spacing w:before="0" w:after="0"/>
              <w:ind w:left="300" w:right="0" w:hanging="0"/>
              <w:jc w:val="left"/>
              <w:rPr>
                <w:rFonts w:ascii="Calibri;sans-serif" w:hAnsi="Calibri;sans-serif"/>
                <w:b w:val="false"/>
                <w:sz w:val="22"/>
              </w:rPr>
            </w:pPr>
            <w:r>
              <w:rPr>
                <w:rFonts w:ascii="Calibri;sans-serif" w:hAnsi="Calibri;sans-serif"/>
                <w:b w:val="false"/>
                <w:sz w:val="22"/>
              </w:rPr>
              <w:t>West Group</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Aggregates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381.8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337.4</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Cement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168.6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138.3</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Ready mixed concrete</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220.0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291.1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Asphalt and paving services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57.9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56.6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Less: Interproduct revenues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(87.2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(88.4</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300"/>
              <w:jc w:val="right"/>
              <w:rPr/>
            </w:pPr>
            <w:r>
              <w:rPr/>
              <w:t> </w:t>
            </w:r>
          </w:p>
        </w:tc>
      </w:tr>
      <w:tr>
        <w:trPr/>
        <w:tc>
          <w:tcPr>
            <w:tcW w:w="3046" w:type="dxa"/>
            <w:tcBorders/>
            <w:shd w:fill="auto" w:val="clear"/>
            <w:vAlign w:val="center"/>
          </w:tcPr>
          <w:p>
            <w:pPr>
              <w:pStyle w:val="TableContents"/>
              <w:spacing w:before="0" w:after="0"/>
              <w:ind w:left="300" w:right="0" w:hanging="0"/>
              <w:jc w:val="left"/>
              <w:rPr>
                <w:rFonts w:ascii="Calibri;sans-serif" w:hAnsi="Calibri;sans-serif"/>
                <w:b w:val="false"/>
                <w:sz w:val="22"/>
              </w:rPr>
            </w:pPr>
            <w:r>
              <w:rPr>
                <w:rFonts w:ascii="Calibri;sans-serif" w:hAnsi="Calibri;sans-serif"/>
                <w:b w:val="false"/>
                <w:sz w:val="22"/>
              </w:rPr>
              <w:t>West Group Total</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741.1</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735.0</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Building Materials business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1,270.7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1,153.8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Magnesia Specialties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83.4</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77.0</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1,354.1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1,230.8</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both"/>
        <w:rPr/>
      </w:pPr>
      <w:r>
        <w:rPr/>
        <w:t> </w:t>
      </w:r>
    </w:p>
    <w:tbl>
      <w:tblPr>
        <w:tblW w:w="9458" w:type="dxa"/>
        <w:jc w:val="left"/>
        <w:tblInd w:w="0" w:type="dxa"/>
        <w:tblCellMar>
          <w:top w:w="28" w:type="dxa"/>
          <w:left w:w="28" w:type="dxa"/>
          <w:bottom w:w="28" w:type="dxa"/>
          <w:right w:w="28" w:type="dxa"/>
        </w:tblCellMar>
      </w:tblPr>
      <w:tblGrid>
        <w:gridCol w:w="3046"/>
        <w:gridCol w:w="146"/>
        <w:gridCol w:w="226"/>
        <w:gridCol w:w="646"/>
        <w:gridCol w:w="181"/>
        <w:gridCol w:w="146"/>
        <w:gridCol w:w="277"/>
        <w:gridCol w:w="1148"/>
        <w:gridCol w:w="181"/>
        <w:gridCol w:w="146"/>
        <w:gridCol w:w="226"/>
        <w:gridCol w:w="646"/>
        <w:gridCol w:w="181"/>
        <w:gridCol w:w="146"/>
        <w:gridCol w:w="277"/>
        <w:gridCol w:w="1148"/>
        <w:gridCol w:w="69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57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 March 31,</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Amount</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 of Revenues</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Amount</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 of Revenues</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575" w:type="dxa"/>
            <w:gridSpan w:val="14"/>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691" w:type="dxa"/>
            <w:tcBorders/>
            <w:shd w:fill="auto" w:val="cle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Gross profit (loss):</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Building Materials business:</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500"/>
              <w:jc w:val="righ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Aggregates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238.1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26.1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102.8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13.6</w:t>
            </w:r>
          </w:p>
        </w:tc>
        <w:tc>
          <w:tcPr>
            <w:tcW w:w="691" w:type="dxa"/>
            <w:tcBorders/>
            <w:shd w:fill="auto" w:val="clear"/>
            <w:vAlign w:val="center"/>
          </w:tcPr>
          <w:p>
            <w:pPr>
              <w:pStyle w:val="TableContents"/>
              <w:spacing w:before="0" w:after="0"/>
              <w:ind w:left="0" w:right="0" w:firstLine="500"/>
              <w:jc w:val="lef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Cement</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47.1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28.0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26.9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19.4</w:t>
            </w:r>
          </w:p>
        </w:tc>
        <w:tc>
          <w:tcPr>
            <w:tcW w:w="691" w:type="dxa"/>
            <w:tcBorders/>
            <w:shd w:fill="auto" w:val="clear"/>
            <w:vAlign w:val="center"/>
          </w:tcPr>
          <w:p>
            <w:pPr>
              <w:pStyle w:val="TableContents"/>
              <w:spacing w:before="0" w:after="0"/>
              <w:ind w:left="0" w:right="0" w:firstLine="500"/>
              <w:jc w:val="lef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Ready mixed concrete</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7.5</w:t>
            </w:r>
          </w:p>
        </w:tc>
        <w:tc>
          <w:tcPr>
            <w:tcW w:w="691" w:type="dxa"/>
            <w:tcBorders/>
            <w:shd w:fill="auto" w:val="clear"/>
            <w:vAlign w:val="center"/>
          </w:tcPr>
          <w:p>
            <w:pPr>
              <w:pStyle w:val="TableContents"/>
              <w:spacing w:before="0" w:after="0"/>
              <w:ind w:left="0" w:right="0" w:firstLine="500"/>
              <w:jc w:val="left"/>
              <w:rPr/>
            </w:pPr>
            <w:r>
              <w:rPr/>
              <w:t> </w:t>
            </w:r>
          </w:p>
        </w:tc>
      </w:tr>
      <w:tr>
        <w:trPr/>
        <w:tc>
          <w:tcPr>
            <w:tcW w:w="3046" w:type="dxa"/>
            <w:tcBorders/>
            <w:shd w:fill="auto" w:val="clear"/>
            <w:vAlign w:val="center"/>
          </w:tcPr>
          <w:p>
            <w:pPr>
              <w:pStyle w:val="TableContents"/>
              <w:spacing w:before="0" w:after="0"/>
              <w:ind w:left="500" w:right="0" w:hanging="0"/>
              <w:jc w:val="left"/>
              <w:rPr>
                <w:rFonts w:ascii="Calibri;sans-serif" w:hAnsi="Calibri;sans-serif"/>
                <w:b w:val="false"/>
                <w:sz w:val="22"/>
              </w:rPr>
            </w:pPr>
            <w:r>
              <w:rPr>
                <w:rFonts w:ascii="Calibri;sans-serif" w:hAnsi="Calibri;sans-serif"/>
                <w:b w:val="false"/>
                <w:sz w:val="22"/>
              </w:rPr>
              <w:t>Asphalt and paving services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(35.4</w:t>
            </w:r>
          </w:p>
        </w:tc>
        <w:tc>
          <w:tcPr>
            <w:tcW w:w="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(13.2</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(23.2</w:t>
            </w:r>
          </w:p>
        </w:tc>
        <w:tc>
          <w:tcPr>
            <w:tcW w:w="6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 Building Materials business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275.9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138.4</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12.0</w:t>
            </w:r>
          </w:p>
        </w:tc>
        <w:tc>
          <w:tcPr>
            <w:tcW w:w="6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Magnesia Specialties</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25.0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30.0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25.6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33.3</w:t>
            </w:r>
          </w:p>
        </w:tc>
        <w:tc>
          <w:tcPr>
            <w:tcW w:w="6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Corporate</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302.8</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22.4</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156.1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12.7</w:t>
            </w:r>
          </w:p>
        </w:tc>
        <w:tc>
          <w:tcPr>
            <w:tcW w:w="6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24</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240" w:after="0"/>
        <w:jc w:val="left"/>
        <w:rPr>
          <w:rFonts w:ascii="Calibri" w:hAnsi="Calibri"/>
          <w:sz w:val="22"/>
        </w:rPr>
      </w:pPr>
      <w:r>
        <w:rPr>
          <w:rFonts w:ascii="Calibri;sans-serif" w:hAnsi="Calibri;sans-serif"/>
          <w:b w:val="false"/>
          <w:i/>
          <w:sz w:val="22"/>
        </w:rPr>
        <w:t>Building Materials Business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following table presents shipments data by product line for the Building Materials business:</w:t>
      </w:r>
      <w:r>
        <w:rPr>
          <w:rFonts w:ascii="Calibri" w:hAnsi="Calibri"/>
          <w:sz w:val="22"/>
        </w:rPr>
        <w:t xml:space="preserve"> </w:t>
      </w:r>
    </w:p>
    <w:p>
      <w:pPr>
        <w:pStyle w:val="TextBody"/>
        <w:spacing w:before="0" w:after="0"/>
        <w:jc w:val="both"/>
        <w:rPr/>
      </w:pPr>
      <w:r>
        <w:rPr/>
        <w:t> </w:t>
      </w:r>
    </w:p>
    <w:tbl>
      <w:tblPr>
        <w:tblW w:w="6849" w:type="dxa"/>
        <w:jc w:val="left"/>
        <w:tblInd w:w="0" w:type="dxa"/>
        <w:tblCellMar>
          <w:top w:w="28" w:type="dxa"/>
          <w:left w:w="28" w:type="dxa"/>
          <w:bottom w:w="28" w:type="dxa"/>
          <w:right w:w="28" w:type="dxa"/>
        </w:tblCellMar>
      </w:tblPr>
      <w:tblGrid>
        <w:gridCol w:w="3181"/>
        <w:gridCol w:w="146"/>
        <w:gridCol w:w="162"/>
        <w:gridCol w:w="584"/>
        <w:gridCol w:w="162"/>
        <w:gridCol w:w="162"/>
        <w:gridCol w:w="162"/>
        <w:gridCol w:w="584"/>
        <w:gridCol w:w="162"/>
        <w:gridCol w:w="162"/>
        <w:gridCol w:w="193"/>
        <w:gridCol w:w="798"/>
        <w:gridCol w:w="391"/>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 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6"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(In Millions)</w:t>
            </w:r>
          </w:p>
        </w:tc>
        <w:tc>
          <w:tcPr>
            <w:tcW w:w="162" w:type="dxa"/>
            <w:tcBorders/>
            <w:shd w:fill="auto" w:val="cle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Aggregates tons</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41.7</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42.1</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(0.8</w:t>
            </w:r>
          </w:p>
        </w:tc>
        <w:tc>
          <w:tcPr>
            <w:tcW w:w="3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Cement tons</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(6.8</w:t>
            </w:r>
          </w:p>
        </w:tc>
        <w:tc>
          <w:tcPr>
            <w:tcW w:w="3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Ready Mixed Concrete cubic yards</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1.5</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2.4</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(37.1</w:t>
            </w:r>
          </w:p>
        </w:tc>
        <w:tc>
          <w:tcPr>
            <w:tcW w:w="3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1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Asphalt tons</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0.5</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0.7</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(25.1</w:t>
            </w:r>
          </w:p>
        </w:tc>
        <w:tc>
          <w:tcPr>
            <w:tcW w:w="3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0" w:after="0"/>
        <w:jc w:val="both"/>
        <w:rPr/>
      </w:pPr>
      <w:r>
        <w:rPr/>
        <w:t> </w:t>
      </w:r>
    </w:p>
    <w:p>
      <w:pPr>
        <w:pStyle w:val="TextBody"/>
        <w:spacing w:before="200" w:after="0"/>
        <w:jc w:val="both"/>
        <w:rPr>
          <w:rFonts w:ascii="Calibri" w:hAnsi="Calibri"/>
          <w:sz w:val="22"/>
        </w:rPr>
      </w:pPr>
      <w:r>
        <w:rPr>
          <w:rFonts w:ascii="Calibri;sans-serif" w:hAnsi="Calibri;sans-serif"/>
          <w:b w:val="false"/>
          <w:sz w:val="22"/>
        </w:rPr>
        <w:t>The average selling price and pricing variances by product line for the Building Materials business are as follows:</w:t>
      </w:r>
      <w:r>
        <w:rPr>
          <w:rFonts w:ascii="Calibri" w:hAnsi="Calibri"/>
          <w:sz w:val="22"/>
        </w:rPr>
        <w:t xml:space="preserve"> </w:t>
      </w:r>
    </w:p>
    <w:p>
      <w:pPr>
        <w:pStyle w:val="TextBody"/>
        <w:spacing w:before="0" w:after="0"/>
        <w:jc w:val="both"/>
        <w:rPr/>
      </w:pPr>
      <w:r>
        <w:rPr/>
        <w:t> </w:t>
      </w:r>
    </w:p>
    <w:tbl>
      <w:tblPr>
        <w:tblW w:w="7607" w:type="dxa"/>
        <w:jc w:val="left"/>
        <w:tblInd w:w="0" w:type="dxa"/>
        <w:tblCellMar>
          <w:top w:w="28" w:type="dxa"/>
          <w:left w:w="28" w:type="dxa"/>
          <w:bottom w:w="28" w:type="dxa"/>
          <w:right w:w="28" w:type="dxa"/>
        </w:tblCellMar>
      </w:tblPr>
      <w:tblGrid>
        <w:gridCol w:w="3586"/>
        <w:gridCol w:w="146"/>
        <w:gridCol w:w="226"/>
        <w:gridCol w:w="766"/>
        <w:gridCol w:w="146"/>
        <w:gridCol w:w="146"/>
        <w:gridCol w:w="226"/>
        <w:gridCol w:w="766"/>
        <w:gridCol w:w="146"/>
        <w:gridCol w:w="146"/>
        <w:gridCol w:w="215"/>
        <w:gridCol w:w="776"/>
        <w:gridCol w:w="316"/>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Aggregates (per ton)</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19.83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16.17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22.6</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Cement (per ton)</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170.65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32.2</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Ready Mixed Concrete (per cubic yard)</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120.71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20.2</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Asphalt (per ton)</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68.53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62.39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9.9</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200" w:after="0"/>
        <w:jc w:val="both"/>
        <w:rPr>
          <w:rFonts w:ascii="Calibri;sans-serif" w:hAnsi="Calibri;sans-serif"/>
          <w:b w:val="false"/>
          <w:sz w:val="22"/>
        </w:rPr>
      </w:pPr>
      <w:r>
        <w:rPr>
          <w:rFonts w:ascii="Calibri;sans-serif" w:hAnsi="Calibri;sans-serif"/>
          <w:b w:val="false"/>
          <w:sz w:val="22"/>
        </w:rPr>
        <w:t>First-quarter aggregates shipments decreased slightly, while pricing increased 22.6%, or 19.6% on a mix-adjusted basis, over the prior-year quarter, reflecting the impact of 2022 and 2023 price increases. First-quarter aggregates gross profit improved 131.7% to $238.1 million, while gross margin expanded 1,250 basis points to a first-quarter record of 26.1%, as strong pricing growth more than offset lower shipments and increased costs.</w:t>
      </w:r>
    </w:p>
    <w:p>
      <w:pPr>
        <w:pStyle w:val="TextBody"/>
        <w:spacing w:before="120" w:after="0"/>
        <w:jc w:val="both"/>
        <w:rPr>
          <w:rFonts w:ascii="Calibri;sans-serif" w:hAnsi="Calibri;sans-serif"/>
          <w:b w:val="false"/>
          <w:sz w:val="22"/>
        </w:rPr>
      </w:pPr>
      <w:r>
        <w:rPr>
          <w:rFonts w:ascii="Calibri;sans-serif" w:hAnsi="Calibri;sans-serif"/>
          <w:b w:val="false"/>
          <w:sz w:val="22"/>
        </w:rPr>
        <w:t>Cement shipments of 1.0 million tons decreased 6.8% driven by wet and cold weather in Texas. Pricing increased 32.2%, reflecting the cumulative effects of 2022 and 2023 price increases. Cement gross profit grew to a first-quarter record $47.1 million, an increase of 75.4%, and gross margin expanded 860 basis points to 28.0%, as pricing gains more than offset lower shipments and higher raw materials and maintenance costs.</w:t>
      </w:r>
    </w:p>
    <w:p>
      <w:pPr>
        <w:pStyle w:val="TextBody"/>
        <w:spacing w:before="120" w:after="0"/>
        <w:jc w:val="both"/>
        <w:rPr>
          <w:rFonts w:ascii="Calibri;sans-serif" w:hAnsi="Calibri;sans-serif"/>
          <w:b w:val="false"/>
          <w:sz w:val="22"/>
        </w:rPr>
      </w:pPr>
      <w:r>
        <w:rPr>
          <w:rFonts w:ascii="Calibri;sans-serif" w:hAnsi="Calibri;sans-serif"/>
          <w:b w:val="false"/>
          <w:sz w:val="22"/>
        </w:rPr>
        <w:t>Ready mix pricing increased 20.2% due to pricing actions implemented in all Arizona and Texas markets. Ready mix shipments, revenues and gross profit from continuing operations declined 37.1%, 24.4% and 48.9%, respectively, driven primarily by the divestiture of the Company’s Colorado and Central Texas ready mixed concrete businesses on April 1, 2022.</w:t>
      </w:r>
    </w:p>
    <w:p>
      <w:pPr>
        <w:pStyle w:val="TextBody"/>
        <w:spacing w:before="120" w:after="0"/>
        <w:jc w:val="both"/>
        <w:rPr>
          <w:rFonts w:ascii="Calibri;sans-serif" w:hAnsi="Calibri;sans-serif"/>
          <w:b w:val="false"/>
          <w:sz w:val="22"/>
        </w:rPr>
      </w:pPr>
      <w:r>
        <w:rPr>
          <w:rFonts w:ascii="Calibri;sans-serif" w:hAnsi="Calibri;sans-serif"/>
          <w:b w:val="false"/>
          <w:sz w:val="22"/>
        </w:rPr>
        <w:t>Total asphalt shipments decreased 25.1% and pricing increased 9.9%, respectively. Total asphalt and paving revenues increased 2.1%. However, consistent with the Company's historical first-quarter trends, the business posted a gross loss of $20.5 million due to seasonal winter operational shutdowns in Minnesota.</w:t>
      </w:r>
    </w:p>
    <w:p>
      <w:pPr>
        <w:pStyle w:val="TextBody"/>
        <w:spacing w:before="240" w:after="0"/>
        <w:jc w:val="left"/>
        <w:rPr>
          <w:rFonts w:ascii="Calibri;sans-serif" w:hAnsi="Calibri;sans-serif"/>
          <w:b w:val="false"/>
          <w:i/>
          <w:sz w:val="22"/>
        </w:rPr>
      </w:pPr>
      <w:r>
        <w:rPr>
          <w:rFonts w:ascii="Calibri;sans-serif" w:hAnsi="Calibri;sans-serif"/>
          <w:b w:val="false"/>
          <w:i/>
          <w:sz w:val="22"/>
        </w:rPr>
        <w:t>Aggregates End-Use Markets</w:t>
      </w:r>
    </w:p>
    <w:p>
      <w:pPr>
        <w:pStyle w:val="TextBody"/>
        <w:spacing w:before="120" w:after="0"/>
        <w:jc w:val="both"/>
        <w:rPr>
          <w:rFonts w:ascii="Calibri" w:hAnsi="Calibri"/>
          <w:sz w:val="22"/>
        </w:rPr>
      </w:pPr>
      <w:r>
        <w:rPr>
          <w:rFonts w:ascii="Calibri;sans-serif" w:hAnsi="Calibri;sans-serif"/>
          <w:b w:val="false"/>
          <w:sz w:val="22"/>
        </w:rPr>
        <w:t>While aggregates shipments to the infrastructure market decreased 1.3%, the value of state and local government highway, bridge and tunnel contract awards, a leading indicator for future demand, is meaningfully higher year-over-year. The infrastructure market accounted for 32% of first-quarter aggregates shipments.</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Aggregates shipments to the nonresidential market increased 3.2%, driven by several large manufacturing, data center and energy projects in Georgia, the Carolinas and the Gulf Coast. The nonresidential market represented 38% of first-quarter aggregates shipments.</w:t>
      </w:r>
    </w:p>
    <w:p>
      <w:pPr>
        <w:pStyle w:val="TextBody"/>
        <w:spacing w:before="0" w:after="0"/>
        <w:jc w:val="center"/>
        <w:rPr>
          <w:rFonts w:ascii="Calibri" w:hAnsi="Calibri"/>
          <w:sz w:val="22"/>
        </w:rPr>
      </w:pPr>
      <w:r>
        <w:rPr>
          <w:rFonts w:ascii="Calibri;sans-serif" w:hAnsi="Calibri;sans-serif"/>
          <w:b w:val="false"/>
          <w:sz w:val="22"/>
        </w:rPr>
        <w:t>Page 25</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120" w:after="0"/>
        <w:jc w:val="both"/>
        <w:rPr>
          <w:rFonts w:ascii="Calibri" w:hAnsi="Calibri"/>
          <w:sz w:val="22"/>
        </w:rPr>
      </w:pPr>
      <w:r>
        <w:rPr>
          <w:rFonts w:ascii="Calibri;sans-serif" w:hAnsi="Calibri;sans-serif"/>
          <w:b w:val="false"/>
          <w:sz w:val="22"/>
        </w:rPr>
        <w:t>Aggregates shipments to the residential market decreased 2.6%, however, multi-family construction remained resilient, partially offsetting the single-family affordability concerns in the Company's geographies. The residential market accounted for 25% of first-quarter aggregates shipments.</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The ChemRock/Rail market accounted for the remaining 5% of first-quarter aggregates shipments. Volumes to this end use decreased 14.5%, driven by primarily lower ballast shipments, but wet weather also negatively impacted aglime shipments.</w:t>
      </w:r>
    </w:p>
    <w:p>
      <w:pPr>
        <w:pStyle w:val="TextBody"/>
        <w:spacing w:before="240" w:after="0"/>
        <w:jc w:val="left"/>
        <w:rPr>
          <w:rFonts w:ascii="Calibri" w:hAnsi="Calibri"/>
          <w:sz w:val="22"/>
        </w:rPr>
      </w:pPr>
      <w:r>
        <w:rPr>
          <w:rFonts w:ascii="Calibri;sans-serif" w:hAnsi="Calibri;sans-serif"/>
          <w:b w:val="false"/>
          <w:i/>
          <w:sz w:val="22"/>
        </w:rPr>
        <w:t>Magnesia Specialties Business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Magnesia Specialties first-quarter total revenues increased 8.4% to $83.4 million, driven by increased lime demand as well as higher pricing for all product lines. Gross profit declined 2.7% to $25.0 million reflecting higher supplies and contract services costs.</w:t>
      </w:r>
      <w:r>
        <w:rPr>
          <w:rFonts w:ascii="Calibri" w:hAnsi="Calibri"/>
          <w:sz w:val="22"/>
        </w:rPr>
        <w:t xml:space="preserve"> </w:t>
      </w:r>
    </w:p>
    <w:p>
      <w:pPr>
        <w:pStyle w:val="TextBody"/>
        <w:spacing w:before="240" w:after="0"/>
        <w:jc w:val="left"/>
        <w:rPr>
          <w:rFonts w:ascii="Calibri;sans-serif" w:hAnsi="Calibri;sans-serif"/>
          <w:b w:val="false"/>
          <w:i/>
          <w:sz w:val="22"/>
        </w:rPr>
      </w:pPr>
      <w:r>
        <w:rPr>
          <w:rFonts w:ascii="Calibri;sans-serif" w:hAnsi="Calibri;sans-serif"/>
          <w:b w:val="false"/>
          <w:i/>
          <w:sz w:val="22"/>
        </w:rPr>
        <w:t xml:space="preserve">Consolidated Operating Results </w:t>
      </w:r>
    </w:p>
    <w:p>
      <w:pPr>
        <w:pStyle w:val="TextBody"/>
        <w:spacing w:before="120" w:after="0"/>
        <w:jc w:val="both"/>
        <w:rPr>
          <w:rFonts w:ascii="Calibri" w:hAnsi="Calibri"/>
          <w:sz w:val="22"/>
        </w:rPr>
      </w:pPr>
      <w:r>
        <w:rPr>
          <w:rFonts w:ascii="Calibri;sans-serif" w:hAnsi="Calibri;sans-serif"/>
          <w:b w:val="false"/>
          <w:sz w:val="22"/>
        </w:rPr>
        <w:t>Consolidated SG&amp;A for the first quarter of 2023 was 7.7% of total revenues compared with 7.9% in the prior-year quarter, a 20-basis-point improvement.</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Among other items, other operating expense (income), net, includes gains and losses on the sale of assets; recoveries and losses related to certain customer accounts receivable; rental, royalty and services income; and accretion expense, depreciation expense and gains and losses related to asset retirement obligations. For the first quarter, consolidated other operating expenses (income), net, was an expense of $1.6 million in 2023 and income of $2.3 million in 2022.</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Earnings from operations for the quarter were $196.1 million in 2023 compared with $59.9 million in 2022, with the increase driven by the cumulative impact of price increases in 2022 and 2023.</w:t>
      </w:r>
    </w:p>
    <w:p>
      <w:pPr>
        <w:pStyle w:val="TextBody"/>
        <w:spacing w:before="120" w:after="0"/>
        <w:jc w:val="both"/>
        <w:rPr>
          <w:rFonts w:ascii="Calibri;sans-serif" w:hAnsi="Calibri;sans-serif"/>
          <w:b w:val="false"/>
          <w:sz w:val="22"/>
        </w:rPr>
      </w:pPr>
      <w:r>
        <w:rPr>
          <w:rFonts w:ascii="Calibri;sans-serif" w:hAnsi="Calibri;sans-serif"/>
          <w:b w:val="false"/>
          <w:sz w:val="22"/>
        </w:rPr>
        <w:t>Other nonoperating income, net, includes interest income; pension and postretirement benefit cost (excluding service cost); foreign currency transaction gains and losses; equity earnings or losses from nonconsolidated affiliates; and other miscellaneous income and expenses. For the first quarter, other nonoperating income, net, was $16.1 million and $10.8 million in 2023 and 2022, respectively. The increase was driven by higher interest income.</w:t>
      </w:r>
    </w:p>
    <w:p>
      <w:pPr>
        <w:pStyle w:val="TextBody"/>
        <w:spacing w:before="0" w:after="0"/>
        <w:jc w:val="both"/>
        <w:rPr/>
      </w:pPr>
      <w:r>
        <w:rPr/>
        <w:t> </w:t>
      </w:r>
    </w:p>
    <w:p>
      <w:pPr>
        <w:pStyle w:val="TextBody"/>
        <w:spacing w:before="240" w:after="0"/>
        <w:jc w:val="left"/>
        <w:rPr>
          <w:rFonts w:ascii="Calibri" w:hAnsi="Calibri"/>
          <w:sz w:val="22"/>
        </w:rPr>
      </w:pPr>
      <w:r>
        <w:rPr>
          <w:rFonts w:ascii="Calibri;sans-serif" w:hAnsi="Calibri;sans-serif"/>
          <w:b w:val="false"/>
          <w:i/>
          <w:sz w:val="22"/>
        </w:rPr>
        <w:t>Income Tax Expense</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For the three months ended March 31, 2023 and 2022, the effective income tax rates for continuing operations were 20.9% and 19.3%, respectively.</w:t>
      </w:r>
      <w:r>
        <w:rPr>
          <w:rFonts w:ascii="Calibri" w:hAnsi="Calibri"/>
          <w:sz w:val="22"/>
        </w:rPr>
        <w:t xml:space="preserve"> </w:t>
      </w:r>
    </w:p>
    <w:p>
      <w:pPr>
        <w:pStyle w:val="TextBody"/>
        <w:spacing w:before="360" w:after="0"/>
        <w:jc w:val="left"/>
        <w:rPr>
          <w:rFonts w:ascii="Calibri" w:hAnsi="Calibri"/>
          <w:sz w:val="22"/>
        </w:rPr>
      </w:pPr>
      <w:r>
        <w:rPr>
          <w:rFonts w:ascii="Calibri;sans-serif" w:hAnsi="Calibri;sans-serif"/>
          <w:b w:val="false"/>
          <w:sz w:val="22"/>
        </w:rPr>
        <w:t>LIQUIDITY AND CAPITAL RESOURCES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Cash provided by operating activities for the three months ended March 31, 2023 and 2022 was $160.5 million and $169.9 million, respectively. Operating cash flow is substantially derived from consolidated net earnings before deducting depreciation, depletion and amortization, and changes in working capital requirements.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Depreciation, depletion and amortization were as follows: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26</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0" w:after="0"/>
        <w:jc w:val="both"/>
        <w:rPr/>
      </w:pPr>
      <w:r>
        <w:rPr/>
        <w:t> </w:t>
      </w:r>
    </w:p>
    <w:tbl>
      <w:tblPr>
        <w:tblW w:w="3679" w:type="dxa"/>
        <w:jc w:val="left"/>
        <w:tblInd w:w="0" w:type="dxa"/>
        <w:tblCellMar>
          <w:top w:w="28" w:type="dxa"/>
          <w:left w:w="28" w:type="dxa"/>
          <w:bottom w:w="28" w:type="dxa"/>
          <w:right w:w="28" w:type="dxa"/>
        </w:tblCellMar>
      </w:tblPr>
      <w:tblGrid>
        <w:gridCol w:w="1306"/>
        <w:gridCol w:w="146"/>
        <w:gridCol w:w="226"/>
        <w:gridCol w:w="646"/>
        <w:gridCol w:w="146"/>
        <w:gridCol w:w="146"/>
        <w:gridCol w:w="226"/>
        <w:gridCol w:w="646"/>
        <w:gridCol w:w="191"/>
      </w:tblGrid>
      <w:tr>
        <w:trPr/>
        <w:tc>
          <w:tcPr>
            <w:tcW w:w="1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36" w:type="dxa"/>
            <w:gridSpan w:val="6"/>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1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36" w:type="dxa"/>
            <w:gridSpan w:val="6"/>
            <w:tcBorders/>
            <w:shd w:fill="auto" w:val="clear"/>
            <w:vAlign w:val="center"/>
          </w:tcPr>
          <w:p>
            <w:pPr>
              <w:pStyle w:val="TableContents"/>
              <w:spacing w:before="0" w:after="0"/>
              <w:ind w:left="0" w:right="0" w:hanging="0"/>
              <w:jc w:val="center"/>
              <w:rPr>
                <w:rFonts w:ascii="Calibri;sans-serif" w:hAnsi="Calibri;sans-serif"/>
                <w:b w:val="false"/>
                <w:i/>
                <w:sz w:val="22"/>
              </w:rPr>
            </w:pPr>
            <w:r>
              <w:rPr>
                <w:rFonts w:ascii="Calibri;sans-serif" w:hAnsi="Calibri;sans-serif"/>
                <w:b w:val="false"/>
                <w:i/>
                <w:sz w:val="22"/>
              </w:rPr>
              <w:t>(Dollars 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130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Depreciation</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101.8</w:t>
            </w:r>
          </w:p>
        </w:tc>
        <w:tc>
          <w:tcPr>
            <w:tcW w:w="191" w:type="dxa"/>
            <w:tcBorders/>
            <w:shd w:fill="auto" w:val="clear"/>
            <w:vAlign w:val="center"/>
          </w:tcPr>
          <w:p>
            <w:pPr>
              <w:pStyle w:val="TableContents"/>
              <w:spacing w:before="0" w:after="0"/>
              <w:ind w:left="0" w:right="0" w:hanging="0"/>
              <w:jc w:val="left"/>
              <w:rPr/>
            </w:pPr>
            <w:r>
              <w:rPr/>
              <w:t> </w:t>
            </w:r>
          </w:p>
        </w:tc>
      </w:tr>
      <w:tr>
        <w:trPr/>
        <w:tc>
          <w:tcPr>
            <w:tcW w:w="130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Depletion</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11.8</w:t>
            </w:r>
          </w:p>
        </w:tc>
        <w:tc>
          <w:tcPr>
            <w:tcW w:w="191" w:type="dxa"/>
            <w:tcBorders/>
            <w:shd w:fill="auto" w:val="clear"/>
            <w:vAlign w:val="center"/>
          </w:tcPr>
          <w:p>
            <w:pPr>
              <w:pStyle w:val="TableContents"/>
              <w:spacing w:before="0" w:after="0"/>
              <w:ind w:left="0" w:right="0" w:hanging="0"/>
              <w:jc w:val="left"/>
              <w:rPr/>
            </w:pPr>
            <w:r>
              <w:rPr/>
              <w:t> </w:t>
            </w:r>
          </w:p>
        </w:tc>
      </w:tr>
      <w:tr>
        <w:trPr/>
        <w:tc>
          <w:tcPr>
            <w:tcW w:w="130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Amortization</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0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Total</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128.2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Calibri" w:hAnsi="Calibri"/>
          <w:sz w:val="22"/>
        </w:rPr>
      </w:pPr>
      <w:r>
        <w:rPr>
          <w:rFonts w:ascii="Calibri;sans-serif" w:hAnsi="Calibri;sans-serif"/>
          <w:b w:val="false"/>
          <w:sz w:val="22"/>
        </w:rPr>
        <w:t>The seasonal nature of construction activity impacts the Company’s interim operating cash flow when compared with the full year. Full-year 2022 net cash provided by operating activities was $991.2 million.</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During the three months ended March 31, 2023 and 2022, the Company paid $173.9 million and $139.8 million, respectively, for property, plant and equipment.</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 can repurchase its common stock through open-market purchases pursuant to authority granted by its Board of Directors or through private transactions at such prices and upon such terms as the Chief Executive Officer deems appropriate. The Company repurchased 203,770 shares of common stock at an aggregate cost of $75.0 million during the first three months of 2023. At March 31, 2023, 12.9 million shares of common stock remain under the Company’s repurchase authorization.</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 xml:space="preserve">On September 29, 2022, the Company satisfied and discharged its $700 million of 0.650% Senior Notes due 2023 (the 2023 Notes). In connection with the satisfaction and discharge, the Company irrevocably deposited funds in an amount sufficient to satisfy all remaining principal and interest payments on the 2023 Notes with Regions Bank (the Trustee). The funds are invested in a fund that invests exclusively in U.S. Treasury securities and are classified as </w:t>
      </w:r>
      <w:r>
        <w:rPr>
          <w:rFonts w:ascii="Calibri;sans-serif" w:hAnsi="Calibri;sans-serif"/>
          <w:b w:val="false"/>
          <w:i/>
          <w:sz w:val="22"/>
        </w:rPr>
        <w:t xml:space="preserve">Restricted investments (to satisfy discharged debt and related interest) </w:t>
      </w:r>
      <w:r>
        <w:rPr>
          <w:rFonts w:ascii="Calibri;sans-serif" w:hAnsi="Calibri;sans-serif"/>
          <w:b w:val="false"/>
          <w:sz w:val="22"/>
        </w:rPr>
        <w:t>on the consolidated balance sheets at March 31, 2023 and December 31, 2022. Holders of the 2023 Notes will receive payment of principal on the scheduled maturity date and payment of interest at the per annum rate (and on the dates) set forth in the 2023 Notes indenture. The Company utilized existing cash resources to fund the satisfaction and discharge. As a result of the satisfaction and discharge, the obligations of the Company under the indenture with respect to the 2023 Notes have been terminated, except those provisions of the indenture that, by their terms, survive the satisfaction and discharge. The 2023 Notes remain on the Company’s consolidated balance sheet at March 31, 2023 and will continue to accrete to their par value over the period until maturity in July 2023.</w:t>
      </w:r>
    </w:p>
    <w:p>
      <w:pPr>
        <w:pStyle w:val="TextBody"/>
        <w:spacing w:before="120" w:after="0"/>
        <w:jc w:val="both"/>
        <w:rPr>
          <w:rFonts w:ascii="Calibri;sans-serif" w:hAnsi="Calibri;sans-serif"/>
          <w:b w:val="false"/>
          <w:sz w:val="22"/>
        </w:rPr>
      </w:pPr>
      <w:r>
        <w:rPr>
          <w:rFonts w:ascii="Calibri;sans-serif" w:hAnsi="Calibri;sans-serif"/>
          <w:b w:val="false"/>
          <w:sz w:val="22"/>
        </w:rPr>
        <w:t>The Company, through a wholly-owned special-purpose subsidiary, has a $400 million trade receivable securitization facility (the Trade Receivable Facility) that matures on September 20, 2023. The Trade Receivable Facility contains a cross-default provision to the Company’s other debt agreements.</w:t>
      </w:r>
    </w:p>
    <w:p>
      <w:pPr>
        <w:pStyle w:val="TextBody"/>
        <w:spacing w:before="120" w:after="0"/>
        <w:jc w:val="both"/>
        <w:rPr>
          <w:rFonts w:ascii="Calibri;sans-serif" w:hAnsi="Calibri;sans-serif"/>
          <w:b w:val="false"/>
          <w:sz w:val="22"/>
        </w:rPr>
      </w:pPr>
      <w:r>
        <w:rPr>
          <w:rFonts w:ascii="Calibri;sans-serif" w:hAnsi="Calibri;sans-serif"/>
          <w:b w:val="false"/>
          <w:sz w:val="22"/>
        </w:rPr>
        <w:t>The Company has an $800 million five-year senior unsecured revolving facility (the Revolving Facility), which matures in December 2027. The Revolving Facility requires the Company’s ratio of consolidated net debt-to-consolidated EBITDA, as defined, for the trailing-twelve-month period (the Ratio) to not exceed 3.50 times as of the end of any fiscal quarter, provided that the Company may exclude from the Ratio debt incurred in connection with certain acquisitions during the quarter or the three preceding quarters so long as the Ratio calculated without such exclusion does not exceed 4.00 times. Additionally, if there are no amounts outstanding under the Revolving Facility and the Trade Receivable Facility, consolidated debt, including debt for which the Company is a guarantor, shall be reduced in an amount equal to the lesser of $500.0 million or the sum of the Company’s unrestricted cash and temporary investments, for purposes of the covenant calculation. The Company was in compliance with the Ratio at March 31, 2023.</w:t>
      </w:r>
    </w:p>
    <w:p>
      <w:pPr>
        <w:pStyle w:val="TextBody"/>
        <w:spacing w:before="0" w:after="0"/>
        <w:jc w:val="center"/>
        <w:rPr>
          <w:rFonts w:ascii="Calibri" w:hAnsi="Calibri"/>
          <w:sz w:val="22"/>
        </w:rPr>
      </w:pPr>
      <w:r>
        <w:rPr>
          <w:rFonts w:ascii="Calibri;sans-serif" w:hAnsi="Calibri;sans-serif"/>
          <w:b w:val="false"/>
          <w:sz w:val="22"/>
        </w:rPr>
        <w:t>Page 27</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120" w:after="0"/>
        <w:jc w:val="both"/>
        <w:rPr>
          <w:rFonts w:ascii="Calibri;sans-serif" w:hAnsi="Calibri;sans-serif"/>
          <w:b w:val="false"/>
          <w:sz w:val="22"/>
        </w:rPr>
      </w:pPr>
      <w:r>
        <w:rPr>
          <w:rFonts w:ascii="Calibri;sans-serif" w:hAnsi="Calibri;sans-serif"/>
          <w:b w:val="false"/>
          <w:sz w:val="22"/>
        </w:rPr>
        <w:t>In the event of a default on the Ratio, the lenders can terminate the Revolving Facility and Trade Receivable Facility and declare any outstanding balances as immediately due. There were no amounts outstanding under the Trade Receivable Facility or the Revolving Facility at March 31, 2023.</w:t>
      </w:r>
    </w:p>
    <w:p>
      <w:pPr>
        <w:pStyle w:val="TextBody"/>
        <w:spacing w:before="120" w:after="0"/>
        <w:jc w:val="both"/>
        <w:rPr>
          <w:rFonts w:ascii="Calibri;sans-serif" w:hAnsi="Calibri;sans-serif"/>
          <w:b w:val="false"/>
          <w:sz w:val="22"/>
        </w:rPr>
      </w:pPr>
      <w:r>
        <w:rPr>
          <w:rFonts w:ascii="Calibri;sans-serif" w:hAnsi="Calibri;sans-serif"/>
          <w:b w:val="false"/>
          <w:sz w:val="22"/>
        </w:rPr>
        <w:t>Cash on hand and restricted investments,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for payment of dividends for the foreseeable future and allow the repurchase of shares of the Company’s common stock. At March 31, 2023, the Company had $1.20 billion of unused borrowing capacity under its Revolving Facility and Trade Receivable Facility, subject to complying with the related leverage covenant. Historically, the Company has successfully extended the maturity dates of these credit facilities.</w:t>
      </w:r>
    </w:p>
    <w:p>
      <w:pPr>
        <w:pStyle w:val="TextBody"/>
        <w:spacing w:before="360" w:after="0"/>
        <w:jc w:val="left"/>
        <w:rPr>
          <w:rFonts w:ascii="Calibri" w:hAnsi="Calibri"/>
          <w:sz w:val="22"/>
        </w:rPr>
      </w:pPr>
      <w:r>
        <w:rPr>
          <w:rFonts w:ascii="Calibri;sans-serif" w:hAnsi="Calibri;sans-serif"/>
          <w:b w:val="false"/>
          <w:sz w:val="22"/>
        </w:rPr>
        <w:t>TRENDS AND RISKS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 outlined the risks associated with its business in its Annual Report on Form 10-K for the year ended December 31, 2022. Management continues to evaluate its exposure to all operating risks on an ongoing basis.</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On August 16, 2022, the U.S. enacted the Inflation Reduction Act of 2022, which, among other things, implements a 15% minimum tax on book income of certain large corporations, a 1% excise tax on net stock repurchases and several tax incentives to promote clean energy. Based on the Company’s current analysis of the provisions, management does not believe this legislation will have a material impact on the Company’s consolidated financial statements.</w:t>
      </w:r>
    </w:p>
    <w:p>
      <w:pPr>
        <w:pStyle w:val="TextBody"/>
        <w:spacing w:before="360" w:after="0"/>
        <w:jc w:val="left"/>
        <w:rPr>
          <w:rFonts w:ascii="Calibri" w:hAnsi="Calibri"/>
          <w:sz w:val="22"/>
        </w:rPr>
      </w:pPr>
      <w:r>
        <w:rPr>
          <w:rFonts w:ascii="Calibri;sans-serif" w:hAnsi="Calibri;sans-serif"/>
          <w:b w:val="false"/>
          <w:sz w:val="22"/>
        </w:rPr>
        <w:t>OTHER MATTERS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w:t>
      </w:r>
      <w:r>
        <w:rPr>
          <w:rFonts w:ascii="Calibri" w:hAnsi="Calibri"/>
          <w:sz w:val="22"/>
        </w:rPr>
        <w:t xml:space="preserve"> </w:t>
      </w:r>
      <w:r>
        <w:rPr>
          <w:rFonts w:ascii="Calibri;sans-serif" w:hAnsi="Calibri;sans-serif"/>
          <w:b w:val="false"/>
          <w:sz w:val="22"/>
        </w:rPr>
        <w:t>and are also available at the SEC’s website at www.sec.gov. You may also write or call the Company’s Corporate Secretary, who will provide copies of such reports.</w:t>
      </w:r>
    </w:p>
    <w:p>
      <w:pPr>
        <w:pStyle w:val="TextBody"/>
        <w:spacing w:before="120" w:after="0"/>
        <w:jc w:val="both"/>
        <w:rPr>
          <w:rFonts w:ascii="Calibri;sans-serif" w:hAnsi="Calibri;sans-serif"/>
          <w:b w:val="false"/>
          <w:sz w:val="22"/>
        </w:rPr>
      </w:pPr>
      <w:r>
        <w:rPr>
          <w:rFonts w:ascii="Calibri;sans-serif" w:hAnsi="Calibri;sans-serif"/>
          <w:b w:val="false"/>
          <w:sz w:val="22"/>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“may,” “expect,” “should,” “believe,” “project,” “intend,” “will,” and other words of similar meaning in connection with future events or future operating or financial performance. Any or all of management’s forward-looking statements here and in other publications may turn out to be wrong.</w:t>
      </w:r>
    </w:p>
    <w:p>
      <w:pPr>
        <w:pStyle w:val="TextBody"/>
        <w:spacing w:before="120" w:after="0"/>
        <w:jc w:val="both"/>
        <w:rPr>
          <w:rFonts w:ascii="Calibri" w:hAnsi="Calibri"/>
          <w:sz w:val="22"/>
        </w:rPr>
      </w:pPr>
      <w:r>
        <w:rPr>
          <w:rFonts w:ascii="Calibri;sans-serif" w:hAnsi="Calibri;sans-serif"/>
          <w:b w:val="false"/>
          <w:sz w:val="22"/>
        </w:rPr>
        <w:t>The Company’s outlook is subject to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include, but are not limited to: the ability of the Company to face challenges, including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28</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120" w:after="0"/>
        <w:jc w:val="both"/>
        <w:rPr>
          <w:rFonts w:ascii="Calibri" w:hAnsi="Calibri"/>
          <w:sz w:val="22"/>
        </w:rPr>
      </w:pPr>
      <w:r>
        <w:rPr>
          <w:rFonts w:ascii="Calibri;sans-serif" w:hAnsi="Calibri;sans-serif"/>
          <w:b w:val="false"/>
          <w:sz w:val="22"/>
        </w:rPr>
        <w:t>suspension of the federal and/or state gasoline tax(es) or other revenue related to public construction; the level and timing of federal, state or local transportation or infrastructure or public projects funding, most particularly in Texas, Colorado, North Carolina, Minnesota, California, Georgia, Arizona, Iowa, Florida and Indiana;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energy-related construction activity resulting from a sustained period of low global oil prices or changes in oil production patterns or capital spending in response to this decline, particularly in Texas and West Virginia; increasing residential mortgage rates and other factors that could result in a slowdown in residential construction; unfavorable weather conditions, particularly Atlantic Ocean, Pacific Ocean and Gulf of Mexico storm and hurricane activity, the late start to spring or the early onset of winter and the impact of a drought or excessive rainfall in the markets served by the Company, any of which can significantly affect production schedules, volumes, product and/or geographic mix and profitability; the volatility of fuel costs and energy, particularly diesel fuel, electricity, natural gas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 chain challenges; unexpected equipment failures, unscheduled maintenance, industrial accident or other prolonged and/or significant disruption to production facilities; the resiliency and potential declines of the Company’s various construction end-use markets; the potential negative impacts of a resurgence of a global health crisis such as COVID-19 and its variants; increasing governmental regulation, including environmental laws and climate change regulations; transportation availability or a sustained reduction in capital investment by the railroads, notably the availability of railcars, locomotive power and the condition of rail infrastructure to move trains to supply the Company’s Texas, Colorado, Florida, Carolinas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potential impact on costs, supply chain or other matters relating to the conflict between Russia and Ukraine; trade disputes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including acquisitions and divestitures,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You should consider these forward-looking statements in light of risk factors discussed in the Company’s Annual Report on Form 10-K for the year ended December 31, 2022 and other periodic filings made with the SEC. All of the Company’s forward-looking statements should be considered in light of these factors. In addition, other risks and uncertainties not</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29</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120" w:after="0"/>
        <w:jc w:val="both"/>
        <w:rPr>
          <w:rFonts w:ascii="Calibri;sans-serif" w:hAnsi="Calibri;sans-serif"/>
          <w:b w:val="false"/>
          <w:sz w:val="22"/>
        </w:rPr>
      </w:pPr>
      <w:r>
        <w:rPr>
          <w:rFonts w:ascii="Calibri;sans-serif" w:hAnsi="Calibri;sans-serif"/>
          <w:b w:val="false"/>
          <w:sz w:val="22"/>
        </w:rPr>
        <w:t>presently known to the Company or that the Company considers immaterial could affect the accuracy of its forward-looking statements, or adversely affect or be material to the Company. The Company assumes no obligation to update any such forward-looking statements.</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30</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80" w:after="0"/>
        <w:jc w:val="center"/>
        <w:rPr>
          <w:rFonts w:ascii="Calibri;sans-serif" w:hAnsi="Calibri;sans-serif"/>
          <w:b w:val="false"/>
          <w:sz w:val="22"/>
        </w:rPr>
      </w:pPr>
      <w:r>
        <w:rPr>
          <w:rFonts w:ascii="Calibri;sans-serif" w:hAnsi="Calibri;sans-serif"/>
          <w:b w:val="false"/>
          <w:sz w:val="22"/>
        </w:rPr>
        <w:t>MANAGEMENT’S DISCUSSION AND ANALYSIS OF FINANCIAL CONDITION AND</w:t>
      </w:r>
    </w:p>
    <w:p>
      <w:pPr>
        <w:pStyle w:val="TextBody"/>
        <w:spacing w:before="0" w:after="0"/>
        <w:jc w:val="center"/>
        <w:rPr>
          <w:rFonts w:ascii="Calibri;sans-serif" w:hAnsi="Calibri;sans-serif"/>
          <w:b w:val="false"/>
          <w:sz w:val="22"/>
        </w:rPr>
      </w:pPr>
      <w:r>
        <w:rPr>
          <w:rFonts w:ascii="Calibri;sans-serif" w:hAnsi="Calibri;sans-serif"/>
          <w:b w:val="false"/>
          <w:sz w:val="22"/>
        </w:rPr>
        <w:t>RESULTS OF OPERATIONS</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0" w:after="0"/>
        <w:jc w:val="left"/>
        <w:rPr/>
      </w:pPr>
      <w:r>
        <w:rPr/>
        <w:t> </w:t>
      </w:r>
    </w:p>
    <w:p>
      <w:pPr>
        <w:pStyle w:val="TextBody"/>
        <w:spacing w:before="360" w:after="0"/>
        <w:jc w:val="left"/>
        <w:rPr>
          <w:rFonts w:ascii="Calibri" w:hAnsi="Calibri"/>
          <w:sz w:val="22"/>
        </w:rPr>
      </w:pPr>
      <w:r>
        <w:rPr>
          <w:rFonts w:ascii="Calibri;sans-serif" w:hAnsi="Calibri;sans-serif"/>
          <w:b w:val="false"/>
          <w:sz w:val="22"/>
        </w:rPr>
        <w:t>INVESTOR ACCESS TO COMPANY FILINGS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Shareholders may obtain, without charge, a copy of Martin Marietta’s Annual Report on Form 10-K, as filed with the Securities and Exchange Commission for the fiscal year ended December 31, 2022, by writing to:</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Martin Marietta</w:t>
      </w:r>
      <w:r>
        <w:rPr>
          <w:rFonts w:ascii="Calibri" w:hAnsi="Calibri"/>
          <w:sz w:val="22"/>
        </w:rPr>
        <w:t xml:space="preserve"> </w:t>
      </w:r>
    </w:p>
    <w:p>
      <w:pPr>
        <w:pStyle w:val="TextBody"/>
        <w:spacing w:before="0" w:after="0"/>
        <w:jc w:val="both"/>
        <w:rPr>
          <w:rFonts w:ascii="Calibri" w:hAnsi="Calibri"/>
          <w:sz w:val="22"/>
        </w:rPr>
      </w:pPr>
      <w:r>
        <w:rPr>
          <w:rFonts w:ascii="Calibri;sans-serif" w:hAnsi="Calibri;sans-serif"/>
          <w:b w:val="false"/>
          <w:sz w:val="22"/>
        </w:rPr>
        <w:t>Attn: Corporate Secretary</w:t>
      </w:r>
      <w:r>
        <w:rPr>
          <w:rFonts w:ascii="Calibri" w:hAnsi="Calibri"/>
          <w:sz w:val="22"/>
        </w:rPr>
        <w:t xml:space="preserve"> </w:t>
      </w:r>
    </w:p>
    <w:p>
      <w:pPr>
        <w:pStyle w:val="TextBody"/>
        <w:spacing w:before="0" w:after="0"/>
        <w:jc w:val="both"/>
        <w:rPr>
          <w:rFonts w:ascii="Calibri" w:hAnsi="Calibri"/>
          <w:sz w:val="22"/>
        </w:rPr>
      </w:pPr>
      <w:r>
        <w:rPr>
          <w:rFonts w:ascii="Calibri;sans-serif" w:hAnsi="Calibri;sans-serif"/>
          <w:b w:val="false"/>
          <w:sz w:val="22"/>
        </w:rPr>
        <w:t>4123 Parklake Avenue</w:t>
      </w:r>
      <w:r>
        <w:rPr>
          <w:rFonts w:ascii="Calibri" w:hAnsi="Calibri"/>
          <w:sz w:val="22"/>
        </w:rPr>
        <w:t xml:space="preserve"> </w:t>
      </w:r>
    </w:p>
    <w:p>
      <w:pPr>
        <w:pStyle w:val="TextBody"/>
        <w:spacing w:before="0" w:after="0"/>
        <w:jc w:val="both"/>
        <w:rPr>
          <w:rFonts w:ascii="Calibri" w:hAnsi="Calibri"/>
          <w:sz w:val="22"/>
        </w:rPr>
      </w:pPr>
      <w:r>
        <w:rPr>
          <w:rFonts w:ascii="Calibri;sans-serif" w:hAnsi="Calibri;sans-serif"/>
          <w:b w:val="false"/>
          <w:sz w:val="22"/>
        </w:rPr>
        <w:t>Raleigh, North Carolina 27612</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Telephone: (919) 510-4736</w:t>
      </w:r>
      <w:r>
        <w:rPr>
          <w:rFonts w:ascii="Calibri" w:hAnsi="Calibri"/>
          <w:sz w:val="22"/>
        </w:rPr>
        <w:t xml:space="preserve"> </w:t>
      </w:r>
    </w:p>
    <w:p>
      <w:pPr>
        <w:pStyle w:val="TextBody"/>
        <w:spacing w:before="0" w:after="0"/>
        <w:jc w:val="both"/>
        <w:rPr>
          <w:rFonts w:ascii="Calibri" w:hAnsi="Calibri"/>
          <w:sz w:val="22"/>
        </w:rPr>
      </w:pPr>
      <w:r>
        <w:rPr>
          <w:rFonts w:ascii="Calibri;sans-serif" w:hAnsi="Calibri;sans-serif"/>
          <w:b w:val="false"/>
          <w:sz w:val="22"/>
        </w:rPr>
        <w:t>Website address: www.martinmarietta.com</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Information included on the Company’s website is not incorporated into, or otherwise creates a part of, this report.</w:t>
      </w:r>
      <w:r>
        <w:rPr>
          <w:rFonts w:ascii="Calibri" w:hAnsi="Calibri"/>
          <w:sz w:val="22"/>
        </w:rPr>
        <w:t xml:space="preserve"> </w:t>
      </w:r>
    </w:p>
    <w:p>
      <w:pPr>
        <w:pStyle w:val="TextBody"/>
        <w:spacing w:before="0" w:after="0"/>
        <w:jc w:val="both"/>
        <w:rPr/>
      </w:pPr>
      <w:r>
        <w:rPr/>
        <w:t> </w:t>
      </w:r>
    </w:p>
    <w:p>
      <w:pPr>
        <w:pStyle w:val="TextBody"/>
        <w:spacing w:before="0" w:after="0"/>
        <w:jc w:val="center"/>
        <w:rPr>
          <w:rFonts w:ascii="Calibri" w:hAnsi="Calibri"/>
          <w:sz w:val="22"/>
        </w:rPr>
      </w:pPr>
      <w:r>
        <w:rPr>
          <w:rFonts w:ascii="Calibri;sans-serif" w:hAnsi="Calibri;sans-serif"/>
          <w:b w:val="false"/>
          <w:sz w:val="22"/>
        </w:rPr>
        <w:t>Page 31</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360" w:after="0"/>
        <w:jc w:val="left"/>
        <w:rPr>
          <w:rFonts w:ascii="Calibri" w:hAnsi="Calibri"/>
          <w:sz w:val="22"/>
        </w:rPr>
      </w:pPr>
      <w:bookmarkStart w:id="9" w:name="item_3_quantitative_and_qualitative"/>
      <w:bookmarkEnd w:id="9"/>
      <w:r>
        <w:rPr>
          <w:rFonts w:ascii="Calibri;sans-serif" w:hAnsi="Calibri;sans-serif"/>
          <w:b w:val="false"/>
          <w:sz w:val="22"/>
        </w:rPr>
        <w:t>Item 3. Quantitative and Qualitative Disclosures About Market Risk.</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Company’s operations are highly dependent upon the interest rate-sensitive construction and steelmaking industries. Consequently, these marketplaces could experience lower levels of economic activity in an environment of rising interest rates or escalating costs.</w:t>
      </w:r>
      <w:r>
        <w:rPr>
          <w:rFonts w:ascii="Calibri" w:hAnsi="Calibri"/>
          <w:sz w:val="22"/>
        </w:rPr>
        <w:t xml:space="preserve"> </w:t>
      </w:r>
    </w:p>
    <w:p>
      <w:pPr>
        <w:pStyle w:val="TextBody"/>
        <w:spacing w:before="120" w:after="0"/>
        <w:jc w:val="both"/>
        <w:rPr>
          <w:rFonts w:ascii="Calibri;sans-serif" w:hAnsi="Calibri;sans-serif"/>
          <w:b w:val="false"/>
          <w:sz w:val="22"/>
        </w:rPr>
      </w:pPr>
      <w:r>
        <w:rPr>
          <w:rFonts w:ascii="Calibri;sans-serif" w:hAnsi="Calibri;sans-serif"/>
          <w:b w:val="false"/>
          <w:sz w:val="22"/>
        </w:rPr>
        <w:t>Management has considered the current economic environment and its potential impact to the Company's business. Demand for aggregates products, particularly in the infrastructure construction market, is affected by federal, state and local budget and deficit issues. Further, delays or cancellations of capital projects in the nonresidential and residential construction markets could occur if companies and consumers are unable to obtain affordable financing for construction projects or if consumer confidence is eroded by economic uncertainty.</w:t>
      </w:r>
    </w:p>
    <w:p>
      <w:pPr>
        <w:pStyle w:val="TextBody"/>
        <w:spacing w:before="120" w:after="0"/>
        <w:jc w:val="both"/>
        <w:rPr>
          <w:rFonts w:ascii="Calibri" w:hAnsi="Calibri"/>
          <w:sz w:val="22"/>
        </w:rPr>
      </w:pPr>
      <w:r>
        <w:rPr>
          <w:rFonts w:ascii="Calibri;sans-serif" w:hAnsi="Calibri;sans-serif"/>
          <w:b w:val="false"/>
          <w:sz w:val="22"/>
        </w:rPr>
        <w:t>Demand in the nonresidential and residential construction markets, which combined accounted for 63% of aggregates shipments for the three months ended March 31, 2023, is affected by interest rates. During the three months ended March 31, 2023, the Federal Reserve raised the target federal funds rate 50 basis points.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Aside from these inherent risks from within its operations, the Company’s earnings are also affected by changes in short-term interest rates and changes in enacted tax laws.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i/>
          <w:sz w:val="22"/>
        </w:rPr>
        <w:t xml:space="preserve">Variable-Rate Borrowing Facilities. </w:t>
      </w:r>
      <w:r>
        <w:rPr>
          <w:rFonts w:ascii="Calibri;sans-serif" w:hAnsi="Calibri;sans-serif"/>
          <w:b w:val="false"/>
          <w:sz w:val="22"/>
        </w:rPr>
        <w:t>At March 31, 2023, the Company had an $800.0 million Revolving Facility and a $400.0 million Trade Receivable Facility. Borrowings under these facilities bear interest at a variable interest rate. There were no borrowings outstanding on either facility at March 31, 2023. However, any future borrowings under the credit facilities or outstanding variable-rate debt are exposed to interest rate risk.</w:t>
      </w:r>
    </w:p>
    <w:p>
      <w:pPr>
        <w:pStyle w:val="TextBody"/>
        <w:spacing w:before="120" w:after="0"/>
        <w:jc w:val="both"/>
        <w:rPr>
          <w:rFonts w:ascii="Calibri" w:hAnsi="Calibri"/>
          <w:sz w:val="22"/>
        </w:rPr>
      </w:pPr>
      <w:r>
        <w:rPr>
          <w:rFonts w:ascii="Calibri;sans-serif" w:hAnsi="Calibri;sans-serif"/>
          <w:b w:val="false"/>
          <w:i/>
          <w:sz w:val="22"/>
        </w:rPr>
        <w:t xml:space="preserve">Pension Expense. </w:t>
      </w:r>
      <w:r>
        <w:rPr>
          <w:rFonts w:ascii="Calibri;sans-serif" w:hAnsi="Calibri;sans-serif"/>
          <w:b w:val="false"/>
          <w:sz w:val="22"/>
        </w:rPr>
        <w:t>The Company’s results of operations are affected by its pension expense. Assumptions that affect pension expense include 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2022.</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i/>
          <w:sz w:val="22"/>
        </w:rPr>
        <w:t xml:space="preserve">Income Tax. </w:t>
      </w:r>
      <w:r>
        <w:rPr>
          <w:rFonts w:ascii="Calibri;sans-serif" w:hAnsi="Calibri;sans-serif"/>
          <w:b w:val="false"/>
          <w:sz w:val="22"/>
        </w:rPr>
        <w:t>Any changes in enacted tax laws, rules or regulatory or judicial interpretations, or any change in the pronouncements relating to accounting for income taxes could materially impact the Company’s effective tax rate, tax payments, financial condition and results of operations.</w:t>
      </w:r>
    </w:p>
    <w:p>
      <w:pPr>
        <w:pStyle w:val="TextBody"/>
        <w:spacing w:before="120" w:after="0"/>
        <w:jc w:val="both"/>
        <w:rPr>
          <w:rFonts w:ascii="Calibri" w:hAnsi="Calibri"/>
          <w:sz w:val="22"/>
        </w:rPr>
      </w:pPr>
      <w:r>
        <w:rPr>
          <w:rFonts w:ascii="Calibri;sans-serif" w:hAnsi="Calibri;sans-serif"/>
          <w:b w:val="false"/>
          <w:i/>
          <w:sz w:val="22"/>
        </w:rPr>
        <w:t>Energy Costs</w:t>
      </w:r>
      <w:r>
        <w:rPr>
          <w:rFonts w:ascii="Calibri;sans-serif" w:hAnsi="Calibri;sans-serif"/>
          <w:b w:val="false"/>
          <w:sz w:val="22"/>
        </w:rPr>
        <w:t>. Energy costs, including diesel fuel, natural gas, electricity, coal, petroleum coke and liquid asphalt, represent significant production costs of the Company. The Company may be unable to pass along increases in the costs of energy to customers in the form of price increases for the Company’s products. The cement product line and Magnesia Specialties business each have varying fixed-price agreements for a portion of their 2023 energy requirements. A hypothetical 10% change in the Company’s energy prices in 2023 as compared with 2022, assuming constant volumes, would change 2023 energy expense by $50.0 million.</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i/>
          <w:sz w:val="22"/>
        </w:rPr>
        <w:t xml:space="preserve">Commodity Risk. </w:t>
      </w:r>
      <w:r>
        <w:rPr>
          <w:rFonts w:ascii="Calibri;sans-serif" w:hAnsi="Calibri;sans-serif"/>
          <w:b w:val="false"/>
          <w:sz w:val="22"/>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product prices will not decline in the future or that such declines will not have a material adverse effect on the Company’s business, financial condition and results of operations. Assuming full-year 2022 cement product revenues of $602.3 million, a hypothetical 10% change in the average selling price of the cement product line would impact full-year cement product revenues by $60.2 million.</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Cement is a key raw material in the production of ready mixed concrete. The Company may be unable to pass along increases in the costs of cement and raw materials to customers in the form of price increases for the Company’s products.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Page 32</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120" w:after="0"/>
        <w:jc w:val="both"/>
        <w:rPr>
          <w:rFonts w:ascii="Calibri;sans-serif" w:hAnsi="Calibri;sans-serif"/>
          <w:b w:val="false"/>
          <w:sz w:val="22"/>
        </w:rPr>
      </w:pPr>
      <w:r>
        <w:rPr>
          <w:rFonts w:ascii="Calibri;sans-serif" w:hAnsi="Calibri;sans-serif"/>
          <w:b w:val="false"/>
          <w:sz w:val="22"/>
        </w:rPr>
        <w:t>A hypothetical 10% change in cement costs in 2023 compared with 2022, assuming constant volumes, would change the ready mixed concrete product line cost of sales by $26.2 million. While increases in cement pricing may negatively impact the profitability of the ready mixed concrete operations, the cement business would benefit, although the positive impact may not reflect a direct correlation to the impact on the ready mixed concrete business.</w:t>
      </w:r>
    </w:p>
    <w:p>
      <w:pPr>
        <w:pStyle w:val="TextBody"/>
        <w:spacing w:before="360" w:after="0"/>
        <w:jc w:val="left"/>
        <w:rPr>
          <w:rFonts w:ascii="Calibri" w:hAnsi="Calibri"/>
          <w:sz w:val="22"/>
        </w:rPr>
      </w:pPr>
      <w:bookmarkStart w:id="10" w:name="item_4_controls_and_procedures"/>
      <w:bookmarkEnd w:id="10"/>
      <w:r>
        <w:rPr>
          <w:rFonts w:ascii="Calibri;sans-serif" w:hAnsi="Calibri;sans-serif"/>
          <w:b w:val="false"/>
          <w:sz w:val="22"/>
        </w:rPr>
        <w:t>Item 4. Controls and Procedures.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i/>
          <w:sz w:val="22"/>
        </w:rPr>
        <w:t xml:space="preserve">Evaluation of Disclosure Controls and Procedures. </w:t>
      </w:r>
      <w:r>
        <w:rPr>
          <w:rFonts w:ascii="Calibri;sans-serif" w:hAnsi="Calibri;sans-serif"/>
          <w:b w:val="false"/>
          <w:sz w:val="22"/>
        </w:rPr>
        <w:t>As of March 31, 2023, an evaluation was performed under the 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March 31, 2023. There were no changes in the Company’s internal control over financial reporting during the most recently completed fiscal quarter that materially affected, or are reasonably likely to materially affect, the Company’s internal control over financial reporting.</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Calibri" w:hAnsi="Calibri"/>
          <w:sz w:val="22"/>
        </w:rPr>
      </w:pPr>
      <w:r>
        <w:rPr>
          <w:rFonts w:ascii="Calibri;sans-serif" w:hAnsi="Calibri;sans-serif"/>
          <w:b w:val="false"/>
          <w:sz w:val="22"/>
        </w:rPr>
        <w:t>Page 33</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0" w:after="0"/>
        <w:jc w:val="center"/>
        <w:rPr>
          <w:rFonts w:ascii="Calibri;sans-serif" w:hAnsi="Calibri;sans-serif"/>
          <w:b w:val="false"/>
          <w:sz w:val="22"/>
        </w:rPr>
      </w:pPr>
      <w:r>
        <w:rPr>
          <w:rFonts w:ascii="Calibri;sans-serif" w:hAnsi="Calibri;sans-serif"/>
          <w:b w:val="false"/>
          <w:sz w:val="22"/>
        </w:rPr>
        <w:t>PART II. OTHER INFORMATION</w:t>
      </w:r>
    </w:p>
    <w:p>
      <w:pPr>
        <w:pStyle w:val="TextBody"/>
        <w:spacing w:before="0" w:after="0"/>
        <w:jc w:val="both"/>
        <w:rPr/>
      </w:pPr>
      <w:r>
        <w:rPr/>
        <w:t> </w:t>
      </w:r>
    </w:p>
    <w:p>
      <w:pPr>
        <w:pStyle w:val="TextBody"/>
        <w:spacing w:before="240" w:after="0"/>
        <w:jc w:val="left"/>
        <w:rPr>
          <w:rFonts w:ascii="Calibri" w:hAnsi="Calibri"/>
          <w:sz w:val="22"/>
        </w:rPr>
      </w:pPr>
      <w:bookmarkStart w:id="11" w:name="item_1_legal_proceedings"/>
      <w:bookmarkEnd w:id="11"/>
      <w:r>
        <w:rPr>
          <w:rFonts w:ascii="Calibri;sans-serif" w:hAnsi="Calibri;sans-serif"/>
          <w:b w:val="false"/>
          <w:sz w:val="22"/>
          <w:u w:val="single"/>
        </w:rPr>
        <w:t>Item 1. Legal Proceedings.</w:t>
      </w:r>
      <w:r>
        <w:rPr>
          <w:rFonts w:ascii="Calibri" w:hAnsi="Calibri"/>
          <w:sz w:val="22"/>
        </w:rPr>
        <w:t xml:space="preserve"> </w:t>
      </w:r>
    </w:p>
    <w:p>
      <w:pPr>
        <w:pStyle w:val="TextBody"/>
        <w:spacing w:before="120" w:after="0"/>
        <w:jc w:val="both"/>
        <w:rPr/>
      </w:pPr>
      <w:r>
        <w:rPr>
          <w:rFonts w:ascii="Calibri;sans-serif" w:hAnsi="Calibri;sans-serif"/>
          <w:b w:val="false"/>
          <w:sz w:val="22"/>
        </w:rPr>
        <w:t xml:space="preserve">See </w:t>
      </w:r>
      <w:hyperlink w:anchor="note8_commitments_and_contingencies">
        <w:r>
          <w:rPr>
            <w:rStyle w:val="InternetLink"/>
            <w:rFonts w:ascii="Calibri;sans-serif" w:hAnsi="Calibri;sans-serif"/>
            <w:b w:val="false"/>
            <w:sz w:val="22"/>
            <w:u w:val="single"/>
          </w:rPr>
          <w:t>Note 8 Commitments and Contingencies, Legal and Administrative Proceedings</w:t>
        </w:r>
      </w:hyperlink>
      <w:r>
        <w:rPr>
          <w:rFonts w:ascii="Calibri;sans-serif" w:hAnsi="Calibri;sans-serif"/>
          <w:b w:val="false"/>
          <w:i/>
          <w:sz w:val="22"/>
        </w:rPr>
        <w:t xml:space="preserve">, </w:t>
      </w:r>
      <w:r>
        <w:rPr>
          <w:rFonts w:ascii="Calibri;sans-serif" w:hAnsi="Calibri;sans-serif"/>
          <w:b w:val="false"/>
          <w:sz w:val="22"/>
        </w:rPr>
        <w:t>of this Form 10-Q.</w:t>
      </w:r>
      <w:r>
        <w:rPr>
          <w:rFonts w:ascii="Calibri" w:hAnsi="Calibri"/>
          <w:sz w:val="22"/>
        </w:rPr>
        <w:t xml:space="preserve"> </w:t>
      </w:r>
    </w:p>
    <w:p>
      <w:pPr>
        <w:pStyle w:val="TextBody"/>
        <w:spacing w:before="240" w:after="0"/>
        <w:jc w:val="left"/>
        <w:rPr>
          <w:rFonts w:ascii="Calibri" w:hAnsi="Calibri"/>
          <w:sz w:val="22"/>
        </w:rPr>
      </w:pPr>
      <w:bookmarkStart w:id="12" w:name="item_1a_risk_factors"/>
      <w:bookmarkEnd w:id="12"/>
      <w:r>
        <w:rPr>
          <w:rFonts w:ascii="Calibri;sans-serif" w:hAnsi="Calibri;sans-serif"/>
          <w:b w:val="false"/>
          <w:sz w:val="22"/>
          <w:u w:val="single"/>
        </w:rPr>
        <w:t>Item 1A. Risk Factors.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 xml:space="preserve">Reference is made to </w:t>
      </w:r>
      <w:r>
        <w:rPr>
          <w:rFonts w:ascii="Calibri;sans-serif" w:hAnsi="Calibri;sans-serif"/>
          <w:b w:val="false"/>
          <w:i/>
          <w:sz w:val="22"/>
        </w:rPr>
        <w:t xml:space="preserve">Part I. Item 1A. Risk Factors and Forward-Looking Statements </w:t>
      </w:r>
      <w:r>
        <w:rPr>
          <w:rFonts w:ascii="Calibri;sans-serif" w:hAnsi="Calibri;sans-serif"/>
          <w:b w:val="false"/>
          <w:sz w:val="22"/>
        </w:rPr>
        <w:t>of the Martin Marietta Annual Report on Form 10-K for the year ended December 31, 2022.</w:t>
      </w:r>
      <w:r>
        <w:rPr>
          <w:rFonts w:ascii="Calibri" w:hAnsi="Calibri"/>
          <w:sz w:val="22"/>
        </w:rPr>
        <w:t xml:space="preserve"> </w:t>
      </w:r>
    </w:p>
    <w:p>
      <w:pPr>
        <w:pStyle w:val="TextBody"/>
        <w:spacing w:before="240" w:after="0"/>
        <w:jc w:val="left"/>
        <w:rPr>
          <w:rFonts w:ascii="Calibri" w:hAnsi="Calibri"/>
          <w:sz w:val="22"/>
        </w:rPr>
      </w:pPr>
      <w:bookmarkStart w:id="13" w:name="item_2_unregistered_sales_of_equity"/>
      <w:bookmarkEnd w:id="13"/>
      <w:r>
        <w:rPr>
          <w:rFonts w:ascii="Calibri;sans-serif" w:hAnsi="Calibri;sans-serif"/>
          <w:b w:val="false"/>
          <w:sz w:val="22"/>
          <w:u w:val="single"/>
        </w:rPr>
        <w:t>Item 2. Unregistered Sales of Equity Securities and Use of Proceeds.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ISSUER PURCHASES OF EQUITY SECURITIES</w:t>
      </w:r>
      <w:r>
        <w:rPr>
          <w:rFonts w:ascii="Calibri" w:hAnsi="Calibri"/>
          <w:sz w:val="22"/>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800"/>
        <w:gridCol w:w="146"/>
        <w:gridCol w:w="221"/>
        <w:gridCol w:w="1190"/>
        <w:gridCol w:w="146"/>
        <w:gridCol w:w="146"/>
        <w:gridCol w:w="286"/>
        <w:gridCol w:w="916"/>
        <w:gridCol w:w="146"/>
        <w:gridCol w:w="146"/>
        <w:gridCol w:w="298"/>
        <w:gridCol w:w="1521"/>
        <w:gridCol w:w="146"/>
        <w:gridCol w:w="146"/>
        <w:gridCol w:w="216"/>
        <w:gridCol w:w="1539"/>
        <w:gridCol w:w="196"/>
      </w:tblGrid>
      <w:tr>
        <w:trPr/>
        <w:tc>
          <w:tcPr>
            <w:tcW w:w="28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8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9"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Total Number of Shares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5"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Maximum Number of</w:t>
            </w:r>
          </w:p>
        </w:tc>
        <w:tc>
          <w:tcPr>
            <w:tcW w:w="196" w:type="dxa"/>
            <w:tcBorders/>
            <w:shd w:fill="auto" w:val="clear"/>
            <w:vAlign w:val="center"/>
          </w:tcPr>
          <w:p>
            <w:pPr>
              <w:pStyle w:val="TableContents"/>
              <w:spacing w:before="0" w:after="0"/>
              <w:ind w:left="0" w:right="0" w:hanging="0"/>
              <w:jc w:val="center"/>
              <w:rPr/>
            </w:pPr>
            <w:r>
              <w:rPr/>
              <w:t> </w:t>
            </w:r>
          </w:p>
        </w:tc>
      </w:tr>
      <w:tr>
        <w:trPr/>
        <w:tc>
          <w:tcPr>
            <w:tcW w:w="28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9"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Purchased as Part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5"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Shares that May Yet</w:t>
            </w:r>
          </w:p>
        </w:tc>
        <w:tc>
          <w:tcPr>
            <w:tcW w:w="196" w:type="dxa"/>
            <w:tcBorders/>
            <w:shd w:fill="auto" w:val="clear"/>
            <w:vAlign w:val="center"/>
          </w:tcPr>
          <w:p>
            <w:pPr>
              <w:pStyle w:val="TableContents"/>
              <w:spacing w:before="0" w:after="0"/>
              <w:ind w:left="0" w:right="0" w:hanging="0"/>
              <w:jc w:val="center"/>
              <w:rPr/>
            </w:pPr>
            <w:r>
              <w:rPr/>
              <w:t> </w:t>
            </w:r>
          </w:p>
        </w:tc>
      </w:tr>
      <w:tr>
        <w:trPr/>
        <w:tc>
          <w:tcPr>
            <w:tcW w:w="28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1"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Total 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2"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Average Price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9"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Publicly Announced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5" w:type="dxa"/>
            <w:gridSpan w:val="2"/>
            <w:tcBorders/>
            <w:shd w:fill="auto" w:val="cle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be Purchased Under</w:t>
            </w:r>
          </w:p>
        </w:tc>
        <w:tc>
          <w:tcPr>
            <w:tcW w:w="196" w:type="dxa"/>
            <w:tcBorders/>
            <w:shd w:fill="auto" w:val="clear"/>
            <w:vAlign w:val="center"/>
          </w:tcPr>
          <w:p>
            <w:pPr>
              <w:pStyle w:val="TableContents"/>
              <w:spacing w:before="0" w:after="0"/>
              <w:ind w:left="0" w:right="0" w:hanging="0"/>
              <w:jc w:val="center"/>
              <w:rPr/>
            </w:pPr>
            <w:r>
              <w:rPr/>
              <w:t> </w:t>
            </w:r>
          </w:p>
        </w:tc>
      </w:tr>
      <w:tr>
        <w:trPr/>
        <w:tc>
          <w:tcPr>
            <w:tcW w:w="28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Plans 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the Plans or Programs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January 1, 2023 - January 31, 2023</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15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539"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13,102,616</w:t>
            </w:r>
          </w:p>
        </w:tc>
        <w:tc>
          <w:tcPr>
            <w:tcW w:w="196" w:type="dxa"/>
            <w:tcBorders/>
            <w:shd w:fill="auto" w:val="clear"/>
            <w:vAlign w:val="center"/>
          </w:tcPr>
          <w:p>
            <w:pPr>
              <w:pStyle w:val="TableContents"/>
              <w:spacing w:before="0" w:after="0"/>
              <w:ind w:left="0" w:right="0" w:hanging="0"/>
              <w:jc w:val="left"/>
              <w:rPr/>
            </w:pPr>
            <w:r>
              <w:rPr/>
              <w:t> </w:t>
            </w:r>
          </w:p>
        </w:tc>
      </w:tr>
      <w:tr>
        <w:trPr/>
        <w:tc>
          <w:tcPr>
            <w:tcW w:w="28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February 1, 2023 - February 28, 2023</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203,770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368.06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152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203,770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539"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12,898,846</w:t>
            </w:r>
          </w:p>
        </w:tc>
        <w:tc>
          <w:tcPr>
            <w:tcW w:w="196" w:type="dxa"/>
            <w:tcBorders/>
            <w:shd w:fill="auto" w:val="clear"/>
            <w:vAlign w:val="center"/>
          </w:tcPr>
          <w:p>
            <w:pPr>
              <w:pStyle w:val="TableContents"/>
              <w:spacing w:before="0" w:after="0"/>
              <w:ind w:left="0" w:right="0" w:hanging="0"/>
              <w:jc w:val="left"/>
              <w:rPr/>
            </w:pPr>
            <w:r>
              <w:rPr/>
              <w:t> </w:t>
            </w:r>
          </w:p>
        </w:tc>
      </w:tr>
      <w:tr>
        <w:trPr/>
        <w:tc>
          <w:tcPr>
            <w:tcW w:w="28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March 1, 2023 - March 31, 2023</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15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539"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12,898,846</w:t>
            </w:r>
          </w:p>
        </w:tc>
        <w:tc>
          <w:tcPr>
            <w:tcW w:w="196" w:type="dxa"/>
            <w:tcBorders/>
            <w:shd w:fill="auto" w:val="clear"/>
            <w:vAlign w:val="center"/>
          </w:tcPr>
          <w:p>
            <w:pPr>
              <w:pStyle w:val="TableContents"/>
              <w:spacing w:before="0" w:after="0"/>
              <w:ind w:left="0" w:right="0" w:hanging="0"/>
              <w:jc w:val="left"/>
              <w:rPr/>
            </w:pPr>
            <w:r>
              <w:rPr/>
              <w:t> </w:t>
            </w:r>
          </w:p>
        </w:tc>
      </w:tr>
      <w:tr>
        <w:trPr/>
        <w:tc>
          <w:tcPr>
            <w:tcW w:w="28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9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203,770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5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203,770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5" w:type="dxa"/>
            <w:gridSpan w:val="2"/>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Calibri" w:hAnsi="Calibri"/>
          <w:sz w:val="22"/>
        </w:rPr>
      </w:pPr>
      <w:r>
        <w:rPr>
          <w:rFonts w:ascii="Calibri;sans-serif" w:hAnsi="Calibri;sans-serif"/>
          <w:b w:val="false"/>
          <w:sz w:val="22"/>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r>
        <w:rPr>
          <w:rFonts w:ascii="Calibri" w:hAnsi="Calibri"/>
          <w:sz w:val="22"/>
        </w:rPr>
        <w:t xml:space="preserve"> </w:t>
      </w:r>
    </w:p>
    <w:p>
      <w:pPr>
        <w:pStyle w:val="TextBody"/>
        <w:spacing w:before="240" w:after="0"/>
        <w:jc w:val="left"/>
        <w:rPr>
          <w:rFonts w:ascii="Calibri" w:hAnsi="Calibri"/>
          <w:sz w:val="22"/>
        </w:rPr>
      </w:pPr>
      <w:bookmarkStart w:id="14" w:name="item_4_mine_safety_disclosure"/>
      <w:bookmarkEnd w:id="14"/>
      <w:r>
        <w:rPr>
          <w:rFonts w:ascii="Calibri;sans-serif" w:hAnsi="Calibri;sans-serif"/>
          <w:b w:val="false"/>
          <w:sz w:val="22"/>
          <w:u w:val="single"/>
        </w:rPr>
        <w:t>Item 4. Mine Safety Disclosures.</w:t>
      </w:r>
      <w:r>
        <w:rPr>
          <w:rFonts w:ascii="Calibri" w:hAnsi="Calibri"/>
          <w:sz w:val="22"/>
        </w:rPr>
        <w:t xml:space="preserve"> </w:t>
      </w:r>
    </w:p>
    <w:p>
      <w:pPr>
        <w:pStyle w:val="TextBody"/>
        <w:spacing w:before="120" w:after="0"/>
        <w:jc w:val="both"/>
        <w:rPr>
          <w:rFonts w:ascii="Calibri" w:hAnsi="Calibri"/>
          <w:sz w:val="22"/>
        </w:rPr>
      </w:pPr>
      <w:r>
        <w:rPr>
          <w:rFonts w:ascii="Calibri;sans-serif" w:hAnsi="Calibri;sans-serif"/>
          <w:b w:val="false"/>
          <w:sz w:val="22"/>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r>
        <w:rPr>
          <w:rFonts w:ascii="Calibri" w:hAnsi="Calibri"/>
          <w:sz w:val="22"/>
        </w:rPr>
        <w:t xml:space="preserve"> </w:t>
      </w:r>
    </w:p>
    <w:p>
      <w:pPr>
        <w:pStyle w:val="TextBody"/>
        <w:spacing w:before="240" w:after="0"/>
        <w:jc w:val="left"/>
        <w:rPr/>
      </w:pPr>
      <w:r>
        <w:rPr/>
        <w:t> </w:t>
      </w:r>
    </w:p>
    <w:p>
      <w:pPr>
        <w:pStyle w:val="TextBody"/>
        <w:spacing w:before="240" w:after="0"/>
        <w:jc w:val="left"/>
        <w:rPr/>
      </w:pPr>
      <w:r>
        <w:rPr/>
        <w:t> </w:t>
      </w:r>
    </w:p>
    <w:p>
      <w:pPr>
        <w:pStyle w:val="TextBody"/>
        <w:spacing w:before="0" w:after="0"/>
        <w:jc w:val="left"/>
        <w:rPr/>
      </w:pPr>
      <w:r>
        <w:rPr/>
        <w:t> </w:t>
      </w:r>
    </w:p>
    <w:p>
      <w:pPr>
        <w:pStyle w:val="TextBody"/>
        <w:spacing w:before="0" w:after="0"/>
        <w:jc w:val="center"/>
        <w:rPr>
          <w:rFonts w:ascii="Calibri" w:hAnsi="Calibri"/>
          <w:sz w:val="22"/>
        </w:rPr>
      </w:pPr>
      <w:r>
        <w:rPr>
          <w:rFonts w:ascii="Calibri;sans-serif" w:hAnsi="Calibri;sans-serif"/>
          <w:b w:val="false"/>
          <w:sz w:val="22"/>
        </w:rPr>
        <w:t>Page 34</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center"/>
        <w:rPr>
          <w:rFonts w:ascii="Calibri" w:hAnsi="Calibri"/>
          <w:sz w:val="22"/>
        </w:rPr>
      </w:pPr>
      <w:r>
        <w:rPr>
          <w:rFonts w:ascii="Calibri;sans-serif" w:hAnsi="Calibri;sans-serif"/>
          <w:b w:val="false"/>
          <w:sz w:val="22"/>
        </w:rPr>
        <w:t>MARTIN MARIETTA MATERIALS, INC. AND CONSOLIDATED SUBSIDIARIES</w:t>
      </w:r>
      <w:r>
        <w:rPr>
          <w:rFonts w:ascii="Calibri" w:hAnsi="Calibri"/>
          <w:sz w:val="22"/>
        </w:rPr>
        <w:t xml:space="preserve"> </w:t>
      </w:r>
    </w:p>
    <w:p>
      <w:pPr>
        <w:pStyle w:val="TextBody"/>
        <w:spacing w:before="0" w:after="0"/>
        <w:jc w:val="center"/>
        <w:rPr>
          <w:rFonts w:ascii="Calibri" w:hAnsi="Calibri"/>
          <w:sz w:val="22"/>
        </w:rPr>
      </w:pPr>
      <w:r>
        <w:rPr>
          <w:rFonts w:ascii="Calibri;sans-serif" w:hAnsi="Calibri;sans-serif"/>
          <w:b w:val="false"/>
          <w:sz w:val="22"/>
        </w:rPr>
        <w:t>FORM 10-Q</w:t>
      </w:r>
      <w:r>
        <w:rPr>
          <w:rFonts w:ascii="Calibri" w:hAnsi="Calibri"/>
          <w:sz w:val="22"/>
        </w:rPr>
        <w:t xml:space="preserve"> </w:t>
      </w:r>
    </w:p>
    <w:p>
      <w:pPr>
        <w:pStyle w:val="TextBody"/>
        <w:spacing w:before="0" w:after="0"/>
        <w:jc w:val="center"/>
        <w:rPr>
          <w:rFonts w:ascii="Calibri;sans-serif" w:hAnsi="Calibri;sans-serif"/>
          <w:b w:val="false"/>
          <w:sz w:val="22"/>
        </w:rPr>
      </w:pPr>
      <w:r>
        <w:rPr>
          <w:rFonts w:ascii="Calibri;sans-serif" w:hAnsi="Calibri;sans-serif"/>
          <w:b w:val="false"/>
          <w:sz w:val="22"/>
        </w:rPr>
        <w:t>For the Quarter Ended March 31, 2023</w:t>
      </w:r>
    </w:p>
    <w:p>
      <w:pPr>
        <w:pStyle w:val="TextBody"/>
        <w:spacing w:before="0" w:after="0"/>
        <w:jc w:val="center"/>
        <w:rPr>
          <w:rFonts w:ascii="Calibri;sans-serif" w:hAnsi="Calibri;sans-serif"/>
          <w:b w:val="false"/>
          <w:sz w:val="22"/>
        </w:rPr>
      </w:pPr>
      <w:r>
        <w:rPr>
          <w:rFonts w:ascii="Calibri;sans-serif" w:hAnsi="Calibri;sans-serif"/>
          <w:b w:val="false"/>
          <w:sz w:val="22"/>
        </w:rPr>
        <w:t>PART II. OTHER INFORMATION</w:t>
      </w:r>
    </w:p>
    <w:p>
      <w:pPr>
        <w:pStyle w:val="TextBody"/>
        <w:spacing w:before="0" w:after="0"/>
        <w:jc w:val="center"/>
        <w:rPr>
          <w:rFonts w:ascii="Calibri;sans-serif" w:hAnsi="Calibri;sans-serif"/>
          <w:b w:val="false"/>
          <w:sz w:val="22"/>
        </w:rPr>
      </w:pPr>
      <w:r>
        <w:rPr>
          <w:rFonts w:ascii="Calibri;sans-serif" w:hAnsi="Calibri;sans-serif"/>
          <w:b w:val="false"/>
          <w:sz w:val="22"/>
        </w:rPr>
        <w:t>(Continued)</w:t>
      </w:r>
    </w:p>
    <w:p>
      <w:pPr>
        <w:pStyle w:val="TextBody"/>
        <w:spacing w:before="240" w:after="0"/>
        <w:jc w:val="left"/>
        <w:rPr>
          <w:rFonts w:ascii="Calibri" w:hAnsi="Calibri"/>
          <w:sz w:val="22"/>
        </w:rPr>
      </w:pPr>
      <w:bookmarkStart w:id="15" w:name="item_6_exhibits"/>
      <w:bookmarkEnd w:id="15"/>
      <w:r>
        <w:rPr>
          <w:rFonts w:ascii="Calibri;sans-serif" w:hAnsi="Calibri;sans-serif"/>
          <w:b w:val="false"/>
          <w:sz w:val="22"/>
          <w:u w:val="single"/>
        </w:rPr>
        <w:t>Item 6. Exhibits.</w:t>
      </w:r>
      <w:r>
        <w:rPr>
          <w:rFonts w:ascii="Calibri" w:hAnsi="Calibri"/>
          <w:sz w:val="22"/>
        </w:rPr>
        <w:t xml:space="preserve"> </w:t>
      </w:r>
    </w:p>
    <w:tbl>
      <w:tblPr>
        <w:tblW w:w="10205" w:type="dxa"/>
        <w:jc w:val="left"/>
        <w:tblInd w:w="0" w:type="dxa"/>
        <w:tblCellMar>
          <w:top w:w="28" w:type="dxa"/>
          <w:left w:w="28" w:type="dxa"/>
          <w:bottom w:w="28" w:type="dxa"/>
          <w:right w:w="28" w:type="dxa"/>
        </w:tblCellMar>
      </w:tblPr>
      <w:tblGrid>
        <w:gridCol w:w="902"/>
        <w:gridCol w:w="146"/>
        <w:gridCol w:w="9157"/>
      </w:tblGrid>
      <w:tr>
        <w:trPr/>
        <w:tc>
          <w:tcPr>
            <w:tcW w:w="9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57" w:type="dxa"/>
            <w:tcBorders/>
            <w:shd w:fill="auto" w:val="clear"/>
            <w:vAlign w:val="center"/>
          </w:tcPr>
          <w:p>
            <w:pPr>
              <w:pStyle w:val="TableContents"/>
              <w:spacing w:before="0" w:after="283"/>
              <w:rPr>
                <w:sz w:val="4"/>
                <w:szCs w:val="4"/>
              </w:rPr>
            </w:pPr>
            <w:r>
              <w:rPr>
                <w:sz w:val="4"/>
                <w:szCs w:val="4"/>
              </w:rPr>
            </w:r>
          </w:p>
        </w:tc>
      </w:tr>
      <w:tr>
        <w:trPr/>
        <w:tc>
          <w:tcPr>
            <w:tcW w:w="902"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Exhibit No.</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Calibri;sans-serif" w:hAnsi="Calibri;sans-serif"/>
                <w:b w:val="false"/>
                <w:sz w:val="22"/>
              </w:rPr>
            </w:pPr>
            <w:r>
              <w:rPr>
                <w:rFonts w:ascii="Calibri;sans-serif" w:hAnsi="Calibri;sans-serif"/>
                <w:b w:val="false"/>
                <w:sz w:val="22"/>
              </w:rPr>
              <w:t>Document</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lm-ex31_01.htm">
              <w:r>
                <w:rPr>
                  <w:rStyle w:val="InternetLink"/>
                  <w:rFonts w:ascii="Calibri;sans-serif" w:hAnsi="Calibri;sans-serif"/>
                  <w:b w:val="false"/>
                  <w:sz w:val="22"/>
                  <w:u w:val="single"/>
                </w:rPr>
                <w:t>31.01</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Certification dated May 4, 2023 of Chief Executive Officer pursuant to Securities and Exchange Act of 1934 Rule 13a-14 as adopted pursuant to Section 302 of the Sarbanes-Oxley Act of 2002</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lm-ex31_02.htm">
              <w:r>
                <w:rPr>
                  <w:rStyle w:val="InternetLink"/>
                  <w:rFonts w:ascii="Calibri;sans-serif" w:hAnsi="Calibri;sans-serif"/>
                  <w:b w:val="false"/>
                  <w:sz w:val="22"/>
                  <w:u w:val="single"/>
                </w:rPr>
                <w:t>31.02</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Certification dated May 4, 2023 of Chief Financial Officer pursuant to Securities and Exchange Act of 1934 Rule 13a-14 as adopted pursuant to Section 302 of the Sarbanes-Oxley Act of 2002</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lm-ex32_01.htm">
              <w:r>
                <w:rPr>
                  <w:rStyle w:val="InternetLink"/>
                  <w:rFonts w:ascii="Calibri;sans-serif" w:hAnsi="Calibri;sans-serif"/>
                  <w:b w:val="false"/>
                  <w:sz w:val="22"/>
                  <w:u w:val="single"/>
                </w:rPr>
                <w:t>32.01</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Written Statement dated May 4, 2023 of Chief Executive Officer required by 18 U.S.C. 1350, as adopted pursuant to Section 906 of the Sarbanes-Oxley Act of 2002</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lm-ex32_02.htm">
              <w:r>
                <w:rPr>
                  <w:rStyle w:val="InternetLink"/>
                  <w:rFonts w:ascii="Calibri;sans-serif" w:hAnsi="Calibri;sans-serif"/>
                  <w:b w:val="false"/>
                  <w:sz w:val="22"/>
                  <w:u w:val="single"/>
                </w:rPr>
                <w:t>32.02</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Written Statement dated May 4, 2023 of Chief Financial Officer required by 18 U.S.C. 1350, as adopted pursuant to Section 906 of the Sarbanes-Oxley Act of 2002</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lm-ex95.htm">
              <w:r>
                <w:rPr>
                  <w:rStyle w:val="InternetLink"/>
                  <w:rFonts w:ascii="Calibri;sans-serif" w:hAnsi="Calibri;sans-serif"/>
                  <w:b w:val="false"/>
                  <w:sz w:val="22"/>
                  <w:u w:val="single"/>
                </w:rPr>
                <w:t>95</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Mine Safety Disclosures</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Inline XBRL Instance Document – The instance document does not appear in the Interactive Data File because its XBRL tags are embedded within the Inline XBRL document.</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101.SCH</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Inline XBRL Taxonomy Extension Schema Document</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101.CAL</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Inline XBRL Taxonomy Extension Calculation Linkbase Document</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101.LAB</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Inline XBRL Taxonomy Extension Label Linkbase Document</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101.PRE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Inline XBRL Taxonomy Extension Presentation Linkbase Document</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101.DEF</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Inline XBRL Taxonomy Extension Definition Linkbase</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03"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9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15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2"/>
              </w:rPr>
            </w:pPr>
            <w:r>
              <w:rPr>
                <w:rFonts w:ascii="Calibri;sans-serif" w:hAnsi="Calibri;sans-serif"/>
                <w:b w:val="false"/>
                <w:sz w:val="22"/>
              </w:rPr>
              <w:t>Cover Page Interactive Data File (formatted as inline XBRL and contained in Exhibit 101)</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200"/>
        <w:jc w:val="both"/>
        <w:rPr/>
      </w:pPr>
      <w:r>
        <w:rPr/>
        <w:t> </w:t>
      </w:r>
    </w:p>
    <w:p>
      <w:pPr>
        <w:pStyle w:val="TextBody"/>
        <w:spacing w:before="0" w:after="0"/>
        <w:jc w:val="center"/>
        <w:rPr>
          <w:rFonts w:ascii="Calibri" w:hAnsi="Calibri"/>
          <w:sz w:val="22"/>
        </w:rPr>
      </w:pPr>
      <w:r>
        <w:rPr>
          <w:rFonts w:ascii="Calibri;sans-serif" w:hAnsi="Calibri;sans-serif"/>
          <w:b w:val="false"/>
          <w:sz w:val="22"/>
        </w:rPr>
        <w:t>Page 35</w:t>
      </w:r>
      <w:r>
        <w:rPr>
          <w:rFonts w:ascii="Calibri" w:hAnsi="Calibri"/>
          <w:sz w:val="22"/>
        </w:rPr>
        <w:t xml:space="preserve"> </w:t>
      </w:r>
      <w:r>
        <w:rPr>
          <w:rFonts w:ascii="Calibri;sans-serif" w:hAnsi="Calibri;sans-serif"/>
          <w:b w:val="false"/>
          <w:sz w:val="22"/>
        </w:rPr>
        <w:t>of 36</w:t>
      </w:r>
    </w:p>
    <w:p>
      <w:pPr>
        <w:pStyle w:val="HorizontalLine"/>
        <w:rPr/>
      </w:pPr>
      <w:r>
        <w:rPr/>
      </w:r>
    </w:p>
    <w:p>
      <w:pPr>
        <w:pStyle w:val="TextBody"/>
        <w:spacing w:before="0" w:after="0"/>
        <w:jc w:val="both"/>
        <w:rPr/>
      </w:pPr>
      <w:r>
        <w:rPr/>
        <w:t> </w:t>
      </w:r>
    </w:p>
    <w:p>
      <w:pPr>
        <w:pStyle w:val="TextBody"/>
        <w:spacing w:before="0" w:after="200"/>
        <w:jc w:val="center"/>
        <w:rPr>
          <w:rFonts w:ascii="Calibri;sans-serif" w:hAnsi="Calibri;sans-serif"/>
          <w:b w:val="false"/>
          <w:sz w:val="22"/>
        </w:rPr>
      </w:pPr>
      <w:bookmarkStart w:id="16" w:name="signatures"/>
      <w:bookmarkEnd w:id="16"/>
      <w:r>
        <w:rPr>
          <w:rFonts w:ascii="Calibri;sans-serif" w:hAnsi="Calibri;sans-serif"/>
          <w:b w:val="false"/>
          <w:sz w:val="22"/>
        </w:rPr>
        <w:t>SIGNATURES</w:t>
      </w:r>
    </w:p>
    <w:p>
      <w:pPr>
        <w:pStyle w:val="TextBody"/>
        <w:spacing w:before="120" w:after="0"/>
        <w:jc w:val="both"/>
        <w:rPr>
          <w:rFonts w:ascii="Calibri" w:hAnsi="Calibri"/>
          <w:sz w:val="22"/>
        </w:rPr>
      </w:pPr>
      <w:r>
        <w:rPr>
          <w:rFonts w:ascii="Calibri;sans-serif" w:hAnsi="Calibri;sans-serif"/>
          <w:b w:val="false"/>
          <w:sz w:val="22"/>
        </w:rPr>
        <w:t>Pursuant to the requirements of the Securities Exchange Act of 1934, the registrant has duly caused this report to be signed on its behalf by the undersigned thereunto duly authorized.</w:t>
      </w:r>
      <w:r>
        <w:rPr>
          <w:rFonts w:ascii="Calibri" w:hAnsi="Calibri"/>
          <w:sz w:val="22"/>
        </w:rPr>
        <w:t xml:space="preserve"> </w:t>
      </w:r>
    </w:p>
    <w:tbl>
      <w:tblPr>
        <w:tblW w:w="5849" w:type="dxa"/>
        <w:jc w:val="left"/>
        <w:tblInd w:w="0" w:type="dxa"/>
        <w:tblCellMar>
          <w:top w:w="28" w:type="dxa"/>
          <w:left w:w="28" w:type="dxa"/>
          <w:bottom w:w="28" w:type="dxa"/>
          <w:right w:w="28" w:type="dxa"/>
        </w:tblCellMar>
      </w:tblPr>
      <w:tblGrid>
        <w:gridCol w:w="1801"/>
        <w:gridCol w:w="391"/>
        <w:gridCol w:w="146"/>
        <w:gridCol w:w="3511"/>
      </w:tblGrid>
      <w:tr>
        <w:trPr/>
        <w:tc>
          <w:tcPr>
            <w:tcW w:w="18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1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MARTIN MARIETTA MATERIALS, INC.</w:t>
            </w:r>
          </w:p>
        </w:tc>
      </w:tr>
      <w:tr>
        <w:trPr/>
        <w:tc>
          <w:tcPr>
            <w:tcW w:w="18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Calibri;sans-serif" w:hAnsi="Calibri;sans-serif"/>
                <w:b w:val="false"/>
                <w:sz w:val="22"/>
              </w:rPr>
              <w:t>(Registrant)</w:t>
            </w:r>
          </w:p>
        </w:tc>
      </w:tr>
      <w:tr>
        <w:trPr/>
        <w:tc>
          <w:tcPr>
            <w:tcW w:w="18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Date: May 4, 2023</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51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 James A. J. Nickolas</w:t>
            </w:r>
          </w:p>
        </w:tc>
      </w:tr>
      <w:tr>
        <w:trPr/>
        <w:tc>
          <w:tcPr>
            <w:tcW w:w="18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James A. J. Nickolas</w:t>
            </w:r>
          </w:p>
        </w:tc>
      </w:tr>
      <w:tr>
        <w:trPr/>
        <w:tc>
          <w:tcPr>
            <w:tcW w:w="18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Senior Vice President and</w:t>
            </w:r>
          </w:p>
        </w:tc>
      </w:tr>
      <w:tr>
        <w:trPr/>
        <w:tc>
          <w:tcPr>
            <w:tcW w:w="18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Calibri;sans-serif" w:hAnsi="Calibri;sans-serif"/>
                <w:b w:val="false"/>
                <w:sz w:val="22"/>
              </w:rPr>
              <w:t>Chief Financial Officer</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center"/>
        <w:rPr>
          <w:rFonts w:ascii="Calibri" w:hAnsi="Calibri"/>
          <w:sz w:val="22"/>
        </w:rPr>
      </w:pPr>
      <w:r>
        <w:rPr>
          <w:rFonts w:ascii="Calibri;sans-serif" w:hAnsi="Calibri;sans-serif"/>
          <w:b w:val="false"/>
          <w:sz w:val="22"/>
        </w:rPr>
        <w:t>Page 36</w:t>
      </w:r>
      <w:r>
        <w:rPr>
          <w:rFonts w:ascii="Calibri" w:hAnsi="Calibri"/>
          <w:sz w:val="22"/>
        </w:rPr>
        <w:t xml:space="preserve"> </w:t>
      </w:r>
      <w:r>
        <w:rPr>
          <w:rFonts w:ascii="Calibri;sans-serif" w:hAnsi="Calibri;sans-serif"/>
          <w:b w:val="false"/>
          <w:sz w:val="22"/>
        </w:rPr>
        <w:t>of 36</w:t>
      </w:r>
    </w:p>
    <w:p>
      <w:pPr>
        <w:pStyle w:val="HorizontalLine"/>
        <w:rPr/>
      </w:pPr>
      <w:r>
        <w:rPr/>
      </w:r>
      <w:r>
        <w:br w:type="page"/>
      </w:r>
    </w:p>
    <w:p>
      <w:pPr>
        <w:pStyle w:val="TextBody"/>
        <w:spacing w:before="0" w:after="0"/>
        <w:jc w:val="left"/>
        <w:rPr/>
      </w:pPr>
      <w:bookmarkStart w:id="17" w:name="mlm-ex31_01.htm"/>
      <w:bookmarkStart w:id="18" w:name="ksmlmex31_01"/>
      <w:bookmarkEnd w:id="17"/>
      <w:bookmarkEnd w:id="18"/>
      <w:r>
        <w:rPr/>
        <w:t> </w:t>
      </w:r>
    </w:p>
    <w:p>
      <w:pPr>
        <w:pStyle w:val="TextBody"/>
        <w:spacing w:before="0" w:after="0"/>
        <w:jc w:val="right"/>
        <w:rPr/>
      </w:pPr>
      <w:r>
        <w:rPr/>
        <w:t> </w:t>
      </w:r>
    </w:p>
    <w:p>
      <w:pPr>
        <w:pStyle w:val="TextBody"/>
        <w:spacing w:before="0" w:after="0"/>
        <w:jc w:val="right"/>
        <w:rPr/>
      </w:pPr>
      <w:r>
        <w:rPr/>
        <w:t> </w:t>
      </w:r>
    </w:p>
    <w:p>
      <w:pPr>
        <w:pStyle w:val="TextBody"/>
        <w:spacing w:before="0" w:after="0"/>
        <w:jc w:val="right"/>
        <w:rPr>
          <w:rFonts w:ascii="Calibri;sans-serif" w:hAnsi="Calibri;sans-serif"/>
          <w:b/>
          <w:sz w:val="22"/>
        </w:rPr>
      </w:pPr>
      <w:r>
        <w:rPr>
          <w:rFonts w:ascii="Calibri;sans-serif" w:hAnsi="Calibri;sans-serif"/>
          <w:b/>
          <w:sz w:val="22"/>
        </w:rPr>
        <w:t>EXHIBIT 31.01</w:t>
      </w:r>
    </w:p>
    <w:p>
      <w:pPr>
        <w:pStyle w:val="TextBody"/>
        <w:spacing w:before="0" w:after="0"/>
        <w:jc w:val="both"/>
        <w:rPr/>
      </w:pPr>
      <w:r>
        <w:rPr/>
        <w:t> </w:t>
      </w:r>
    </w:p>
    <w:p>
      <w:pPr>
        <w:pStyle w:val="TextBody"/>
        <w:spacing w:before="0" w:after="0"/>
        <w:jc w:val="both"/>
        <w:rPr/>
      </w:pPr>
      <w:r>
        <w:rPr/>
        <w:t> </w:t>
      </w:r>
    </w:p>
    <w:p>
      <w:pPr>
        <w:pStyle w:val="TextBody"/>
        <w:spacing w:before="0" w:after="0"/>
        <w:jc w:val="center"/>
        <w:rPr>
          <w:rFonts w:ascii="Calibri;sans-serif" w:hAnsi="Calibri;sans-serif"/>
          <w:b/>
          <w:sz w:val="22"/>
        </w:rPr>
      </w:pPr>
      <w:r>
        <w:rPr>
          <w:rFonts w:ascii="Calibri;sans-serif" w:hAnsi="Calibri;sans-serif"/>
          <w:b/>
          <w:sz w:val="22"/>
        </w:rPr>
        <w:t>CERTIFICATION PURSUANT TO SECURITIES AND EXCHANGE ACT OF 1934 RULE 13a-14 AS ADOPTED PURSUANT TO SECTION 302 OF SARBANES-OXLEY ACT OF 2002</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I, C. Howard Nye, certify that:</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1.</w:t>
      </w:r>
    </w:p>
    <w:p>
      <w:pPr>
        <w:pStyle w:val="TextBody"/>
        <w:jc w:val="both"/>
        <w:rPr>
          <w:rFonts w:ascii="Calibri;sans-serif" w:hAnsi="Calibri;sans-serif"/>
          <w:b w:val="false"/>
          <w:sz w:val="22"/>
        </w:rPr>
      </w:pPr>
      <w:r>
        <w:rPr>
          <w:rFonts w:ascii="Calibri;sans-serif" w:hAnsi="Calibri;sans-serif"/>
          <w:b w:val="false"/>
          <w:sz w:val="22"/>
        </w:rPr>
        <w:t>I have reviewed this Form 10-Q of Martin Marietta Materials, Inc.;</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2.</w:t>
      </w:r>
    </w:p>
    <w:p>
      <w:pPr>
        <w:pStyle w:val="TextBody"/>
        <w:jc w:val="both"/>
        <w:rPr>
          <w:rFonts w:ascii="Calibri;sans-serif" w:hAnsi="Calibri;sans-serif"/>
          <w:b w:val="false"/>
          <w:sz w:val="22"/>
        </w:rPr>
      </w:pPr>
      <w:r>
        <w:rPr>
          <w:rFonts w:ascii="Calibri;sans-serif" w:hAnsi="Calibri;sans-serif"/>
          <w:b w:val="false"/>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3.</w:t>
      </w:r>
    </w:p>
    <w:p>
      <w:pPr>
        <w:pStyle w:val="TextBody"/>
        <w:jc w:val="both"/>
        <w:rPr>
          <w:rFonts w:ascii="Calibri;sans-serif" w:hAnsi="Calibri;sans-serif"/>
          <w:b w:val="false"/>
          <w:sz w:val="22"/>
        </w:rPr>
      </w:pPr>
      <w:r>
        <w:rPr>
          <w:rFonts w:ascii="Calibri;sans-serif" w:hAnsi="Calibri;sans-serif"/>
          <w:b w:val="false"/>
          <w:sz w:val="22"/>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4.</w:t>
      </w:r>
    </w:p>
    <w:p>
      <w:pPr>
        <w:pStyle w:val="TextBody"/>
        <w:jc w:val="both"/>
        <w:rPr>
          <w:rFonts w:ascii="Calibri;sans-serif" w:hAnsi="Calibri;sans-serif"/>
          <w:b w:val="false"/>
          <w:sz w:val="22"/>
        </w:rPr>
      </w:pPr>
      <w:r>
        <w:rPr>
          <w:rFonts w:ascii="Calibri;sans-serif" w:hAnsi="Calibri;sans-serif"/>
          <w:b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a.</w:t>
      </w:r>
    </w:p>
    <w:p>
      <w:pPr>
        <w:pStyle w:val="TextBody"/>
        <w:jc w:val="both"/>
        <w:rPr>
          <w:rFonts w:ascii="Calibri;sans-serif" w:hAnsi="Calibri;sans-serif"/>
          <w:b w:val="false"/>
          <w:sz w:val="22"/>
        </w:rPr>
      </w:pPr>
      <w:r>
        <w:rPr>
          <w:rFonts w:ascii="Calibri;sans-serif" w:hAnsi="Calibri;sans-serif"/>
          <w:b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b.</w:t>
      </w:r>
    </w:p>
    <w:p>
      <w:pPr>
        <w:pStyle w:val="TextBody"/>
        <w:jc w:val="both"/>
        <w:rPr>
          <w:rFonts w:ascii="Calibri;sans-serif" w:hAnsi="Calibri;sans-serif"/>
          <w:b w:val="false"/>
          <w:sz w:val="22"/>
        </w:rPr>
      </w:pPr>
      <w:r>
        <w:rPr>
          <w:rFonts w:ascii="Calibri;sans-serif" w:hAnsi="Calibri;sans-serif"/>
          <w:b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c.</w:t>
      </w:r>
    </w:p>
    <w:p>
      <w:pPr>
        <w:pStyle w:val="TextBody"/>
        <w:jc w:val="both"/>
        <w:rPr>
          <w:rFonts w:ascii="Calibri;sans-serif" w:hAnsi="Calibri;sans-serif"/>
          <w:b w:val="false"/>
          <w:sz w:val="22"/>
        </w:rPr>
      </w:pPr>
      <w:r>
        <w:rPr>
          <w:rFonts w:ascii="Calibri;sans-serif" w:hAnsi="Calibri;sans-serif"/>
          <w:b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d.</w:t>
      </w:r>
    </w:p>
    <w:p>
      <w:pPr>
        <w:pStyle w:val="TextBody"/>
        <w:jc w:val="both"/>
        <w:rPr>
          <w:rFonts w:ascii="Calibri;sans-serif" w:hAnsi="Calibri;sans-serif"/>
          <w:b w:val="false"/>
          <w:sz w:val="22"/>
        </w:rPr>
      </w:pPr>
      <w:r>
        <w:rPr>
          <w:rFonts w:ascii="Calibri;sans-serif" w:hAnsi="Calibri;sans-serif"/>
          <w:b w:val="false"/>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5.</w:t>
      </w:r>
    </w:p>
    <w:p>
      <w:pPr>
        <w:pStyle w:val="TextBody"/>
        <w:jc w:val="both"/>
        <w:rPr>
          <w:rFonts w:ascii="Calibri;sans-serif" w:hAnsi="Calibri;sans-serif"/>
          <w:b w:val="false"/>
          <w:sz w:val="22"/>
        </w:rPr>
      </w:pPr>
      <w:r>
        <w:rPr>
          <w:rFonts w:ascii="Calibri;sans-serif" w:hAnsi="Calibri;sans-serif"/>
          <w:b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a.</w:t>
      </w:r>
    </w:p>
    <w:p>
      <w:pPr>
        <w:pStyle w:val="TextBody"/>
        <w:jc w:val="both"/>
        <w:rPr>
          <w:rFonts w:ascii="Calibri;sans-serif" w:hAnsi="Calibri;sans-serif"/>
          <w:b w:val="false"/>
          <w:sz w:val="22"/>
        </w:rPr>
      </w:pPr>
      <w:r>
        <w:rPr>
          <w:rFonts w:ascii="Calibri;sans-serif" w:hAnsi="Calibri;sans-serif"/>
          <w:b w:val="false"/>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b.</w:t>
      </w:r>
    </w:p>
    <w:p>
      <w:pPr>
        <w:pStyle w:val="TextBody"/>
        <w:jc w:val="both"/>
        <w:rPr>
          <w:rFonts w:ascii="Calibri;sans-serif" w:hAnsi="Calibri;sans-serif"/>
          <w:b w:val="false"/>
          <w:sz w:val="22"/>
        </w:rPr>
      </w:pPr>
      <w:r>
        <w:rPr>
          <w:rFonts w:ascii="Calibri;sans-serif" w:hAnsi="Calibri;sans-serif"/>
          <w:b w:val="false"/>
          <w:sz w:val="22"/>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tbl>
      <w:tblPr>
        <w:tblW w:w="4855" w:type="dxa"/>
        <w:jc w:val="left"/>
        <w:tblInd w:w="0" w:type="dxa"/>
        <w:tblCellMar>
          <w:top w:w="28" w:type="dxa"/>
          <w:left w:w="28" w:type="dxa"/>
          <w:bottom w:w="28" w:type="dxa"/>
          <w:right w:w="28" w:type="dxa"/>
        </w:tblCellMar>
      </w:tblPr>
      <w:tblGrid>
        <w:gridCol w:w="1801"/>
        <w:gridCol w:w="146"/>
        <w:gridCol w:w="391"/>
        <w:gridCol w:w="146"/>
        <w:gridCol w:w="2371"/>
      </w:tblGrid>
      <w:tr>
        <w:trPr/>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Date: May 4, 2023</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By:</w:t>
            </w:r>
          </w:p>
        </w:tc>
        <w:tc>
          <w:tcPr>
            <w:tcW w:w="146" w:type="dxa"/>
            <w:tcBorders/>
            <w:shd w:fill="auto" w:val="clear"/>
            <w:vAlign w:val="center"/>
          </w:tcPr>
          <w:p>
            <w:pPr>
              <w:pStyle w:val="TableContents"/>
              <w:spacing w:before="0" w:after="0"/>
              <w:ind w:left="0" w:right="0" w:hanging="0"/>
              <w:jc w:val="left"/>
              <w:rPr/>
            </w:pPr>
            <w:r>
              <w:rPr/>
              <w:t> </w:t>
            </w:r>
          </w:p>
        </w:tc>
        <w:tc>
          <w:tcPr>
            <w:tcW w:w="2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 C. Howard Nye</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 Howard Nye</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Chairman, President and</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1" w:type="dxa"/>
            <w:tcBorders/>
            <w:shd w:fill="auto" w:val="clear"/>
            <w:vAlign w:val="center"/>
          </w:tcPr>
          <w:p>
            <w:pPr>
              <w:pStyle w:val="TableContents"/>
              <w:spacing w:before="0" w:after="0"/>
              <w:ind w:left="0" w:right="0" w:hanging="0"/>
              <w:jc w:val="left"/>
              <w:rPr/>
            </w:pPr>
            <w:r>
              <w:rPr/>
              <w:t>   </w:t>
            </w:r>
            <w:r>
              <w:rPr>
                <w:rFonts w:ascii="Calibri;sans-serif" w:hAnsi="Calibri;sans-serif"/>
                <w:b w:val="false"/>
                <w:sz w:val="22"/>
              </w:rPr>
              <w:t>Chief Executive Officer</w:t>
            </w:r>
          </w:p>
        </w:tc>
      </w:tr>
    </w:tbl>
    <w:p>
      <w:pPr>
        <w:pStyle w:val="TextBody"/>
        <w:spacing w:before="0" w:after="0"/>
        <w:jc w:val="both"/>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19" w:name="mlm-ex31_02.htm"/>
      <w:bookmarkStart w:id="20" w:name="ksmlmex31_02"/>
      <w:bookmarkEnd w:id="19"/>
      <w:bookmarkEnd w:id="20"/>
      <w:r>
        <w:rPr/>
        <w:t> </w:t>
      </w:r>
    </w:p>
    <w:p>
      <w:pPr>
        <w:pStyle w:val="TextBody"/>
        <w:spacing w:before="0" w:after="0"/>
        <w:jc w:val="right"/>
        <w:rPr/>
      </w:pPr>
      <w:r>
        <w:rPr/>
        <w:t> </w:t>
      </w:r>
    </w:p>
    <w:p>
      <w:pPr>
        <w:pStyle w:val="TextBody"/>
        <w:spacing w:before="0" w:after="0"/>
        <w:jc w:val="right"/>
        <w:rPr/>
      </w:pPr>
      <w:r>
        <w:rPr/>
        <w:t> </w:t>
      </w:r>
    </w:p>
    <w:p>
      <w:pPr>
        <w:pStyle w:val="TextBody"/>
        <w:spacing w:before="0" w:after="0"/>
        <w:jc w:val="right"/>
        <w:rPr>
          <w:rFonts w:ascii="Calibri;sans-serif" w:hAnsi="Calibri;sans-serif"/>
          <w:b/>
          <w:sz w:val="22"/>
        </w:rPr>
      </w:pPr>
      <w:r>
        <w:rPr>
          <w:rFonts w:ascii="Calibri;sans-serif" w:hAnsi="Calibri;sans-serif"/>
          <w:b/>
          <w:sz w:val="22"/>
        </w:rPr>
        <w:t>EXHIBIT 31.02</w:t>
      </w:r>
    </w:p>
    <w:p>
      <w:pPr>
        <w:pStyle w:val="TextBody"/>
        <w:spacing w:before="0" w:after="0"/>
        <w:jc w:val="both"/>
        <w:rPr/>
      </w:pPr>
      <w:r>
        <w:rPr/>
        <w:t> </w:t>
      </w:r>
    </w:p>
    <w:p>
      <w:pPr>
        <w:pStyle w:val="TextBody"/>
        <w:spacing w:before="0" w:after="0"/>
        <w:jc w:val="both"/>
        <w:rPr/>
      </w:pPr>
      <w:r>
        <w:rPr/>
        <w:t> </w:t>
      </w:r>
    </w:p>
    <w:p>
      <w:pPr>
        <w:pStyle w:val="TextBody"/>
        <w:spacing w:before="0" w:after="0"/>
        <w:jc w:val="center"/>
        <w:rPr>
          <w:rFonts w:ascii="Calibri;sans-serif" w:hAnsi="Calibri;sans-serif"/>
          <w:b/>
          <w:sz w:val="22"/>
        </w:rPr>
      </w:pPr>
      <w:r>
        <w:rPr>
          <w:rFonts w:ascii="Calibri;sans-serif" w:hAnsi="Calibri;sans-serif"/>
          <w:b/>
          <w:sz w:val="22"/>
        </w:rPr>
        <w:t>CERTIFICATION PURSUANT TO SECURITIES AND EXCHANGE ACT OF 1934 RULE 13a-14 AS ADOPTED PURSUANT TO SECTION 302 OF SARBANES-OXLEY ACT OF 2002</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I, James A. J. Nickolas, certify that:</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1.</w:t>
      </w:r>
    </w:p>
    <w:p>
      <w:pPr>
        <w:pStyle w:val="TextBody"/>
        <w:jc w:val="both"/>
        <w:rPr>
          <w:rFonts w:ascii="Calibri;sans-serif" w:hAnsi="Calibri;sans-serif"/>
          <w:b w:val="false"/>
          <w:sz w:val="22"/>
        </w:rPr>
      </w:pPr>
      <w:r>
        <w:rPr>
          <w:rFonts w:ascii="Calibri;sans-serif" w:hAnsi="Calibri;sans-serif"/>
          <w:b w:val="false"/>
          <w:sz w:val="22"/>
        </w:rPr>
        <w:t>I have reviewed this Form 10-Q of Martin Marietta Materials, Inc.;</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2.</w:t>
      </w:r>
    </w:p>
    <w:p>
      <w:pPr>
        <w:pStyle w:val="TextBody"/>
        <w:jc w:val="both"/>
        <w:rPr>
          <w:rFonts w:ascii="Calibri;sans-serif" w:hAnsi="Calibri;sans-serif"/>
          <w:b w:val="false"/>
          <w:sz w:val="22"/>
        </w:rPr>
      </w:pPr>
      <w:r>
        <w:rPr>
          <w:rFonts w:ascii="Calibri;sans-serif" w:hAnsi="Calibri;sans-serif"/>
          <w:b w:val="false"/>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3.</w:t>
      </w:r>
    </w:p>
    <w:p>
      <w:pPr>
        <w:pStyle w:val="TextBody"/>
        <w:jc w:val="both"/>
        <w:rPr>
          <w:rFonts w:ascii="Calibri;sans-serif" w:hAnsi="Calibri;sans-serif"/>
          <w:b w:val="false"/>
          <w:sz w:val="22"/>
        </w:rPr>
      </w:pPr>
      <w:r>
        <w:rPr>
          <w:rFonts w:ascii="Calibri;sans-serif" w:hAnsi="Calibri;sans-serif"/>
          <w:b w:val="false"/>
          <w:sz w:val="22"/>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4.</w:t>
      </w:r>
    </w:p>
    <w:p>
      <w:pPr>
        <w:pStyle w:val="TextBody"/>
        <w:jc w:val="both"/>
        <w:rPr>
          <w:rFonts w:ascii="Calibri;sans-serif" w:hAnsi="Calibri;sans-serif"/>
          <w:b w:val="false"/>
          <w:sz w:val="22"/>
        </w:rPr>
      </w:pPr>
      <w:r>
        <w:rPr>
          <w:rFonts w:ascii="Calibri;sans-serif" w:hAnsi="Calibri;sans-serif"/>
          <w:b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a.</w:t>
      </w:r>
    </w:p>
    <w:p>
      <w:pPr>
        <w:pStyle w:val="TextBody"/>
        <w:jc w:val="both"/>
        <w:rPr>
          <w:rFonts w:ascii="Calibri;sans-serif" w:hAnsi="Calibri;sans-serif"/>
          <w:b w:val="false"/>
          <w:sz w:val="22"/>
        </w:rPr>
      </w:pPr>
      <w:r>
        <w:rPr>
          <w:rFonts w:ascii="Calibri;sans-serif" w:hAnsi="Calibri;sans-serif"/>
          <w:b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b.</w:t>
      </w:r>
    </w:p>
    <w:p>
      <w:pPr>
        <w:pStyle w:val="TextBody"/>
        <w:jc w:val="both"/>
        <w:rPr>
          <w:rFonts w:ascii="Calibri;sans-serif" w:hAnsi="Calibri;sans-serif"/>
          <w:b w:val="false"/>
          <w:sz w:val="22"/>
        </w:rPr>
      </w:pPr>
      <w:r>
        <w:rPr>
          <w:rFonts w:ascii="Calibri;sans-serif" w:hAnsi="Calibri;sans-serif"/>
          <w:b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c.</w:t>
      </w:r>
    </w:p>
    <w:p>
      <w:pPr>
        <w:pStyle w:val="TextBody"/>
        <w:jc w:val="both"/>
        <w:rPr>
          <w:rFonts w:ascii="Calibri;sans-serif" w:hAnsi="Calibri;sans-serif"/>
          <w:b w:val="false"/>
          <w:sz w:val="22"/>
        </w:rPr>
      </w:pPr>
      <w:r>
        <w:rPr>
          <w:rFonts w:ascii="Calibri;sans-serif" w:hAnsi="Calibri;sans-serif"/>
          <w:b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d.</w:t>
      </w:r>
    </w:p>
    <w:p>
      <w:pPr>
        <w:pStyle w:val="TextBody"/>
        <w:jc w:val="both"/>
        <w:rPr>
          <w:rFonts w:ascii="Calibri;sans-serif" w:hAnsi="Calibri;sans-serif"/>
          <w:b w:val="false"/>
          <w:sz w:val="22"/>
        </w:rPr>
      </w:pPr>
      <w:r>
        <w:rPr>
          <w:rFonts w:ascii="Calibri;sans-serif" w:hAnsi="Calibri;sans-serif"/>
          <w:b w:val="false"/>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5.</w:t>
      </w:r>
    </w:p>
    <w:p>
      <w:pPr>
        <w:pStyle w:val="TextBody"/>
        <w:jc w:val="both"/>
        <w:rPr>
          <w:rFonts w:ascii="Calibri;sans-serif" w:hAnsi="Calibri;sans-serif"/>
          <w:b w:val="false"/>
          <w:sz w:val="22"/>
        </w:rPr>
      </w:pPr>
      <w:r>
        <w:rPr>
          <w:rFonts w:ascii="Calibri;sans-serif" w:hAnsi="Calibri;sans-serif"/>
          <w:b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a.</w:t>
      </w:r>
    </w:p>
    <w:p>
      <w:pPr>
        <w:pStyle w:val="TextBody"/>
        <w:jc w:val="both"/>
        <w:rPr/>
      </w:pPr>
      <w:r>
        <w:rPr>
          <w:rFonts w:ascii="Calibri;sans-serif" w:hAnsi="Calibri;sans-serif"/>
          <w:b w:val="false"/>
          <w:caps/>
          <w:sz w:val="22"/>
        </w:rPr>
        <w:t>a</w:t>
      </w:r>
      <w:r>
        <w:rPr>
          <w:rFonts w:ascii="Calibri;sans-serif" w:hAnsi="Calibri;sans-serif"/>
          <w:b w:val="false"/>
          <w:sz w:val="22"/>
        </w:rPr>
        <w:t>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b.</w:t>
      </w:r>
    </w:p>
    <w:p>
      <w:pPr>
        <w:pStyle w:val="TextBody"/>
        <w:jc w:val="both"/>
        <w:rPr>
          <w:rFonts w:ascii="Calibri;sans-serif" w:hAnsi="Calibri;sans-serif"/>
          <w:b w:val="false"/>
          <w:sz w:val="22"/>
        </w:rPr>
      </w:pPr>
      <w:r>
        <w:rPr>
          <w:rFonts w:ascii="Calibri;sans-serif" w:hAnsi="Calibri;sans-serif"/>
          <w:b w:val="false"/>
          <w:sz w:val="22"/>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p>
      <w:pPr>
        <w:pStyle w:val="TextBody"/>
        <w:spacing w:before="0" w:after="0"/>
        <w:jc w:val="both"/>
        <w:rPr/>
      </w:pPr>
      <w:r>
        <w:rPr/>
        <w:t> </w:t>
      </w:r>
    </w:p>
    <w:tbl>
      <w:tblPr>
        <w:tblW w:w="4750" w:type="dxa"/>
        <w:jc w:val="left"/>
        <w:tblInd w:w="0" w:type="dxa"/>
        <w:tblCellMar>
          <w:top w:w="28" w:type="dxa"/>
          <w:left w:w="28" w:type="dxa"/>
          <w:bottom w:w="28" w:type="dxa"/>
          <w:right w:w="28" w:type="dxa"/>
        </w:tblCellMar>
      </w:tblPr>
      <w:tblGrid>
        <w:gridCol w:w="1801"/>
        <w:gridCol w:w="146"/>
        <w:gridCol w:w="391"/>
        <w:gridCol w:w="146"/>
        <w:gridCol w:w="2266"/>
      </w:tblGrid>
      <w:tr>
        <w:trPr/>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Date: May 4, 2023</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By:</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 James A. J. Nickolas</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James A. J. Nickolas</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Sr. Vice President and</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left"/>
              <w:rPr/>
            </w:pPr>
            <w:r>
              <w:rPr/>
              <w:t>   </w:t>
            </w:r>
            <w:r>
              <w:rPr>
                <w:rFonts w:ascii="Calibri;sans-serif" w:hAnsi="Calibri;sans-serif"/>
                <w:b w:val="false"/>
                <w:sz w:val="22"/>
              </w:rPr>
              <w:t>Chief Financial Officer</w:t>
            </w:r>
          </w:p>
        </w:tc>
      </w:tr>
    </w:tbl>
    <w:p>
      <w:pPr>
        <w:pStyle w:val="TextBody"/>
        <w:spacing w:before="0" w:after="0"/>
        <w:jc w:val="both"/>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Calibri;sans-serif" w:hAnsi="Calibri;sans-serif"/>
          <w:b/>
          <w:sz w:val="22"/>
        </w:rPr>
      </w:pPr>
      <w:bookmarkStart w:id="21" w:name="mlm-ex32_01.htm"/>
      <w:bookmarkStart w:id="22" w:name="ksmlmex32_01"/>
      <w:bookmarkEnd w:id="21"/>
      <w:bookmarkEnd w:id="22"/>
      <w:r>
        <w:rPr>
          <w:rFonts w:ascii="Calibri;sans-serif" w:hAnsi="Calibri;sans-serif"/>
          <w:b/>
          <w:sz w:val="22"/>
        </w:rPr>
        <w:t>EXHIBIT 32.01</w:t>
      </w:r>
    </w:p>
    <w:p>
      <w:pPr>
        <w:pStyle w:val="TextBody"/>
        <w:spacing w:before="0" w:after="0"/>
        <w:jc w:val="center"/>
        <w:rPr/>
      </w:pPr>
      <w:r>
        <w:rPr/>
        <w:t> </w:t>
      </w:r>
    </w:p>
    <w:p>
      <w:pPr>
        <w:pStyle w:val="TextBody"/>
        <w:spacing w:before="0" w:after="0"/>
        <w:jc w:val="center"/>
        <w:rPr>
          <w:rFonts w:ascii="Times New Roman" w:hAnsi="Times New Roman"/>
          <w:sz w:val="20"/>
        </w:rPr>
      </w:pPr>
      <w:r>
        <w:rPr>
          <w:rFonts w:ascii="Calibri;sans-serif" w:hAnsi="Calibri;sans-serif"/>
          <w:b/>
          <w:sz w:val="22"/>
        </w:rPr>
        <w:t>Written Statement Pursuant to 18 U.S.C. 1350,</w:t>
      </w:r>
      <w:r>
        <w:rPr>
          <w:rFonts w:ascii="Times New Roman" w:hAnsi="Times New Roman"/>
          <w:sz w:val="20"/>
        </w:rPr>
        <w:t xml:space="preserve"> </w:t>
      </w:r>
    </w:p>
    <w:p>
      <w:pPr>
        <w:pStyle w:val="TextBody"/>
        <w:spacing w:before="0" w:after="0"/>
        <w:jc w:val="center"/>
        <w:rPr>
          <w:rFonts w:ascii="Calibri;sans-serif" w:hAnsi="Calibri;sans-serif"/>
          <w:b/>
          <w:sz w:val="22"/>
        </w:rPr>
      </w:pPr>
      <w:r>
        <w:rPr>
          <w:rFonts w:ascii="Calibri;sans-serif" w:hAnsi="Calibri;sans-serif"/>
          <w:b/>
          <w:sz w:val="22"/>
        </w:rPr>
        <w:t>As Adopted Pursuant to Section 906 of the Sarbanes-Oxley Act of 2002</w:t>
      </w:r>
    </w:p>
    <w:p>
      <w:pPr>
        <w:pStyle w:val="TextBody"/>
        <w:spacing w:before="0" w:after="0"/>
        <w:jc w:val="center"/>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In connection with the Quarterly Report on Form 10-Q for the period ended March 31, 2023 (the “Report”) of Martin Marietta Materials, Inc. (the “Registrant”), as filed with the Securities and Exchange Commission on the date hereof, I, C. Howard Nye, the Chief Executive Officer of the Registrant, certify, to the best of my knowledge, that:</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(1)</w:t>
      </w:r>
    </w:p>
    <w:p>
      <w:pPr>
        <w:pStyle w:val="TextBody"/>
        <w:jc w:val="both"/>
        <w:rPr>
          <w:rFonts w:ascii="Calibri;sans-serif" w:hAnsi="Calibri;sans-serif"/>
          <w:b w:val="false"/>
          <w:sz w:val="22"/>
        </w:rPr>
      </w:pPr>
      <w:r>
        <w:rPr>
          <w:rFonts w:ascii="Calibri;sans-serif" w:hAnsi="Calibri;sans-serif"/>
          <w:b w:val="false"/>
          <w:sz w:val="22"/>
        </w:rPr>
        <w:t>the Report fully complies with the requirements of Section 13(a) or 15(d) of the Securities Exchange Act of 1934, as amended; and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(2)</w:t>
      </w:r>
    </w:p>
    <w:p>
      <w:pPr>
        <w:pStyle w:val="TextBody"/>
        <w:jc w:val="both"/>
        <w:rPr>
          <w:rFonts w:ascii="Calibri;sans-serif" w:hAnsi="Calibri;sans-serif"/>
          <w:b w:val="false"/>
          <w:sz w:val="22"/>
        </w:rPr>
      </w:pPr>
      <w:r>
        <w:rPr>
          <w:rFonts w:ascii="Calibri;sans-serif" w:hAnsi="Calibri;sans-serif"/>
          <w:b w:val="false"/>
          <w:sz w:val="22"/>
        </w:rPr>
        <w:t>the information contained in the Report fairly presents, in all material respects, the financial condition and results of operations of the Registrant.</w:t>
      </w:r>
    </w:p>
    <w:p>
      <w:pPr>
        <w:pStyle w:val="TextBody"/>
        <w:spacing w:before="0" w:after="0"/>
        <w:jc w:val="left"/>
        <w:rPr/>
      </w:pPr>
      <w:r>
        <w:rPr/>
        <w:t> </w:t>
      </w:r>
    </w:p>
    <w:p>
      <w:pPr>
        <w:pStyle w:val="TextBody"/>
        <w:spacing w:before="0" w:after="0"/>
        <w:jc w:val="left"/>
        <w:rPr/>
      </w:pPr>
      <w:r>
        <w:rPr/>
        <w:t> </w:t>
      </w:r>
    </w:p>
    <w:tbl>
      <w:tblPr>
        <w:tblW w:w="2386" w:type="dxa"/>
        <w:jc w:val="left"/>
        <w:tblInd w:w="0" w:type="dxa"/>
        <w:tblCellMar>
          <w:top w:w="28" w:type="dxa"/>
          <w:left w:w="28" w:type="dxa"/>
          <w:bottom w:w="28" w:type="dxa"/>
          <w:right w:w="28" w:type="dxa"/>
        </w:tblCellMar>
      </w:tblPr>
      <w:tblGrid>
        <w:gridCol w:w="2386"/>
      </w:tblGrid>
      <w:tr>
        <w:trPr/>
        <w:tc>
          <w:tcPr>
            <w:tcW w:w="2386" w:type="dxa"/>
            <w:tcBorders/>
            <w:shd w:fill="auto" w:val="clear"/>
            <w:vAlign w:val="center"/>
          </w:tcPr>
          <w:p>
            <w:pPr>
              <w:pStyle w:val="TableContents"/>
              <w:spacing w:before="0" w:after="283"/>
              <w:rPr>
                <w:sz w:val="4"/>
                <w:szCs w:val="4"/>
              </w:rPr>
            </w:pPr>
            <w:r>
              <w:rPr>
                <w:sz w:val="4"/>
                <w:szCs w:val="4"/>
              </w:rPr>
            </w:r>
          </w:p>
        </w:tc>
      </w:tr>
      <w:tr>
        <w:trPr/>
        <w:tc>
          <w:tcPr>
            <w:tcW w:w="2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2"/>
              </w:rPr>
            </w:pPr>
            <w:r>
              <w:rPr>
                <w:rFonts w:ascii="Calibri;sans-serif" w:hAnsi="Calibri;sans-serif"/>
                <w:b w:val="false"/>
                <w:sz w:val="22"/>
              </w:rPr>
              <w:t>/s/ C. Howard Nye</w:t>
            </w:r>
            <w:r>
              <w:rPr>
                <w:rFonts w:ascii="Times New Roman" w:hAnsi="Times New Roman"/>
                <w:sz w:val="22"/>
              </w:rPr>
              <w:t xml:space="preserve"> </w:t>
            </w:r>
          </w:p>
        </w:tc>
      </w:tr>
      <w:tr>
        <w:trPr/>
        <w:tc>
          <w:tcPr>
            <w:tcW w:w="238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 Howard Nye</w:t>
            </w:r>
          </w:p>
        </w:tc>
      </w:tr>
      <w:tr>
        <w:trPr/>
        <w:tc>
          <w:tcPr>
            <w:tcW w:w="238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Chairman, President and</w:t>
            </w:r>
          </w:p>
        </w:tc>
      </w:tr>
      <w:tr>
        <w:trPr/>
        <w:tc>
          <w:tcPr>
            <w:tcW w:w="2386" w:type="dxa"/>
            <w:tcBorders/>
            <w:shd w:fill="auto" w:val="clear"/>
            <w:vAlign w:val="center"/>
          </w:tcPr>
          <w:p>
            <w:pPr>
              <w:pStyle w:val="TableContents"/>
              <w:spacing w:before="0" w:after="0"/>
              <w:ind w:left="0" w:right="0" w:hanging="0"/>
              <w:jc w:val="left"/>
              <w:rPr/>
            </w:pPr>
            <w:r>
              <w:rPr/>
              <w:t>   </w:t>
            </w:r>
            <w:r>
              <w:rPr>
                <w:rFonts w:ascii="Calibri;sans-serif" w:hAnsi="Calibri;sans-serif"/>
                <w:b w:val="false"/>
                <w:sz w:val="22"/>
              </w:rPr>
              <w:t>Chief Executive Officer</w:t>
            </w:r>
          </w:p>
        </w:tc>
      </w:tr>
    </w:tbl>
    <w:p>
      <w:pPr>
        <w:pStyle w:val="TextBody"/>
        <w:spacing w:before="0"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Dated: May 4, 2023</w:t>
      </w:r>
    </w:p>
    <w:p>
      <w:pPr>
        <w:pStyle w:val="TextBody"/>
        <w:spacing w:before="0" w:after="0"/>
        <w:jc w:val="left"/>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spacing w:before="0" w:after="0"/>
        <w:jc w:val="both"/>
        <w:rPr/>
      </w:pPr>
      <w:r>
        <w:rPr/>
        <w:t> </w:t>
      </w:r>
    </w:p>
    <w:p>
      <w:pPr>
        <w:pStyle w:val="TextBody"/>
        <w:spacing w:before="0" w:after="0"/>
        <w:jc w:val="both"/>
        <w:rPr/>
      </w:pPr>
      <w:r>
        <w:rPr/>
        <w:t> </w:t>
      </w:r>
    </w:p>
    <w:p>
      <w:pPr>
        <w:pStyle w:val="HorizontalLine"/>
        <w:rPr/>
      </w:pPr>
      <w:r>
        <w:rPr/>
      </w:r>
      <w:r>
        <w:br w:type="page"/>
      </w:r>
    </w:p>
    <w:p>
      <w:pPr>
        <w:pStyle w:val="TextBody"/>
        <w:spacing w:before="0" w:after="0"/>
        <w:jc w:val="right"/>
        <w:rPr>
          <w:rFonts w:ascii="Calibri;sans-serif" w:hAnsi="Calibri;sans-serif"/>
          <w:b/>
          <w:sz w:val="22"/>
        </w:rPr>
      </w:pPr>
      <w:bookmarkStart w:id="23" w:name="mlm-ex32_02.htm"/>
      <w:bookmarkStart w:id="24" w:name="ksmlmex32_02"/>
      <w:bookmarkEnd w:id="23"/>
      <w:bookmarkEnd w:id="24"/>
      <w:r>
        <w:rPr>
          <w:rFonts w:ascii="Calibri;sans-serif" w:hAnsi="Calibri;sans-serif"/>
          <w:b/>
          <w:sz w:val="22"/>
        </w:rPr>
        <w:t>EXHIBIT 32.02</w:t>
      </w:r>
    </w:p>
    <w:p>
      <w:pPr>
        <w:pStyle w:val="TextBody"/>
        <w:spacing w:before="0" w:after="0"/>
        <w:jc w:val="center"/>
        <w:rPr/>
      </w:pPr>
      <w:r>
        <w:rPr/>
        <w:t> </w:t>
      </w:r>
    </w:p>
    <w:p>
      <w:pPr>
        <w:pStyle w:val="TextBody"/>
        <w:spacing w:before="0" w:after="0"/>
        <w:jc w:val="center"/>
        <w:rPr>
          <w:rFonts w:ascii="Times New Roman" w:hAnsi="Times New Roman"/>
          <w:sz w:val="20"/>
        </w:rPr>
      </w:pPr>
      <w:r>
        <w:rPr>
          <w:rFonts w:ascii="Calibri;sans-serif" w:hAnsi="Calibri;sans-serif"/>
          <w:b/>
          <w:sz w:val="22"/>
        </w:rPr>
        <w:t>Written Statement Pursuant to 18 U.S.C. 1350,</w:t>
      </w:r>
      <w:r>
        <w:rPr>
          <w:rFonts w:ascii="Times New Roman" w:hAnsi="Times New Roman"/>
          <w:sz w:val="20"/>
        </w:rPr>
        <w:t xml:space="preserve"> </w:t>
      </w:r>
    </w:p>
    <w:p>
      <w:pPr>
        <w:pStyle w:val="TextBody"/>
        <w:spacing w:before="0" w:after="0"/>
        <w:jc w:val="center"/>
        <w:rPr>
          <w:rFonts w:ascii="Calibri;sans-serif" w:hAnsi="Calibri;sans-serif"/>
          <w:b/>
          <w:sz w:val="22"/>
        </w:rPr>
      </w:pPr>
      <w:r>
        <w:rPr>
          <w:rFonts w:ascii="Calibri;sans-serif" w:hAnsi="Calibri;sans-serif"/>
          <w:b/>
          <w:sz w:val="22"/>
        </w:rPr>
        <w:t>As Adopted Pursuant to Section 906 of the Sarbanes-Oxley Act of 2002</w:t>
      </w:r>
    </w:p>
    <w:p>
      <w:pPr>
        <w:pStyle w:val="TextBody"/>
        <w:spacing w:before="0" w:after="0"/>
        <w:jc w:val="center"/>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In connection with the Quarterly Report on Form 10-Q for the period ended March 31, 2023 (the “Report”) of Martin Marietta Materials, Inc. (the “Registrant”), as filed with the Securities and Exchange Commission on the date hereof, I, James A. J. Nickolas, the Chief Financial Officer of the Registrant, certify, to the best of my knowledge, that:</w:t>
      </w:r>
    </w:p>
    <w:p>
      <w:pPr>
        <w:pStyle w:val="TextBody"/>
        <w:spacing w:before="0" w:after="0"/>
        <w:jc w:val="left"/>
        <w:rPr/>
      </w:pPr>
      <w:r>
        <w:rPr/>
        <w:t> </w:t>
      </w:r>
    </w:p>
    <w:p>
      <w:pPr>
        <w:pStyle w:val="TextBody"/>
        <w:spacing w:before="0" w:after="0"/>
        <w:jc w:val="both"/>
        <w:rPr>
          <w:rFonts w:ascii="Calibri" w:hAnsi="Calibri"/>
          <w:b w:val="false"/>
          <w:sz w:val="22"/>
        </w:rPr>
      </w:pPr>
      <w:r>
        <w:rPr>
          <w:rFonts w:ascii="Calibri" w:hAnsi="Calibri"/>
          <w:b w:val="false"/>
          <w:sz w:val="22"/>
        </w:rPr>
        <w:t>(1)</w:t>
      </w:r>
    </w:p>
    <w:p>
      <w:pPr>
        <w:pStyle w:val="TextBody"/>
        <w:jc w:val="both"/>
        <w:rPr>
          <w:rFonts w:ascii="Calibri;sans-serif" w:hAnsi="Calibri;sans-serif"/>
          <w:b w:val="false"/>
          <w:sz w:val="22"/>
        </w:rPr>
      </w:pPr>
      <w:r>
        <w:rPr>
          <w:rFonts w:ascii="Calibri;sans-serif" w:hAnsi="Calibri;sans-serif"/>
          <w:b w:val="false"/>
          <w:sz w:val="22"/>
        </w:rPr>
        <w:t>the Report fully complies with the requirements of Section 13(a) or 15(d) of the Securities Exchange Act of 1934, as amended; and</w:t>
      </w:r>
    </w:p>
    <w:p>
      <w:pPr>
        <w:pStyle w:val="TextBody"/>
        <w:spacing w:before="0" w:after="0"/>
        <w:jc w:val="both"/>
        <w:rPr/>
      </w:pPr>
      <w:r>
        <w:rPr/>
        <w:t> </w:t>
      </w:r>
    </w:p>
    <w:p>
      <w:pPr>
        <w:pStyle w:val="TextBody"/>
        <w:spacing w:before="0" w:after="0"/>
        <w:jc w:val="both"/>
        <w:rPr>
          <w:rFonts w:ascii="Calibri" w:hAnsi="Calibri"/>
          <w:b w:val="false"/>
          <w:sz w:val="22"/>
        </w:rPr>
      </w:pPr>
      <w:r>
        <w:rPr>
          <w:rFonts w:ascii="Calibri" w:hAnsi="Calibri"/>
          <w:b w:val="false"/>
          <w:sz w:val="22"/>
        </w:rPr>
        <w:t>(2)</w:t>
      </w:r>
    </w:p>
    <w:p>
      <w:pPr>
        <w:pStyle w:val="TextBody"/>
        <w:jc w:val="both"/>
        <w:rPr>
          <w:rFonts w:ascii="Calibri;sans-serif" w:hAnsi="Calibri;sans-serif"/>
          <w:b w:val="false"/>
          <w:sz w:val="22"/>
        </w:rPr>
      </w:pPr>
      <w:r>
        <w:rPr>
          <w:rFonts w:ascii="Calibri;sans-serif" w:hAnsi="Calibri;sans-serif"/>
          <w:b w:val="false"/>
          <w:sz w:val="22"/>
        </w:rPr>
        <w:t>the information contained in the Report fairly presents, in all material respects, the financial condition and results of operations of the Registrant.</w:t>
      </w:r>
    </w:p>
    <w:p>
      <w:pPr>
        <w:pStyle w:val="TextBody"/>
        <w:spacing w:before="0" w:after="0"/>
        <w:jc w:val="both"/>
        <w:rPr/>
      </w:pPr>
      <w:r>
        <w:rPr/>
        <w:t> </w:t>
      </w:r>
    </w:p>
    <w:p>
      <w:pPr>
        <w:pStyle w:val="TextBody"/>
        <w:spacing w:before="0" w:after="0"/>
        <w:jc w:val="both"/>
        <w:rPr/>
      </w:pPr>
      <w:r>
        <w:rPr/>
        <w:t> </w:t>
      </w:r>
    </w:p>
    <w:tbl>
      <w:tblPr>
        <w:tblW w:w="2281" w:type="dxa"/>
        <w:jc w:val="left"/>
        <w:tblInd w:w="0" w:type="dxa"/>
        <w:tblCellMar>
          <w:top w:w="28" w:type="dxa"/>
          <w:left w:w="28" w:type="dxa"/>
          <w:bottom w:w="28" w:type="dxa"/>
          <w:right w:w="28" w:type="dxa"/>
        </w:tblCellMar>
      </w:tblPr>
      <w:tblGrid>
        <w:gridCol w:w="2281"/>
      </w:tblGrid>
      <w:tr>
        <w:trPr/>
        <w:tc>
          <w:tcPr>
            <w:tcW w:w="2281" w:type="dxa"/>
            <w:tcBorders/>
            <w:shd w:fill="auto" w:val="clear"/>
            <w:vAlign w:val="center"/>
          </w:tcPr>
          <w:p>
            <w:pPr>
              <w:pStyle w:val="TableContents"/>
              <w:spacing w:before="0" w:after="283"/>
              <w:rPr>
                <w:sz w:val="4"/>
                <w:szCs w:val="4"/>
              </w:rPr>
            </w:pPr>
            <w:r>
              <w:rPr>
                <w:sz w:val="4"/>
                <w:szCs w:val="4"/>
              </w:rPr>
            </w:r>
          </w:p>
        </w:tc>
      </w:tr>
      <w:tr>
        <w:trPr/>
        <w:tc>
          <w:tcPr>
            <w:tcW w:w="2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 James A. J. Nickolas</w:t>
            </w:r>
          </w:p>
        </w:tc>
      </w:tr>
      <w:tr>
        <w:trPr/>
        <w:tc>
          <w:tcPr>
            <w:tcW w:w="22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James A. J. Nickolas</w:t>
            </w:r>
          </w:p>
        </w:tc>
      </w:tr>
      <w:tr>
        <w:trPr/>
        <w:tc>
          <w:tcPr>
            <w:tcW w:w="228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Sr. Vice President and</w:t>
            </w:r>
          </w:p>
        </w:tc>
      </w:tr>
      <w:tr>
        <w:trPr/>
        <w:tc>
          <w:tcPr>
            <w:tcW w:w="2281" w:type="dxa"/>
            <w:tcBorders/>
            <w:shd w:fill="auto" w:val="clear"/>
            <w:vAlign w:val="center"/>
          </w:tcPr>
          <w:p>
            <w:pPr>
              <w:pStyle w:val="TableContents"/>
              <w:spacing w:before="0" w:after="0"/>
              <w:ind w:left="0" w:right="0" w:hanging="0"/>
              <w:jc w:val="left"/>
              <w:rPr/>
            </w:pPr>
            <w:r>
              <w:rPr/>
              <w:t>   </w:t>
            </w:r>
            <w:r>
              <w:rPr>
                <w:rFonts w:ascii="Calibri;sans-serif" w:hAnsi="Calibri;sans-serif"/>
                <w:b w:val="false"/>
                <w:sz w:val="22"/>
              </w:rPr>
              <w:t>Chief Financial Officer</w:t>
            </w:r>
          </w:p>
        </w:tc>
      </w:tr>
    </w:tbl>
    <w:p>
      <w:pPr>
        <w:pStyle w:val="TextBody"/>
        <w:spacing w:before="0"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Dated: May 4, 2023</w:t>
      </w:r>
    </w:p>
    <w:p>
      <w:pPr>
        <w:pStyle w:val="TextBody"/>
        <w:spacing w:before="0" w:after="0"/>
        <w:jc w:val="both"/>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spacing w:before="0" w:after="0"/>
        <w:jc w:val="both"/>
        <w:rPr/>
      </w:pPr>
      <w:r>
        <w:rPr/>
        <w:t> </w:t>
      </w:r>
    </w:p>
    <w:p>
      <w:pPr>
        <w:pStyle w:val="TextBody"/>
        <w:spacing w:before="0" w:after="0"/>
        <w:jc w:val="both"/>
        <w:rPr/>
      </w:pPr>
      <w:r>
        <w:rPr/>
        <w:t> </w:t>
      </w:r>
    </w:p>
    <w:p>
      <w:pPr>
        <w:pStyle w:val="HorizontalLine"/>
        <w:rPr/>
      </w:pPr>
      <w:r>
        <w:rPr/>
      </w:r>
      <w:r>
        <w:br w:type="page"/>
      </w:r>
    </w:p>
    <w:p>
      <w:pPr>
        <w:pStyle w:val="TextBody"/>
        <w:spacing w:before="0" w:after="0"/>
        <w:jc w:val="right"/>
        <w:rPr>
          <w:rFonts w:ascii="Calibri;sans-serif" w:hAnsi="Calibri;sans-serif"/>
          <w:b w:val="false"/>
          <w:sz w:val="22"/>
        </w:rPr>
      </w:pPr>
      <w:bookmarkStart w:id="25" w:name="mlm-ex95.htm"/>
      <w:bookmarkStart w:id="26" w:name="ksmlmex95"/>
      <w:bookmarkEnd w:id="25"/>
      <w:bookmarkEnd w:id="26"/>
      <w:r>
        <w:rPr>
          <w:rFonts w:ascii="Calibri;sans-serif" w:hAnsi="Calibri;sans-serif"/>
          <w:b w:val="false"/>
          <w:sz w:val="22"/>
        </w:rPr>
        <w:t>Appendix 1</w:t>
      </w:r>
    </w:p>
    <w:p>
      <w:pPr>
        <w:pStyle w:val="TextBody"/>
        <w:spacing w:before="0" w:after="0"/>
        <w:jc w:val="right"/>
        <w:rPr>
          <w:rFonts w:ascii="Calibri;sans-serif" w:hAnsi="Calibri;sans-serif"/>
          <w:b/>
          <w:sz w:val="22"/>
        </w:rPr>
      </w:pPr>
      <w:r>
        <w:rPr>
          <w:rFonts w:ascii="Calibri;sans-serif" w:hAnsi="Calibri;sans-serif"/>
          <w:b/>
          <w:sz w:val="22"/>
        </w:rPr>
        <w:t>EXHIBIT 95</w:t>
      </w:r>
    </w:p>
    <w:p>
      <w:pPr>
        <w:pStyle w:val="TextBody"/>
        <w:spacing w:before="0" w:after="0"/>
        <w:jc w:val="center"/>
        <w:rPr/>
      </w:pPr>
      <w:r>
        <w:rPr/>
        <w:t> </w:t>
      </w:r>
    </w:p>
    <w:p>
      <w:pPr>
        <w:pStyle w:val="TextBody"/>
        <w:spacing w:before="0" w:after="0"/>
        <w:jc w:val="center"/>
        <w:rPr>
          <w:rFonts w:ascii="Calibri;sans-serif" w:hAnsi="Calibri;sans-serif"/>
          <w:b/>
          <w:sz w:val="22"/>
        </w:rPr>
      </w:pPr>
      <w:r>
        <w:rPr>
          <w:rFonts w:ascii="Calibri;sans-serif" w:hAnsi="Calibri;sans-serif"/>
          <w:b/>
          <w:sz w:val="22"/>
        </w:rPr>
        <w:t>MINE SAFETY DISCLOSURES</w:t>
      </w:r>
    </w:p>
    <w:p>
      <w:pPr>
        <w:pStyle w:val="TextBody"/>
        <w:spacing w:before="0" w:after="0"/>
        <w:jc w:val="center"/>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pStyle w:val="TextBody"/>
        <w:spacing w:before="0" w:after="0"/>
        <w:jc w:val="both"/>
        <w:rPr/>
      </w:pPr>
      <w:r>
        <w:rPr/>
        <w:t> </w:t>
      </w:r>
    </w:p>
    <w:p>
      <w:pPr>
        <w:pStyle w:val="TextBody"/>
        <w:spacing w:before="0" w:after="0"/>
        <w:jc w:val="both"/>
        <w:rPr>
          <w:rFonts w:ascii="Times New Roman" w:hAnsi="Times New Roman"/>
          <w:sz w:val="20"/>
        </w:rPr>
      </w:pPr>
      <w:r>
        <w:rPr>
          <w:rFonts w:ascii="Calibri;sans-serif" w:hAnsi="Calibri;sans-serif"/>
          <w:b w:val="false"/>
          <w:sz w:val="22"/>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pStyle w:val="TextBody"/>
        <w:spacing w:before="0" w:after="0"/>
        <w:jc w:val="both"/>
        <w:rPr/>
      </w:pPr>
      <w:r>
        <w:rPr/>
        <w:t> </w:t>
      </w:r>
    </w:p>
    <w:p>
      <w:pPr>
        <w:pStyle w:val="TextBody"/>
        <w:spacing w:before="0" w:after="0"/>
        <w:jc w:val="both"/>
        <w:rPr>
          <w:rFonts w:ascii="Calibri;sans-serif" w:hAnsi="Calibri;sans-serif"/>
          <w:b w:val="false"/>
          <w:sz w:val="22"/>
        </w:rPr>
      </w:pPr>
      <w:r>
        <w:rPr>
          <w:rFonts w:ascii="Calibri;sans-serif" w:hAnsi="Calibri;sans-serif"/>
          <w:b w:val="false"/>
          <w:sz w:val="22"/>
        </w:rPr>
        <w:t>The Company presents the following items regarding certain mining safety and health matters for the three months ended March 31, 2023:</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Calibri;sans-serif" w:hAnsi="Calibri;sans-serif"/>
          <w:b w:val="false"/>
          <w:sz w:val="22"/>
        </w:rPr>
      </w:pPr>
      <w:r>
        <w:rPr>
          <w:rFonts w:ascii="Calibri;sans-serif" w:hAnsi="Calibri;sans-serif"/>
          <w:b w:val="false"/>
          <w:sz w:val="22"/>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pStyle w:val="TextBody"/>
        <w:spacing w:before="220" w:after="0"/>
        <w:jc w:val="both"/>
        <w:rPr/>
      </w:pPr>
      <w:r>
        <w:rPr/>
        <w:t>•</w:t>
      </w:r>
    </w:p>
    <w:p>
      <w:pPr>
        <w:pStyle w:val="TextBody"/>
        <w:spacing w:before="220" w:after="283"/>
        <w:jc w:val="both"/>
        <w:rPr>
          <w:rFonts w:ascii="Calibri;sans-serif" w:hAnsi="Calibri;sans-serif"/>
          <w:b w:val="false"/>
          <w:sz w:val="22"/>
        </w:rPr>
      </w:pPr>
      <w:r>
        <w:rPr>
          <w:rFonts w:ascii="Calibri;sans-serif" w:hAnsi="Calibri;sans-serif"/>
          <w:b w:val="false"/>
          <w:sz w:val="22"/>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pStyle w:val="TextBody"/>
        <w:spacing w:before="0" w:after="0"/>
        <w:jc w:val="both"/>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 xml:space="preserve">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w:t>
      </w:r>
    </w:p>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p>
      <w:pPr>
        <w:pStyle w:val="TextBody"/>
        <w:jc w:val="both"/>
        <w:rPr>
          <w:rFonts w:ascii="Calibri;sans-serif" w:hAnsi="Calibri;sans-serif"/>
          <w:b w:val="false"/>
          <w:sz w:val="22"/>
        </w:rPr>
      </w:pPr>
      <w:r>
        <w:rPr>
          <w:rFonts w:ascii="Calibri;sans-serif" w:hAnsi="Calibri;sans-serif"/>
          <w:b w:val="false"/>
          <w:sz w:val="22"/>
        </w:rPr>
        <w:t>or health hazard, but the conditions do not cause imminent danger, and the MSHA inspector finds that the violation is caused by an unwarranted failure of the operator to comply with the health and safety standards.</w:t>
      </w:r>
    </w:p>
    <w:p>
      <w:pPr>
        <w:pStyle w:val="TextBody"/>
        <w:spacing w:before="0" w:after="0"/>
        <w:jc w:val="both"/>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spacing w:before="0" w:after="0"/>
        <w:jc w:val="left"/>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pStyle w:val="TextBody"/>
        <w:spacing w:before="0" w:after="0"/>
        <w:jc w:val="both"/>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pStyle w:val="TextBody"/>
        <w:spacing w:before="0" w:after="0"/>
        <w:jc w:val="left"/>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pStyle w:val="TextBody"/>
        <w:spacing w:before="0" w:after="0"/>
        <w:jc w:val="left"/>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pStyle w:val="TextBody"/>
        <w:spacing w:before="0" w:after="0"/>
        <w:jc w:val="left"/>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Legal actions before the Federal Mine Safety and Health Review Commissions pending as of the last day of period.</w:t>
      </w:r>
    </w:p>
    <w:p>
      <w:pPr>
        <w:pStyle w:val="TextBody"/>
        <w:spacing w:before="0" w:after="0"/>
        <w:jc w:val="left"/>
        <w:rPr/>
      </w:pPr>
      <w:r>
        <w:rPr/>
        <w:t> </w:t>
      </w:r>
    </w:p>
    <w:p>
      <w:pPr>
        <w:pStyle w:val="TextBody"/>
        <w:spacing w:before="0" w:after="0"/>
        <w:jc w:val="both"/>
        <w:rPr/>
      </w:pPr>
      <w:r>
        <w:rPr/>
        <w:t>•</w:t>
      </w:r>
    </w:p>
    <w:p>
      <w:pPr>
        <w:pStyle w:val="TextBody"/>
        <w:jc w:val="both"/>
        <w:rPr>
          <w:rFonts w:ascii="Calibri;sans-serif" w:hAnsi="Calibri;sans-serif"/>
          <w:b w:val="false"/>
          <w:sz w:val="22"/>
        </w:rPr>
      </w:pPr>
      <w:r>
        <w:rPr>
          <w:rFonts w:ascii="Calibri;sans-serif" w:hAnsi="Calibri;sans-serif"/>
          <w:b w:val="false"/>
          <w:sz w:val="22"/>
        </w:rPr>
        <w:t>Legal actions before the Federal Mine Safety and Health Review Commissions initiated during period.</w:t>
      </w:r>
    </w:p>
    <w:p>
      <w:pPr>
        <w:pStyle w:val="TextBody"/>
        <w:spacing w:before="0" w:after="0"/>
        <w:jc w:val="left"/>
        <w:rPr/>
      </w:pPr>
      <w:r>
        <w:rPr/>
        <w:t> </w:t>
      </w:r>
    </w:p>
    <w:p>
      <w:pPr>
        <w:pStyle w:val="TextBody"/>
        <w:spacing w:before="0" w:after="0"/>
        <w:jc w:val="both"/>
        <w:rPr/>
      </w:pPr>
      <w:r>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Calibri;sans-serif" w:hAnsi="Calibri;sans-serif"/>
          <w:b w:val="false"/>
          <w:sz w:val="22"/>
        </w:rPr>
      </w:pPr>
      <w:r>
        <w:rPr>
          <w:rFonts w:ascii="Calibri;sans-serif" w:hAnsi="Calibri;sans-serif"/>
          <w:b w:val="false"/>
          <w:sz w:val="22"/>
        </w:rPr>
        <w:t>Legal actions before the Federal Mine Safety and Health Review Commissions resolved during period.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p>
      <w:pPr>
        <w:pStyle w:val="TextBody"/>
        <w:spacing w:before="0" w:after="0"/>
        <w:jc w:val="both"/>
        <w:rPr>
          <w:rFonts w:ascii="Times New Roman" w:hAnsi="Times New Roman"/>
          <w:sz w:val="20"/>
        </w:rPr>
      </w:pPr>
      <w:bookmarkStart w:id="27" w:name="eolpage172"/>
      <w:bookmarkEnd w:id="27"/>
      <w:r>
        <w:rPr>
          <w:rFonts w:ascii="Calibri;sans-serif" w:hAnsi="Calibri;sans-serif"/>
          <w:b w:val="false"/>
          <w:sz w:val="22"/>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p>
      <w:pPr>
        <w:pStyle w:val="TextBody"/>
        <w:spacing w:before="0" w:after="0"/>
        <w:jc w:val="both"/>
        <w:rPr>
          <w:rFonts w:ascii="Calibri;sans-serif" w:hAnsi="Calibri;sans-serif"/>
          <w:b w:val="false"/>
          <w:sz w:val="22"/>
        </w:rPr>
      </w:pPr>
      <w:r>
        <w:rPr>
          <w:rFonts w:ascii="Calibri;sans-serif" w:hAnsi="Calibri;sans-serif"/>
          <w:b w:val="false"/>
          <w:sz w:val="22"/>
        </w:rPr>
        <w:t>penalties they have received from MSHA, or complaints of discrimination by miners under Section 105 of the Mine Act. Appendix 1 shows, for each of the Company’s quarries and mines identified, as of March 31, 2023,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pStyle w:val="TextBody"/>
        <w:spacing w:before="0" w:after="0"/>
        <w:jc w:val="both"/>
        <w:rPr/>
      </w:pPr>
      <w:r>
        <w:rPr/>
        <w:t> </w:t>
      </w:r>
    </w:p>
    <w:p>
      <w:pPr>
        <w:pStyle w:val="TextBody"/>
        <w:spacing w:before="0" w:after="0"/>
        <w:jc w:val="both"/>
        <w:rPr>
          <w:rFonts w:ascii="Calibri;sans-serif" w:hAnsi="Calibri;sans-serif"/>
          <w:b w:val="false"/>
          <w:sz w:val="22"/>
        </w:rPr>
      </w:pPr>
      <w:bookmarkStart w:id="28" w:name="fis_unidentified_table_109"/>
      <w:bookmarkEnd w:id="28"/>
      <w:r>
        <w:rPr>
          <w:rFonts w:ascii="Calibri;sans-serif" w:hAnsi="Calibri;sans-serif"/>
          <w:b w:val="false"/>
          <w:sz w:val="22"/>
        </w:rPr>
        <w:t>Appendix 1 attached.</w:t>
      </w:r>
    </w:p>
    <w:p>
      <w:pPr>
        <w:pStyle w:val="TextBody"/>
        <w:spacing w:before="0" w:after="0"/>
        <w:jc w:val="both"/>
        <w:rPr/>
      </w:pPr>
      <w:r>
        <w:rPr/>
        <w:t> </w:t>
      </w:r>
    </w:p>
    <w:p>
      <w:pPr>
        <w:pStyle w:val="TextBody"/>
        <w:spacing w:before="0" w:after="0"/>
        <w:jc w:val="both"/>
        <w:rPr/>
      </w:pPr>
      <w:r>
        <w:rPr/>
        <w:t> </w:t>
      </w:r>
    </w:p>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13585" w:type="dxa"/>
        <w:jc w:val="left"/>
        <w:tblInd w:w="0" w:type="dxa"/>
        <w:tblCellMar>
          <w:top w:w="28" w:type="dxa"/>
          <w:left w:w="28" w:type="dxa"/>
          <w:bottom w:w="28" w:type="dxa"/>
          <w:right w:w="28" w:type="dxa"/>
        </w:tblCellMar>
      </w:tblPr>
      <w:tblGrid>
        <w:gridCol w:w="1291"/>
        <w:gridCol w:w="946"/>
        <w:gridCol w:w="931"/>
        <w:gridCol w:w="796"/>
        <w:gridCol w:w="796"/>
        <w:gridCol w:w="796"/>
        <w:gridCol w:w="796"/>
        <w:gridCol w:w="338"/>
        <w:gridCol w:w="968"/>
        <w:gridCol w:w="146"/>
        <w:gridCol w:w="961"/>
        <w:gridCol w:w="961"/>
        <w:gridCol w:w="961"/>
        <w:gridCol w:w="871"/>
        <w:gridCol w:w="1021"/>
        <w:gridCol w:w="1006"/>
      </w:tblGrid>
      <w:tr>
        <w:trPr/>
        <w:tc>
          <w:tcPr>
            <w:tcW w:w="129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129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Location</w:t>
            </w:r>
          </w:p>
        </w:tc>
        <w:tc>
          <w:tcPr>
            <w:tcW w:w="94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MSHA ID</w:t>
            </w:r>
          </w:p>
        </w:tc>
        <w:tc>
          <w:tcPr>
            <w:tcW w:w="93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Section 104 S&amp;S Citations (#)</w:t>
            </w:r>
          </w:p>
        </w:tc>
        <w:tc>
          <w:tcPr>
            <w:tcW w:w="79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Section 104(b) Orders (#)</w:t>
            </w:r>
          </w:p>
        </w:tc>
        <w:tc>
          <w:tcPr>
            <w:tcW w:w="79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Section 104(d) Citations and Orders (#)</w:t>
            </w:r>
          </w:p>
        </w:tc>
        <w:tc>
          <w:tcPr>
            <w:tcW w:w="79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Section 110(b)(2) Violations (#)</w:t>
            </w:r>
          </w:p>
        </w:tc>
        <w:tc>
          <w:tcPr>
            <w:tcW w:w="79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Section 107(a) Orders (#)</w:t>
            </w:r>
          </w:p>
        </w:tc>
        <w:tc>
          <w:tcPr>
            <w:tcW w:w="1306" w:type="dxa"/>
            <w:gridSpan w:val="2"/>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Total Dollar Value of MSHA Assessment/ $Proposed</w:t>
            </w:r>
          </w:p>
        </w:tc>
        <w:tc>
          <w:tcPr>
            <w:tcW w:w="146" w:type="dxa"/>
            <w:tcBorders/>
            <w:shd w:fill="auto" w:val="clear"/>
            <w:vAlign w:val="center"/>
          </w:tcPr>
          <w:p>
            <w:pPr>
              <w:pStyle w:val="TableContents"/>
              <w:spacing w:before="0" w:after="0"/>
              <w:ind w:left="0" w:right="0" w:hanging="0"/>
              <w:jc w:val="center"/>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Total Number of Mining Related Fatalities (#)</w:t>
            </w:r>
          </w:p>
        </w:tc>
        <w:tc>
          <w:tcPr>
            <w:tcW w:w="96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Received Notice of Pattern of Violation Under Section 104(e) (yes/no)</w:t>
            </w:r>
          </w:p>
        </w:tc>
        <w:tc>
          <w:tcPr>
            <w:tcW w:w="96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Received Notice of Potential to have Pattern under Section 104(e) (yes/no)</w:t>
            </w:r>
          </w:p>
        </w:tc>
        <w:tc>
          <w:tcPr>
            <w:tcW w:w="87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Legal Actions Pending as of Last Day of Period (#)*</w:t>
            </w:r>
          </w:p>
        </w:tc>
        <w:tc>
          <w:tcPr>
            <w:tcW w:w="102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Legal Actions Instituted During Period (#)</w:t>
            </w:r>
          </w:p>
        </w:tc>
        <w:tc>
          <w:tcPr>
            <w:tcW w:w="100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Legal Actions Resolved During Period (#)</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Alexander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3101636</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American 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3100189</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Anderson Creek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4402963</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Appling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0901083</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Arrowood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3100059</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1,102</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Asheboro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3100066</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Auburn Al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0100006</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Auburn GA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0900436</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Augusta GA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0900065</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Bakers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3100071</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Ball Ground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0900955</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Belgrade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3100064</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Benson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3101979</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Berkeley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3800072</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Bessemer City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3101105</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Bonds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3101963</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Boonesboro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1800024</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Burlington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3100042</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Caldwell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3101869</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Calhoun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4003395</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Calhoun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3800716</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Castle Hayne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3100063</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Cayce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3800016</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518</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Central Rock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3100050</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Charlotte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3100057</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1,380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Chattanooga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4003159</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1,123</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Churchville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1800012</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12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Clarks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3102009</w:t>
            </w:r>
          </w:p>
        </w:tc>
        <w:tc>
          <w:tcPr>
            <w:tcW w:w="93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79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3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968"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96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8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2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100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bl>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7001" w:type="dxa"/>
        <w:jc w:val="left"/>
        <w:tblInd w:w="0" w:type="dxa"/>
        <w:tblCellMar>
          <w:top w:w="28" w:type="dxa"/>
          <w:left w:w="28" w:type="dxa"/>
          <w:bottom w:w="28" w:type="dxa"/>
          <w:right w:w="28" w:type="dxa"/>
        </w:tblCellMar>
      </w:tblPr>
      <w:tblGrid>
        <w:gridCol w:w="2446"/>
        <w:gridCol w:w="946"/>
        <w:gridCol w:w="226"/>
        <w:gridCol w:w="226"/>
        <w:gridCol w:w="226"/>
        <w:gridCol w:w="226"/>
        <w:gridCol w:w="226"/>
        <w:gridCol w:w="226"/>
        <w:gridCol w:w="466"/>
        <w:gridCol w:w="146"/>
        <w:gridCol w:w="226"/>
        <w:gridCol w:w="346"/>
        <w:gridCol w:w="346"/>
        <w:gridCol w:w="226"/>
        <w:gridCol w:w="226"/>
        <w:gridCol w:w="271"/>
      </w:tblGrid>
      <w:tr>
        <w:trPr/>
        <w:tc>
          <w:tcPr>
            <w:tcW w:w="24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Cumberland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3102237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Cumming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0900460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Denver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3101971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429</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Doswell Quarry VA</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4400045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Douglasville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0900024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East Alamance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3102021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Edgefield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3800738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Edmund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3800662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286</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Fountain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3100065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Franklin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3102130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Frederick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1800013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Fuquay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3102055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Garner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3100072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Georgetown II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3800525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Greensboro Portable Plt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3102336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Greensboro Portable Plt II</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3102335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Hickory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3100043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Homer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0900958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Jamestown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3100051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Jefferson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0901106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Junction City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0901029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Kannapolis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3100070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Kent Sand &amp;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1800745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Kings Mountain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3100047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461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Lemon Springs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3101104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464</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Lithonia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0900023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Loamy Sand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3800721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Maiden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3102125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Mallard Creek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3102006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Matthews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3102084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Maylene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0100634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Medford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1800035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Midlothian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4403767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Misc Greensboro District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B8611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Morgan County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0901126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Newton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0900899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North Columbia</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3800146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429</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w:t>
            </w:r>
          </w:p>
        </w:tc>
      </w:tr>
    </w:tbl>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7676" w:type="dxa"/>
        <w:jc w:val="left"/>
        <w:tblInd w:w="0" w:type="dxa"/>
        <w:tblCellMar>
          <w:top w:w="28" w:type="dxa"/>
          <w:left w:w="28" w:type="dxa"/>
          <w:bottom w:w="28" w:type="dxa"/>
          <w:right w:w="28" w:type="dxa"/>
        </w:tblCellMar>
      </w:tblPr>
      <w:tblGrid>
        <w:gridCol w:w="3121"/>
        <w:gridCol w:w="946"/>
        <w:gridCol w:w="226"/>
        <w:gridCol w:w="226"/>
        <w:gridCol w:w="226"/>
        <w:gridCol w:w="226"/>
        <w:gridCol w:w="226"/>
        <w:gridCol w:w="226"/>
        <w:gridCol w:w="466"/>
        <w:gridCol w:w="146"/>
        <w:gridCol w:w="226"/>
        <w:gridCol w:w="346"/>
        <w:gridCol w:w="346"/>
        <w:gridCol w:w="226"/>
        <w:gridCol w:w="226"/>
        <w:gridCol w:w="271"/>
      </w:tblGrid>
      <w:tr>
        <w:trPr/>
        <w:tc>
          <w:tcPr>
            <w:tcW w:w="312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North East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1800417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Old Charleston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3800702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O'Neal Plant Co 19</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0103076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Onslow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3102120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Paulding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0901107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Perry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0801083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Pinesburg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1800021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Pomona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3100052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Raleigh Durham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3101941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Red Hill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4400072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Red Oak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0900069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Reidsville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3100068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Rock Hill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3800026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Rocky Point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3101956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Ruby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0900074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Salem 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3102038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Six Mile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0901144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St. Marys Sand Company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0901199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Statesville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3100055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Texas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1800009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Thomasville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3101475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Tyrone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0900306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318</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Vance Quarry Co 19</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0103022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Warfordsburg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3600168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Warrenton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0900580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214</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Woodleaf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3100069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(45) North Indianapolis SURFACE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1200002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Alden Portable Plant #2</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1302033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Alden Portable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1302037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Alden Portable Wash</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1302122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Alden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1300228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Ames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1300014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Apple Grove S 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3301676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Belmont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1201911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Bowling Green North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1500065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Bowling Green South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1500025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312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Burning Springs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4608862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bl>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7751" w:type="dxa"/>
        <w:jc w:val="left"/>
        <w:tblInd w:w="0" w:type="dxa"/>
        <w:tblCellMar>
          <w:top w:w="28" w:type="dxa"/>
          <w:left w:w="28" w:type="dxa"/>
          <w:bottom w:w="28" w:type="dxa"/>
          <w:right w:w="28" w:type="dxa"/>
        </w:tblCellMar>
      </w:tblPr>
      <w:tblGrid>
        <w:gridCol w:w="2896"/>
        <w:gridCol w:w="946"/>
        <w:gridCol w:w="226"/>
        <w:gridCol w:w="226"/>
        <w:gridCol w:w="226"/>
        <w:gridCol w:w="226"/>
        <w:gridCol w:w="226"/>
        <w:gridCol w:w="226"/>
        <w:gridCol w:w="766"/>
        <w:gridCol w:w="146"/>
        <w:gridCol w:w="226"/>
        <w:gridCol w:w="346"/>
        <w:gridCol w:w="346"/>
        <w:gridCol w:w="226"/>
        <w:gridCol w:w="226"/>
        <w:gridCol w:w="271"/>
      </w:tblGrid>
      <w:tr>
        <w:trPr/>
        <w:tc>
          <w:tcPr>
            <w:tcW w:w="289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Carmel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1202124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Cedar Rapids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1300122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Cedarville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3304072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Cloverdale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1201744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Cumberland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1500037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Des Moines Portable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1300150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357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Des Moines Portable #2</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1300932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Dubois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2501046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Durham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1301225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 Town Sand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3304279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Earlham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1302123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Elk River Wash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2101218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Fairfield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3301396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Ferguson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1300124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Fort Calhoun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2501300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1,670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Fort Dodge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1300032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Greenwood Quarry New</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2300141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Harlan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1500071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Hartford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1500095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Inactive Iowa Grading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1302126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Iowa Grading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1302316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Johnson County Sand &amp;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1202506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Kentucky Ave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1201762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24,433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Kokomo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1202105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Kokomo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1202203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661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Kokomo 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1200142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1,314</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Linn County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1302208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Malcom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1300112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Marshalltown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1300718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Midwest Division OH</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A2354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1</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2101112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2</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2101593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3</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2103147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4</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2103287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5</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2101110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6</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2103120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7</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2103355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bl>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7211" w:type="dxa"/>
        <w:jc w:val="left"/>
        <w:tblInd w:w="0" w:type="dxa"/>
        <w:tblCellMar>
          <w:top w:w="28" w:type="dxa"/>
          <w:left w:w="28" w:type="dxa"/>
          <w:bottom w:w="28" w:type="dxa"/>
          <w:right w:w="28" w:type="dxa"/>
        </w:tblCellMar>
      </w:tblPr>
      <w:tblGrid>
        <w:gridCol w:w="2476"/>
        <w:gridCol w:w="946"/>
        <w:gridCol w:w="226"/>
        <w:gridCol w:w="226"/>
        <w:gridCol w:w="226"/>
        <w:gridCol w:w="226"/>
        <w:gridCol w:w="226"/>
        <w:gridCol w:w="226"/>
        <w:gridCol w:w="646"/>
        <w:gridCol w:w="146"/>
        <w:gridCol w:w="226"/>
        <w:gridCol w:w="346"/>
        <w:gridCol w:w="346"/>
        <w:gridCol w:w="226"/>
        <w:gridCol w:w="226"/>
        <w:gridCol w:w="271"/>
      </w:tblGrid>
      <w:tr>
        <w:trPr/>
        <w:tc>
          <w:tcPr>
            <w:tcW w:w="24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Portable # 8</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2101843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MN Reclamation</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2103690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Moore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1302188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New Harvey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1301778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New Marshall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1302504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Noblesville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1201994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Noblesville 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1202176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6,790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North Indianapolis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1201993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7,907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North Valley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2501271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Ottawa Quarry New</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1401590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Pedersen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1302192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Petersburg Ky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1516895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Phillipsburg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3300006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Portland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1302122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Putnam Quarry Divest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1202242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Raccoon River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1302315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Randolph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2302308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Reasnor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1300814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Saylorville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1302290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Shamrock SG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3304011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Spring Valley Cook Rd SG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3304534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St Cloud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2100081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Stamper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2302232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Sully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1300063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Sunflower Qy Co 61</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1401556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Troy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3301678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Walterloo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2501314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Waverly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1202038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Weeping Water Mine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2500998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2,097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West Center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2501231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642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Xenia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3301393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Yellow Medicine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2100033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Clarkdale Sand &amp;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0202524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468</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Clayton</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0400159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Coolidge Plant 65</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0203173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Eagle Valley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0404758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47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Granite Canyon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4800018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bl>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7451" w:type="dxa"/>
        <w:jc w:val="left"/>
        <w:tblInd w:w="0" w:type="dxa"/>
        <w:tblCellMar>
          <w:top w:w="28" w:type="dxa"/>
          <w:left w:w="28" w:type="dxa"/>
          <w:bottom w:w="28" w:type="dxa"/>
          <w:right w:w="28" w:type="dxa"/>
        </w:tblCellMar>
      </w:tblPr>
      <w:tblGrid>
        <w:gridCol w:w="2896"/>
        <w:gridCol w:w="946"/>
        <w:gridCol w:w="226"/>
        <w:gridCol w:w="226"/>
        <w:gridCol w:w="226"/>
        <w:gridCol w:w="226"/>
        <w:gridCol w:w="226"/>
        <w:gridCol w:w="226"/>
        <w:gridCol w:w="466"/>
        <w:gridCol w:w="146"/>
        <w:gridCol w:w="226"/>
        <w:gridCol w:w="346"/>
        <w:gridCol w:w="346"/>
        <w:gridCol w:w="226"/>
        <w:gridCol w:w="226"/>
        <w:gridCol w:w="271"/>
      </w:tblGrid>
      <w:tr>
        <w:trPr/>
        <w:tc>
          <w:tcPr>
            <w:tcW w:w="289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Greeley 35th Ready Mix</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0504382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Greeley 35th Sand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0504613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Guernsey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4800004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Hassayampa</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0202679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Hughson AGG &amp; HMA</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0401769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Irwindale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0401838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Lakeside Vigilante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0402685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Merced AGG &amp; HMA</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0402841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Milford Quarry Utah</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4202177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Miramar Recycle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0402911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Pacific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4500844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Parkdale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0504635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786</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Parsons Sand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0503215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Penrose Sand 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0504509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325</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Pier 92 Marine Aggregates</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0405261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Platte Sand &amp;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0504418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Portable Crushing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0503984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Portable Plant 1</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0504359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Portable Plant 21</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0504520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Red Canyon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0504136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Rich Sand &amp;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0504186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River Ranch AGG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0202646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Riverbend Sand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0504841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San Andreas AGG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0400539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Sanger AGG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0405799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Santa Margarita Aggregates</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0401616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Santee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0405564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518</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Sisquoc Aggregates</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0401959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Spec Agg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0500860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Sunol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0401859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Taft Sand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0504526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Taft Wash Plant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0504735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429</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Tidewater Oakland Marine Agg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0403002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Yavapai AGG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0201222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143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51 Sand &amp;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4105381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Beckmann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4101335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89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Bedrock Sand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4103283</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bl>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6971" w:type="dxa"/>
        <w:jc w:val="left"/>
        <w:tblInd w:w="0" w:type="dxa"/>
        <w:tblCellMar>
          <w:top w:w="28" w:type="dxa"/>
          <w:left w:w="28" w:type="dxa"/>
          <w:bottom w:w="28" w:type="dxa"/>
          <w:right w:w="28" w:type="dxa"/>
        </w:tblCellMar>
      </w:tblPr>
      <w:tblGrid>
        <w:gridCol w:w="2236"/>
        <w:gridCol w:w="946"/>
        <w:gridCol w:w="226"/>
        <w:gridCol w:w="226"/>
        <w:gridCol w:w="226"/>
        <w:gridCol w:w="226"/>
        <w:gridCol w:w="226"/>
        <w:gridCol w:w="226"/>
        <w:gridCol w:w="646"/>
        <w:gridCol w:w="146"/>
        <w:gridCol w:w="226"/>
        <w:gridCol w:w="346"/>
        <w:gridCol w:w="346"/>
        <w:gridCol w:w="226"/>
        <w:gridCol w:w="226"/>
        <w:gridCol w:w="271"/>
      </w:tblGrid>
      <w:tr>
        <w:trPr/>
        <w:tc>
          <w:tcPr>
            <w:tcW w:w="223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Bells Savoy SG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4104019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Black Rock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0300011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Black Spur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4104159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Bridgeport 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4100007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Broken Bow SG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3400460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Chico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4103360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Davis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3401299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Garfield SG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4103909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Garwood Gravel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4102886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GMS</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C335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Gulf Coast Port #2</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4104204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Hatton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0301614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489</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Helotes</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4103137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Highway 211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4103829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Hondo</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4104708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Hugo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3400061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Hunter Cement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4102820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1,287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Hunter 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4105230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Idabel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3400507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Jones Mill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0301586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Koontz McCombs Pit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4105048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Liberty Ranch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4105268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Medina Rock Rail</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4105170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Midlothian Cement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4100071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Mill Creek Limestone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3401859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Mill Creek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3401285</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North Austin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4104380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Perryville Aggregates</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1601417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Poteet Sand</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4101342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Redding Cement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0400034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Rio Medina</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4103594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San Pedro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4101337</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Sawyer East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3401809</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Sawyer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3401634</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Smithson Valley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4104108</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Snyder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3401651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375</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23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Tehachapi Cement</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0400196</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2</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64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1,134</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bl>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Calibri;sans-serif" w:hAnsi="Calibri;sans-serif"/>
          <w:b w:val="false"/>
          <w:sz w:val="22"/>
        </w:rPr>
      </w:pPr>
      <w:r>
        <w:rPr>
          <w:rFonts w:ascii="Calibri;sans-serif" w:hAnsi="Calibri;sans-serif"/>
          <w:b w:val="false"/>
          <w:sz w:val="22"/>
        </w:rPr>
        <w:t>Appendix 1</w:t>
      </w:r>
    </w:p>
    <w:tbl>
      <w:tblPr>
        <w:tblW w:w="7286" w:type="dxa"/>
        <w:jc w:val="left"/>
        <w:tblInd w:w="0" w:type="dxa"/>
        <w:tblCellMar>
          <w:top w:w="28" w:type="dxa"/>
          <w:left w:w="28" w:type="dxa"/>
          <w:bottom w:w="28" w:type="dxa"/>
          <w:right w:w="28" w:type="dxa"/>
        </w:tblCellMar>
      </w:tblPr>
      <w:tblGrid>
        <w:gridCol w:w="2311"/>
        <w:gridCol w:w="946"/>
        <w:gridCol w:w="346"/>
        <w:gridCol w:w="226"/>
        <w:gridCol w:w="226"/>
        <w:gridCol w:w="226"/>
        <w:gridCol w:w="226"/>
        <w:gridCol w:w="226"/>
        <w:gridCol w:w="766"/>
        <w:gridCol w:w="146"/>
        <w:gridCol w:w="226"/>
        <w:gridCol w:w="346"/>
        <w:gridCol w:w="346"/>
        <w:gridCol w:w="226"/>
        <w:gridCol w:w="226"/>
        <w:gridCol w:w="271"/>
      </w:tblGrid>
      <w:tr>
        <w:trPr/>
        <w:tc>
          <w:tcPr>
            <w:tcW w:w="231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Tin Top SG</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4102852</w:t>
            </w:r>
          </w:p>
        </w:tc>
        <w:tc>
          <w:tcPr>
            <w:tcW w:w="34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Washita Quarry</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3402049</w:t>
            </w:r>
          </w:p>
        </w:tc>
        <w:tc>
          <w:tcPr>
            <w:tcW w:w="34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Webberville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4104363</w:t>
            </w:r>
          </w:p>
        </w:tc>
        <w:tc>
          <w:tcPr>
            <w:tcW w:w="34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429</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Woodworth Aggregates</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1601070</w:t>
            </w:r>
          </w:p>
        </w:tc>
        <w:tc>
          <w:tcPr>
            <w:tcW w:w="34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Geology and Exploration</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B7137</w:t>
            </w:r>
          </w:p>
        </w:tc>
        <w:tc>
          <w:tcPr>
            <w:tcW w:w="34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Salisbury Shop</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B9338</w:t>
            </w:r>
          </w:p>
        </w:tc>
        <w:tc>
          <w:tcPr>
            <w:tcW w:w="34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Woodville Stone</w:t>
            </w:r>
          </w:p>
        </w:tc>
        <w:tc>
          <w:tcPr>
            <w:tcW w:w="9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3300156</w:t>
            </w:r>
          </w:p>
        </w:tc>
        <w:tc>
          <w:tcPr>
            <w:tcW w:w="34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val="false"/>
                <w:sz w:val="22"/>
              </w:rPr>
            </w:pPr>
            <w:r>
              <w:rPr>
                <w:rFonts w:ascii="Calibri;sans-serif" w:hAnsi="Calibri;sans-serif"/>
                <w:b w:val="false"/>
                <w:sz w:val="22"/>
              </w:rPr>
              <w:t>0</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34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no</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c>
          <w:tcPr>
            <w:tcW w:w="271" w:type="dxa"/>
            <w:tcBorders/>
            <w:shd w:fill="auto" w:val="clear"/>
            <w:vAlign w:val="center"/>
          </w:tcPr>
          <w:p>
            <w:pPr>
              <w:pStyle w:val="TableContents"/>
              <w:spacing w:before="0" w:after="0"/>
              <w:ind w:left="0" w:right="0" w:hanging="0"/>
              <w:jc w:val="center"/>
              <w:rPr>
                <w:rFonts w:ascii="Calibri;sans-serif" w:hAnsi="Calibri;sans-serif"/>
                <w:b w:val="false"/>
                <w:sz w:val="22"/>
              </w:rPr>
            </w:pPr>
            <w:r>
              <w:rPr>
                <w:rFonts w:ascii="Calibri;sans-serif" w:hAnsi="Calibri;sans-serif"/>
                <w:b w:val="false"/>
                <w:sz w:val="22"/>
              </w:rPr>
              <w:t>0</w:t>
            </w:r>
          </w:p>
        </w:tc>
      </w:tr>
      <w:tr>
        <w:trPr/>
        <w:tc>
          <w:tcPr>
            <w:tcW w:w="2311"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TOTAL</w:t>
            </w:r>
          </w:p>
        </w:tc>
        <w:tc>
          <w:tcPr>
            <w:tcW w:w="94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38</w:t>
            </w:r>
          </w:p>
        </w:tc>
        <w:tc>
          <w:tcPr>
            <w:tcW w:w="22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1</w:t>
            </w:r>
          </w:p>
        </w:tc>
        <w:tc>
          <w:tcPr>
            <w:tcW w:w="22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0</w:t>
            </w:r>
          </w:p>
        </w:tc>
        <w:tc>
          <w:tcPr>
            <w:tcW w:w="22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0</w:t>
            </w:r>
          </w:p>
        </w:tc>
        <w:tc>
          <w:tcPr>
            <w:tcW w:w="226" w:type="dxa"/>
            <w:tcBorders/>
            <w:shd w:fill="auto" w:val="clear"/>
            <w:vAlign w:val="center"/>
          </w:tcPr>
          <w:p>
            <w:pPr>
              <w:pStyle w:val="TableContents"/>
              <w:spacing w:before="0" w:after="0"/>
              <w:ind w:left="0" w:right="0" w:hanging="0"/>
              <w:jc w:val="left"/>
              <w:rPr>
                <w:rFonts w:ascii="Calibri;sans-serif" w:hAnsi="Calibri;sans-serif"/>
                <w:b/>
                <w:sz w:val="22"/>
              </w:rPr>
            </w:pPr>
            <w:r>
              <w:rPr>
                <w:rFonts w:ascii="Calibri;sans-serif" w:hAnsi="Calibri;sans-serif"/>
                <w:b/>
                <w:sz w:val="22"/>
              </w:rPr>
              <w:t>$</w:t>
            </w:r>
          </w:p>
        </w:tc>
        <w:tc>
          <w:tcPr>
            <w:tcW w:w="766" w:type="dxa"/>
            <w:tcBorders/>
            <w:shd w:fill="auto" w:val="clear"/>
            <w:vAlign w:val="center"/>
          </w:tcPr>
          <w:p>
            <w:pPr>
              <w:pStyle w:val="TableContents"/>
              <w:spacing w:before="0" w:after="0"/>
              <w:ind w:left="0" w:right="0" w:hanging="0"/>
              <w:jc w:val="right"/>
              <w:rPr>
                <w:rFonts w:ascii="Calibri;sans-serif" w:hAnsi="Calibri;sans-serif"/>
                <w:b/>
                <w:sz w:val="22"/>
              </w:rPr>
            </w:pPr>
            <w:r>
              <w:rPr>
                <w:rFonts w:ascii="Calibri;sans-serif" w:hAnsi="Calibri;sans-serif"/>
                <w:b/>
                <w:sz w:val="22"/>
              </w:rPr>
              <w:t>62,524</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1</w:t>
            </w:r>
          </w:p>
        </w:tc>
        <w:tc>
          <w:tcPr>
            <w:tcW w:w="346" w:type="dxa"/>
            <w:tcBorders/>
            <w:shd w:fill="auto" w:val="cle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6</w:t>
            </w:r>
          </w:p>
        </w:tc>
        <w:tc>
          <w:tcPr>
            <w:tcW w:w="226"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2</w:t>
            </w:r>
          </w:p>
        </w:tc>
        <w:tc>
          <w:tcPr>
            <w:tcW w:w="271" w:type="dxa"/>
            <w:tcBorders/>
            <w:shd w:fill="auto" w:val="clear"/>
            <w:vAlign w:val="center"/>
          </w:tcPr>
          <w:p>
            <w:pPr>
              <w:pStyle w:val="TableContents"/>
              <w:spacing w:before="0" w:after="0"/>
              <w:ind w:left="0" w:right="0" w:hanging="0"/>
              <w:jc w:val="center"/>
              <w:rPr>
                <w:rFonts w:ascii="Calibri;sans-serif" w:hAnsi="Calibri;sans-serif"/>
                <w:b/>
                <w:sz w:val="22"/>
              </w:rPr>
            </w:pPr>
            <w:r>
              <w:rPr>
                <w:rFonts w:ascii="Calibri;sans-serif" w:hAnsi="Calibri;sans-serif"/>
                <w:b/>
                <w:sz w:val="22"/>
              </w:rPr>
              <w:t>7</w:t>
            </w:r>
          </w:p>
        </w:tc>
      </w:tr>
    </w:tbl>
    <w:p>
      <w:pPr>
        <w:pStyle w:val="TextBody"/>
        <w:spacing w:before="220" w:after="0"/>
        <w:jc w:val="both"/>
        <w:rPr>
          <w:rFonts w:ascii="Times New Roman" w:hAnsi="Times New Roman"/>
          <w:sz w:val="20"/>
        </w:rPr>
      </w:pPr>
      <w:r>
        <w:rPr>
          <w:rFonts w:ascii="Calibri;sans-serif" w:hAnsi="Calibri;sans-serif"/>
          <w:b w:val="false"/>
          <w:sz w:val="22"/>
        </w:rPr>
        <w:t>*</w:t>
      </w:r>
      <w:r>
        <w:rPr>
          <w:rFonts w:ascii="Times New Roman" w:hAnsi="Times New Roman"/>
          <w:sz w:val="20"/>
        </w:rPr>
        <w:t xml:space="preserve"> </w:t>
      </w:r>
      <w:r>
        <w:rPr>
          <w:rFonts w:ascii="Calibri;sans-serif" w:hAnsi="Calibri;sans-serif"/>
          <w:b w:val="false"/>
          <w:sz w:val="22"/>
        </w:rPr>
        <w:t>Of the 6 legal actions pending on March 31, 2023, none were contests of citations or orders referenced in Subpart B of CFR Part 2700, which includes contests of citations and orders issued under Section 104 of the Mine Act and contests of imminent danger orders under Section 107 of the Mine Act, five were contests of proposed penalties referenced in Subpart C of 29 CFR Part 2700, which are administrative proceedings before the Commission challenging a civil penalty that MSHA has proposed for the violation contained in a citation or order, and one was a contest of an order issued under Section 103 (K) of the Mine Act.</w:t>
      </w:r>
      <w:r>
        <w:rPr>
          <w:rFonts w:ascii="Times New Roman" w:hAnsi="Times New Roman"/>
          <w:sz w:val="20"/>
        </w:rPr>
        <w:t xml:space="preserve"> </w:t>
      </w:r>
    </w:p>
    <w:p>
      <w:pPr>
        <w:pStyle w:val="TextBody"/>
        <w:spacing w:before="220" w:after="0"/>
        <w:jc w:val="both"/>
        <w:rPr/>
      </w:pPr>
      <w:r>
        <w:rPr/>
        <w:t> </w:t>
      </w:r>
    </w:p>
    <w:p>
      <w:pPr>
        <w:pStyle w:val="TextBody"/>
        <w:spacing w:before="220" w:after="0"/>
        <w:jc w:val="both"/>
        <w:rPr/>
      </w:pPr>
      <w:r>
        <w:rPr/>
        <w:t> </w:t>
      </w:r>
    </w:p>
    <w:p>
      <w:pPr>
        <w:pStyle w:val="TextBody"/>
        <w:spacing w:before="0" w:after="0"/>
        <w:jc w:val="center"/>
        <w:rPr/>
      </w:pPr>
      <w:r>
        <w:rPr/>
        <w:t> </w:t>
      </w:r>
    </w:p>
    <w:p>
      <w:pPr>
        <w:pStyle w:val="TextBody"/>
        <w:spacing w:before="0" w:after="0"/>
        <w:jc w:val="center"/>
        <w:rPr/>
      </w:pPr>
      <w:r>
        <w:rPr/>
        <w:t>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sans-serif"/>
    <w:charset w:val="00"/>
    <w:family w:val="auto"/>
    <w:pitch w:val="default"/>
  </w:font>
  <w:font w:name="Calibri">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20600</Words>
  <CharactersWithSpaces>119744</CharactersWithSpaces>
  <Paragraphs>9820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