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5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17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9"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Exchange Act of 1934 (Amendment No.</w:t>
      </w:r>
      <w:r>
        <w:rPr>
          <w:sz w:val="20"/>
          <w:szCs w:val="20"/>
          <w:color w:val="auto"/>
        </w:rPr>
        <w:tab/>
      </w:r>
      <w:r>
        <w:rPr>
          <w:rFonts w:ascii="Times New Roman" w:cs="Times New Roman" w:eastAsia="Times New Roman" w:hAnsi="Times New Roman"/>
          <w:sz w:val="12"/>
          <w:szCs w:val="12"/>
          <w:b w:val="1"/>
          <w:bCs w:val="1"/>
          <w:color w:val="auto"/>
        </w:rPr>
        <w:t>)</w:t>
      </w:r>
    </w:p>
    <w:p>
      <w:pPr>
        <w:spacing w:after="0" w:line="132"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5220" w:firstLine="8"/>
        <w:spacing w:after="0" w:line="216" w:lineRule="exact"/>
        <w:tabs>
          <w:tab w:leader="none" w:pos="47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480" w:hanging="472"/>
        <w:spacing w:after="0" w:line="275" w:lineRule="auto"/>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-4117975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-3697605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-3140075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-2720340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-2334260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-1879600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-979170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-558800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280670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546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3"/>
          <w:szCs w:val="43"/>
          <w:b w:val="1"/>
          <w:bCs w:val="1"/>
          <w:color w:val="auto"/>
        </w:rPr>
        <w:t>Notice of 2013</w:t>
      </w:r>
    </w:p>
    <w:p>
      <w:pPr>
        <w:spacing w:after="0" w:line="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3"/>
          <w:szCs w:val="43"/>
          <w:b w:val="1"/>
          <w:bCs w:val="1"/>
          <w:color w:val="auto"/>
        </w:rPr>
        <w:t>Annual Meeting of</w:t>
      </w:r>
    </w:p>
    <w:p>
      <w:pPr>
        <w:spacing w:after="0" w:line="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3"/>
          <w:szCs w:val="43"/>
          <w:b w:val="1"/>
          <w:bCs w:val="1"/>
          <w:color w:val="auto"/>
        </w:rPr>
        <w:t>Shareholders and</w:t>
      </w:r>
    </w:p>
    <w:p>
      <w:pPr>
        <w:spacing w:after="0" w:line="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3"/>
          <w:szCs w:val="43"/>
          <w:b w:val="1"/>
          <w:bCs w:val="1"/>
          <w:color w:val="auto"/>
        </w:rPr>
        <w:t>Proxy Statement</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464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464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16,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Directors and Officers of Martin Marietta Materials, Inc. join us in inviting you to attend Martin Marietta’s Annual Meeting of Shareholders on May 23, 2013. The formal notice of this meeting and the proxy statement describing the matters to be acted upon at the meeting accompany this letter.</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in person, we encourage you to vote so that your shares will be represented and voted at the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Martin Marietta Materials.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ectPr>
          <w:pgSz w:w="11900" w:h="16838" w:orient="portrait"/>
          <w:cols w:equalWidth="0" w:num="1">
            <w:col w:w="11060"/>
          </w:cols>
          <w:pgMar w:left="4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P. Zelnak, Jr.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Howard Nye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ectPr>
          <w:pgSz w:w="11900" w:h="16838" w:orient="portrait"/>
          <w:cols w:equalWidth="0" w:num="2">
            <w:col w:w="5140" w:space="720"/>
            <w:col w:w="5200"/>
          </w:cols>
          <w:pgMar w:left="460" w:top="1440"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22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022340"/>
                    </a:xfrm>
                    <a:prstGeom prst="rect">
                      <a:avLst/>
                    </a:prstGeom>
                    <a:noFill/>
                  </pic:spPr>
                </pic:pic>
              </a:graphicData>
            </a:graphic>
          </wp:anchor>
        </w:drawing>
        <w:t>MARTIN MARIETTA MATERIALS, INC.</w:t>
      </w:r>
    </w:p>
    <w:p>
      <w:pPr>
        <w:spacing w:after="0" w:line="4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2710 Wycliff Road, Raleigh, North Carolina 27607</w:t>
      </w:r>
    </w:p>
    <w:p>
      <w:pPr>
        <w:spacing w:after="0" w:line="14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May 23, 2013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90"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Annual Meeting of Shareholders of Martin Marietta Materials, Inc. will be held on Thursday, May 23, 2013, at 11:30 a.m. at our principal office located at 2710 Wycliff Road, Raleigh, North Carolina. At the meeting, the holders of our outstanding common stock will act on the following matters:</w:t>
      </w:r>
    </w:p>
    <w:p>
      <w:pPr>
        <w:spacing w:after="0" w:line="51" w:lineRule="exact"/>
        <w:rPr>
          <w:sz w:val="20"/>
          <w:szCs w:val="20"/>
          <w:color w:val="auto"/>
        </w:rPr>
      </w:pPr>
    </w:p>
    <w:p>
      <w:pPr>
        <w:ind w:left="1300" w:hanging="533"/>
        <w:spacing w:after="0" w:line="275"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the three (3) nominees named in the attached proxy statement, each to serve for a term of three (3) years until the Annual Meeting of Shareholders in 2016, and until their successors are duly elected and qualified;</w:t>
      </w:r>
    </w:p>
    <w:p>
      <w:pPr>
        <w:spacing w:after="0" w:line="38" w:lineRule="exact"/>
        <w:rPr>
          <w:rFonts w:ascii="Times New Roman" w:cs="Times New Roman" w:eastAsia="Times New Roman" w:hAnsi="Times New Roman"/>
          <w:sz w:val="18"/>
          <w:szCs w:val="18"/>
          <w:color w:val="auto"/>
        </w:rPr>
      </w:pPr>
    </w:p>
    <w:p>
      <w:pPr>
        <w:ind w:left="1300" w:hanging="533"/>
        <w:spacing w:after="0"/>
        <w:tabs>
          <w:tab w:leader="none" w:pos="1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amend Martin Marietta’s Articles of Incorporation to provide for majority voting in director elections other than contested elections.</w:t>
      </w:r>
    </w:p>
    <w:p>
      <w:pPr>
        <w:spacing w:after="0" w:line="113" w:lineRule="exact"/>
        <w:rPr>
          <w:rFonts w:ascii="Times New Roman" w:cs="Times New Roman" w:eastAsia="Times New Roman" w:hAnsi="Times New Roman"/>
          <w:sz w:val="16"/>
          <w:szCs w:val="16"/>
          <w:color w:val="auto"/>
        </w:rPr>
      </w:pPr>
    </w:p>
    <w:p>
      <w:pPr>
        <w:ind w:left="1300" w:hanging="53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independent auditors for 2013;</w:t>
      </w:r>
    </w:p>
    <w:p>
      <w:pPr>
        <w:spacing w:after="0" w:line="90" w:lineRule="exact"/>
        <w:rPr>
          <w:rFonts w:ascii="Times New Roman" w:cs="Times New Roman" w:eastAsia="Times New Roman" w:hAnsi="Times New Roman"/>
          <w:sz w:val="18"/>
          <w:szCs w:val="18"/>
          <w:color w:val="auto"/>
        </w:rPr>
      </w:pPr>
    </w:p>
    <w:p>
      <w:pPr>
        <w:ind w:left="1300" w:hanging="53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and</w:t>
      </w:r>
    </w:p>
    <w:p>
      <w:pPr>
        <w:spacing w:after="0" w:line="90" w:lineRule="exact"/>
        <w:rPr>
          <w:rFonts w:ascii="Times New Roman" w:cs="Times New Roman" w:eastAsia="Times New Roman" w:hAnsi="Times New Roman"/>
          <w:sz w:val="18"/>
          <w:szCs w:val="18"/>
          <w:color w:val="auto"/>
        </w:rPr>
      </w:pPr>
    </w:p>
    <w:p>
      <w:pPr>
        <w:ind w:left="1300" w:hanging="53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meeting.</w:t>
      </w:r>
    </w:p>
    <w:p>
      <w:pPr>
        <w:spacing w:after="0" w:line="171" w:lineRule="exact"/>
        <w:rPr>
          <w:sz w:val="20"/>
          <w:szCs w:val="20"/>
          <w:color w:val="auto"/>
        </w:rPr>
      </w:pPr>
    </w:p>
    <w:p>
      <w:pPr>
        <w:ind w:firstLine="775"/>
        <w:spacing w:after="0" w:line="275" w:lineRule="auto"/>
        <w:rPr>
          <w:sz w:val="20"/>
          <w:szCs w:val="20"/>
          <w:color w:val="auto"/>
        </w:rPr>
      </w:pPr>
      <w:r>
        <w:rPr>
          <w:rFonts w:ascii="Times New Roman" w:cs="Times New Roman" w:eastAsia="Times New Roman" w:hAnsi="Times New Roman"/>
          <w:sz w:val="18"/>
          <w:szCs w:val="18"/>
          <w:color w:val="auto"/>
        </w:rPr>
        <w:t>All holders of record of Martin Marietta Materials common stock (NYSE: MLM) at the close of business on March 15, 2013 are entitled to notice of and to vote at the annual meeting and any adjournments or postponements of the meeting.</w:t>
      </w:r>
    </w:p>
    <w:p>
      <w:pPr>
        <w:spacing w:after="0" w:line="120" w:lineRule="exact"/>
        <w:rPr>
          <w:sz w:val="20"/>
          <w:szCs w:val="20"/>
          <w:color w:val="auto"/>
        </w:rPr>
      </w:pPr>
    </w:p>
    <w:p>
      <w:pPr>
        <w:ind w:firstLine="775"/>
        <w:spacing w:after="0" w:line="275" w:lineRule="auto"/>
        <w:rPr>
          <w:sz w:val="20"/>
          <w:szCs w:val="20"/>
          <w:color w:val="auto"/>
        </w:rPr>
      </w:pPr>
      <w:r>
        <w:rPr>
          <w:rFonts w:ascii="Times New Roman" w:cs="Times New Roman" w:eastAsia="Times New Roman" w:hAnsi="Times New Roman"/>
          <w:sz w:val="18"/>
          <w:szCs w:val="18"/>
          <w:color w:val="auto"/>
        </w:rPr>
        <w:t>Whether or not you expect to attend the meeting, we hope you will date and sign the enclosed proxy card and mail it promptly in the enclosed stamped envelope.</w:t>
      </w:r>
    </w:p>
    <w:p>
      <w:pPr>
        <w:spacing w:after="0" w:line="1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Roselyn R. Bar</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Senior Vice President, General</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Counsel and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2013</w:t>
      </w:r>
    </w:p>
    <w:p>
      <w:pPr>
        <w:spacing w:after="0" w:line="157"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SHAREHOLDER MEETING TO BE HELD ON MAY 23, 2013</w:t>
      </w:r>
    </w:p>
    <w:p>
      <w:pPr>
        <w:spacing w:after="0" w:line="118" w:lineRule="exact"/>
        <w:rPr>
          <w:sz w:val="20"/>
          <w:szCs w:val="20"/>
          <w:color w:val="auto"/>
        </w:rPr>
      </w:pPr>
    </w:p>
    <w:p>
      <w:pPr>
        <w:ind w:firstLine="775"/>
        <w:spacing w:after="0" w:line="275" w:lineRule="auto"/>
        <w:rPr>
          <w:sz w:val="20"/>
          <w:szCs w:val="20"/>
          <w:color w:val="auto"/>
        </w:rPr>
      </w:pPr>
      <w:r>
        <w:rPr>
          <w:rFonts w:ascii="Times New Roman" w:cs="Times New Roman" w:eastAsia="Times New Roman" w:hAnsi="Times New Roman"/>
          <w:sz w:val="18"/>
          <w:szCs w:val="18"/>
          <w:color w:val="auto"/>
        </w:rPr>
        <w:t xml:space="preserve">Martin Marietta’s proxy statement, form of proxy card and 2012 Annual Report to Shareholders are also available for review on the Internet at </w:t>
      </w:r>
      <w:r>
        <w:rPr>
          <w:rFonts w:ascii="Times New Roman" w:cs="Times New Roman" w:eastAsia="Times New Roman" w:hAnsi="Times New Roman"/>
          <w:sz w:val="18"/>
          <w:szCs w:val="18"/>
          <w:i w:val="1"/>
          <w:iCs w:val="1"/>
          <w:color w:val="auto"/>
        </w:rPr>
        <w:t>ir.martinmarietta.com/annuals.cfm</w:t>
      </w:r>
      <w:r>
        <w:rPr>
          <w:rFonts w:ascii="Times New Roman" w:cs="Times New Roman" w:eastAsia="Times New Roman" w:hAnsi="Times New Roman"/>
          <w:sz w:val="18"/>
          <w:szCs w:val="18"/>
          <w:color w:val="auto"/>
        </w:rPr>
        <w:t>.</w:t>
      </w:r>
    </w:p>
    <w:p>
      <w:pPr>
        <w:sectPr>
          <w:pgSz w:w="11900" w:h="16838" w:orient="portrait"/>
          <w:cols w:equalWidth="0" w:num="1">
            <w:col w:w="11060"/>
          </w:cols>
          <w:pgMar w:left="440" w:top="445"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5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550535"/>
                    </a:xfrm>
                    <a:prstGeom prst="rect">
                      <a:avLst/>
                    </a:prstGeom>
                    <a:noFill/>
                  </pic:spPr>
                </pic:pic>
              </a:graphicData>
            </a:graphic>
          </wp:anchor>
        </w:drawing>
        <w:t>PROXY STATEMENT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GENERAL INFORMATION</w:t>
      </w:r>
    </w:p>
    <w:p>
      <w:pPr>
        <w:spacing w:after="0" w:line="188"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related to the annual meeting of shareholders of Martin Marietta Materials, Inc., a North Carolina corporation (referred to as the “Corporation” or “Martin Marietta”), to be held on Thursday, May 23, 2013, at 11:30 a.m. at Martin Marietta’s principal office, 2710 Wycliff Road, Raleigh, North Carolina. Martin Marietta’s audited financial statements and portions of the Annual Report on Form 10-K for the fiscal year ended December 31, 2012 are being mailed to shareholders with this proxy statement.</w:t>
      </w:r>
    </w:p>
    <w:p>
      <w:pPr>
        <w:spacing w:after="0" w:line="136"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This proxy statement, the proxy card, and the notice of meeting are being sent commencing on approximately April 18, 2013 to shareholders of record on March 15, 2013.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annual meeting?</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Whether or not you plan to attend the meeting, we encourage you to date, sign, and return your proxy in the enclosed envelope.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meeting?</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15, 2013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voting rights of the holders of Martin Marietta Materials common stock?</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Each share of Martin Marietta Materials common stock is entitled to one vote on each matter considered at the meeting.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meeting?</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presence at the meeting, in person or by proxy, of the holders of a majority of the common stock outstanding on the record date constitutes a quorum, permitting shareholders to take action at the meeting. On March 15, 2013, there were 45,926,207 shares outstanding of Martin Marietta’s common stock, $.01 par value per share.</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60"/>
          </w:cols>
          <w:pgMar w:left="440" w:top="470"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99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899025"/>
                    </a:xfrm>
                    <a:prstGeom prst="rect">
                      <a:avLst/>
                    </a:prstGeom>
                    <a:noFill/>
                  </pic:spPr>
                </pic:pic>
              </a:graphicData>
            </a:graphic>
          </wp:anchor>
        </w:drawing>
        <w:t>Who will oversee the voting results?</w:t>
      </w:r>
    </w:p>
    <w:p>
      <w:pPr>
        <w:spacing w:after="0" w:line="94"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after I return my proxy card?</w:t>
      </w:r>
    </w:p>
    <w:p>
      <w:pPr>
        <w:spacing w:after="0" w:line="94"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Yes. Even after you have submitted your vote, you may revoke your proxy at any time prior to its exercise at the annual meeting (i) by filing with Martin Marietta’s Corporate Secretary an instrument revoking the proxy prior to the meeting, (ii) by the timely delivery to Martin Marietta’s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401(k) shares?</w:t>
      </w:r>
    </w:p>
    <w:p>
      <w:pPr>
        <w:spacing w:after="0" w:line="94"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Each participant in Martin Marietta’s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brokers required to vote? What are “broker non-votes”?</w:t>
      </w:r>
    </w:p>
    <w:p>
      <w:pPr>
        <w:spacing w:after="0" w:line="94"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or executive compensation matters. In such cases, absent specific instructions from the beneficial owner, the broker may not vote on those proposals. This results in what is known as a “broker non-vote.” The ratification of the appointment of independent auditors is not a proposal subject to this rule. Accordingly, if you want your broker to vote your shares on the election of Directors, the approval of the proposed amendments to the Articles of Incorporation, or the approval on an advisory basis of the compensation of our named executive officers, you must provide specific</w:t>
      </w: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60"/>
          </w:cols>
          <w:pgMar w:left="440" w:top="459" w:right="399" w:bottom="1440" w:gutter="0" w:footer="0" w:header="0"/>
        </w:sectPr>
      </w:pPr>
    </w:p>
    <w:bookmarkStart w:id="6" w:name="page7"/>
    <w:bookmarkEnd w:id="6"/>
    <w:p>
      <w:pPr>
        <w:jc w:val="both"/>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30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430520"/>
                    </a:xfrm>
                    <a:prstGeom prst="rect">
                      <a:avLst/>
                    </a:prstGeom>
                    <a:noFill/>
                  </pic:spPr>
                </pic:pic>
              </a:graphicData>
            </a:graphic>
          </wp:anchor>
        </w:drawing>
        <w:t>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broker vote my shares for me on the election of Directors?</w:t>
      </w:r>
    </w:p>
    <w:p>
      <w:pPr>
        <w:spacing w:after="0" w:line="94"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Under the New York Stock Exchange rules, the election of Directors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approval of the amendments to the Articles of Incorporation, and the advisory vote on executive compensation are not considered routine matters and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able to vote your shares with respect to those matters if you have not provided directions to your broker. We strongly encourage you to submit your proxy card and exercise your right to vote as a shareholder.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The election of Directors requires a plurality of the votes cast. “Withheld” votes are not counted in determining whether a plurality of votes was received by a Director nominee.</w:t>
      </w:r>
    </w:p>
    <w:p>
      <w:pPr>
        <w:spacing w:after="0" w:line="120"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Approval of the amendments to the Articles of Incorporation, the ratification of the appointment of independent auditors, the approval on an advisory basis of the compensation of our named executive officers, and any other proposal presented at the meeting, will be approved if more votes are cast by proxy or in person in favor of the proposal than are cast against it. Abstentions and broker non-votes, if any, will not be counted “for” or “against” the proposal.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voting results for the Annual Meeting?</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out more information about Martin Marietta Materials?</w:t>
      </w:r>
    </w:p>
    <w:p>
      <w:pPr>
        <w:spacing w:after="0" w:line="92"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 xml:space="preserve">Martin Marietta maintains a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Times New Roman" w:cs="Times New Roman" w:eastAsia="Times New Roman" w:hAnsi="Times New Roman"/>
          <w:sz w:val="18"/>
          <w:szCs w:val="18"/>
          <w:i w:val="1"/>
          <w:iCs w:val="1"/>
          <w:color w:val="auto"/>
        </w:rPr>
        <w:t>Code of Ethics and Standards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Conduct </w:t>
      </w:r>
      <w:r>
        <w:rPr>
          <w:rFonts w:ascii="Times New Roman" w:cs="Times New Roman" w:eastAsia="Times New Roman" w:hAnsi="Times New Roman"/>
          <w:sz w:val="18"/>
          <w:szCs w:val="18"/>
          <w:color w:val="auto"/>
        </w:rPr>
        <w:t>are all available through the website. Alternatively,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our shareholders and other interested parties may obtain, without charge, copies of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these documents by writing to the Corporate Secretary, Martin Marietta Materials, Inc., 2710 Wycliff Road, Raleigh, NC 27607</w:t>
      </w:r>
      <w:r>
        <w:rPr>
          <w:rFonts w:ascii="Times New Roman" w:cs="Times New Roman" w:eastAsia="Times New Roman" w:hAnsi="Times New Roman"/>
          <w:sz w:val="18"/>
          <w:szCs w:val="18"/>
          <w:color w:val="auto"/>
        </w:rPr>
        <w:t>. Please note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contained on Martin Marietta’s website is not incorporated by reference in, or considered to be a part of, this document.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paying for this proxy statement?</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mails, proxies may be solicited by officers, Directors, and other regular employees of Martin Marietta by telephone, facsimile, or personal</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60"/>
          </w:cols>
          <w:pgMar w:left="440" w:top="463" w:right="39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90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590415"/>
                    </a:xfrm>
                    <a:prstGeom prst="rect">
                      <a:avLst/>
                    </a:prstGeom>
                    <a:noFill/>
                  </pic:spPr>
                </pic:pic>
              </a:graphicData>
            </a:graphic>
          </wp:anchor>
        </w:drawing>
        <w:t>solicitation, and no additional compensation will be paid to such individuals. Martin Marietta will use the services of Morrow &amp; Co., LLC, 470 West Avenue, Stamford, CT 06902, a professional soliciting organization, to assist in obtaining in person or by proxy shareholder votes. Martin Marietta estimates its expenses for solicitation services will not exceed $15,000. Martin Marietta will, if requested, reimburse banks, brokerage houses and other custodians, nominees and certain fiduciaries for their reasonable expenses incurred in mailing proxy materials to their principals.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any other matters be presented at the annual meeting?</w:t>
      </w:r>
    </w:p>
    <w:p>
      <w:pPr>
        <w:spacing w:after="0" w:line="94"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interests of Martin Marietta. It is also intended that discretionary authority will be exercised with respect to the vote on any matters incident to the conduct of the meeting.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Board’s recommendations?</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49" w:lineRule="exact"/>
        <w:rPr>
          <w:sz w:val="20"/>
          <w:szCs w:val="20"/>
          <w:color w:val="auto"/>
        </w:rPr>
      </w:pPr>
    </w:p>
    <w:p>
      <w:pPr>
        <w:ind w:left="980" w:hanging="213"/>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nominated slate of Directors;</w:t>
      </w:r>
    </w:p>
    <w:p>
      <w:pPr>
        <w:spacing w:after="0" w:line="90" w:lineRule="exact"/>
        <w:rPr>
          <w:rFonts w:ascii="Times New Roman" w:cs="Times New Roman" w:eastAsia="Times New Roman" w:hAnsi="Times New Roman"/>
          <w:sz w:val="18"/>
          <w:szCs w:val="18"/>
          <w:color w:val="auto"/>
        </w:rPr>
      </w:pPr>
    </w:p>
    <w:p>
      <w:pPr>
        <w:ind w:left="980" w:hanging="213"/>
        <w:spacing w:after="0" w:line="27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amendments to Martin Marietta’s Articles of Incorporation to provide for majority voting in director elections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contested;</w:t>
      </w:r>
    </w:p>
    <w:p>
      <w:pPr>
        <w:spacing w:after="0" w:line="35"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Ernst &amp; Young LLP as independent auditors; and</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by a non-binding advisory vote, of the compensation of our named executive officers as described in this Proxy Statement.</w:t>
      </w:r>
    </w:p>
    <w:p>
      <w:pPr>
        <w:spacing w:after="0" w:line="196" w:lineRule="exact"/>
        <w:rPr>
          <w:sz w:val="20"/>
          <w:szCs w:val="20"/>
          <w:color w:val="auto"/>
        </w:rPr>
      </w:pPr>
    </w:p>
    <w:p>
      <w:pPr>
        <w:ind w:firstLine="775"/>
        <w:spacing w:after="0" w:line="275" w:lineRule="auto"/>
        <w:rPr>
          <w:sz w:val="20"/>
          <w:szCs w:val="20"/>
          <w:color w:val="auto"/>
        </w:rPr>
      </w:pPr>
      <w:r>
        <w:rPr>
          <w:rFonts w:ascii="Times New Roman" w:cs="Times New Roman" w:eastAsia="Times New Roman" w:hAnsi="Times New Roman"/>
          <w:sz w:val="18"/>
          <w:szCs w:val="18"/>
          <w:color w:val="auto"/>
        </w:rPr>
        <w:t>With respect to any other matter that properly comes before the meeting, the proxy holders will vote as recommended by the Board of Directors or, if no recommendation is given, in their own discretion.</w:t>
      </w:r>
    </w:p>
    <w:p>
      <w:pPr>
        <w:spacing w:after="0" w:line="19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FOR THE ANNUAL MEETING OF SHAREHOLDERS TO BE HELD ON MAY 23, 2013</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This proxy statement, form of proxy card and the accompanying annual report are also available at </w:t>
      </w:r>
      <w:r>
        <w:rPr>
          <w:rFonts w:ascii="Times New Roman" w:cs="Times New Roman" w:eastAsia="Times New Roman" w:hAnsi="Times New Roman"/>
          <w:sz w:val="18"/>
          <w:szCs w:val="18"/>
          <w:i w:val="1"/>
          <w:iCs w:val="1"/>
          <w:color w:val="auto"/>
        </w:rPr>
        <w:t>ir.martinmarietta.com/annuals.cfm</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60"/>
          </w:cols>
          <w:pgMar w:left="440" w:top="463" w:right="399" w:bottom="1440" w:gutter="0" w:footer="0" w:header="0"/>
        </w:sectPr>
      </w:pPr>
    </w:p>
    <w:bookmarkStart w:id="8" w:name="page9"/>
    <w:bookmarkEnd w:id="8"/>
    <w:p>
      <w:pPr>
        <w:jc w:val="center"/>
        <w:ind w:right="-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90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490845"/>
                    </a:xfrm>
                    <a:prstGeom prst="rect">
                      <a:avLst/>
                    </a:prstGeom>
                    <a:noFill/>
                  </pic:spPr>
                </pic:pic>
              </a:graphicData>
            </a:graphic>
          </wp:anchor>
        </w:drawing>
        <w:t>SECURITY OWNERSHIP OF CERTAIN</w:t>
      </w:r>
    </w:p>
    <w:p>
      <w:pPr>
        <w:spacing w:after="0" w:line="2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Who are the largest owners of Martin Marietta’s stock?</w:t>
      </w:r>
    </w:p>
    <w:p>
      <w:pPr>
        <w:spacing w:after="0" w:line="94" w:lineRule="exact"/>
        <w:rPr>
          <w:sz w:val="20"/>
          <w:szCs w:val="20"/>
          <w:color w:val="auto"/>
        </w:rPr>
      </w:pPr>
    </w:p>
    <w:p>
      <w:pPr>
        <w:jc w:val="both"/>
        <w:ind w:left="3" w:firstLine="775"/>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shares of common stock which are held by persons known to Martin Marietta to be the beneficial owners of more than 5% of such stock as of April 1, 2013. To the best of Martin Marietta’s knowledge, based on filings with the Securities and Exchange Commission as noted below, no person beneficially owned more than 5% of any class of Martin Marietta’s outstanding voting securities at the close of business on April 1, 2013, except for those shown below.</w:t>
      </w:r>
    </w:p>
    <w:p>
      <w:pPr>
        <w:spacing w:after="0" w:line="171" w:lineRule="exact"/>
        <w:rPr>
          <w:sz w:val="20"/>
          <w:szCs w:val="20"/>
          <w:color w:val="auto"/>
        </w:rPr>
      </w:pPr>
    </w:p>
    <w:tbl>
      <w:tblPr>
        <w:tblLayout w:type="fixed"/>
        <w:tblInd w:w="3" w:type="dxa"/>
        <w:tblCellMar>
          <w:top w:w="0" w:type="dxa"/>
          <w:left w:w="0" w:type="dxa"/>
          <w:bottom w:w="0" w:type="dxa"/>
          <w:right w:w="0" w:type="dxa"/>
        </w:tblCellMar>
      </w:tblPr>
      <w:tr>
        <w:trPr>
          <w:trHeight w:val="145"/>
        </w:trPr>
        <w:tc>
          <w:tcPr>
            <w:tcW w:w="460" w:type="dxa"/>
            <w:vAlign w:val="bottom"/>
            <w:tcBorders>
              <w:right w:val="single" w:sz="8" w:color="auto"/>
            </w:tcBorders>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4680" w:type="dxa"/>
            <w:vAlign w:val="bottom"/>
            <w:tcBorders>
              <w:top w:val="single" w:sz="8" w:color="auto"/>
            </w:tcBorders>
            <w:shd w:val="clear" w:color="auto" w:fill="E0E0E0"/>
          </w:tcPr>
          <w:p>
            <w:pPr>
              <w:spacing w:after="0"/>
              <w:rPr>
                <w:sz w:val="12"/>
                <w:szCs w:val="12"/>
                <w:color w:val="auto"/>
              </w:rPr>
            </w:pPr>
          </w:p>
        </w:tc>
        <w:tc>
          <w:tcPr>
            <w:tcW w:w="3480" w:type="dxa"/>
            <w:vAlign w:val="bottom"/>
            <w:tcBorders>
              <w:top w:val="single" w:sz="8" w:color="auto"/>
            </w:tcBorders>
            <w:shd w:val="clear" w:color="auto" w:fill="E0E0E0"/>
          </w:tcPr>
          <w:p>
            <w:pPr>
              <w:jc w:val="right"/>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Amount and Nature</w:t>
            </w:r>
          </w:p>
        </w:tc>
        <w:tc>
          <w:tcPr>
            <w:tcW w:w="138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5320" w:type="dxa"/>
            <w:vAlign w:val="bottom"/>
            <w:gridSpan w:val="2"/>
            <w:vMerge w:val="restart"/>
            <w:shd w:val="clear" w:color="auto" w:fill="E0E0E0"/>
          </w:tcPr>
          <w:p>
            <w:pPr>
              <w:ind w:left="1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480" w:type="dxa"/>
            <w:vAlign w:val="bottom"/>
            <w:shd w:val="clear" w:color="auto" w:fill="E0E0E0"/>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80" w:type="dxa"/>
            <w:vAlign w:val="bottom"/>
            <w:tcBorders>
              <w:right w:val="single" w:sz="8" w:color="auto"/>
            </w:tcBorders>
            <w:shd w:val="clear" w:color="auto" w:fill="E0E0E0"/>
          </w:tcPr>
          <w:p>
            <w:pPr>
              <w:jc w:val="right"/>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9"/>
        </w:trPr>
        <w:tc>
          <w:tcPr>
            <w:tcW w:w="460" w:type="dxa"/>
            <w:vAlign w:val="bottom"/>
            <w:tcBorders>
              <w:right w:val="single" w:sz="8" w:color="auto"/>
            </w:tcBorders>
          </w:tcPr>
          <w:p>
            <w:pPr>
              <w:spacing w:after="0"/>
              <w:rPr>
                <w:sz w:val="13"/>
                <w:szCs w:val="13"/>
                <w:color w:val="auto"/>
              </w:rPr>
            </w:pPr>
          </w:p>
        </w:tc>
        <w:tc>
          <w:tcPr>
            <w:tcW w:w="5320" w:type="dxa"/>
            <w:vAlign w:val="bottom"/>
            <w:tcBorders>
              <w:bottom w:val="single" w:sz="8" w:color="auto"/>
            </w:tcBorders>
            <w:gridSpan w:val="2"/>
            <w:vMerge w:val="continue"/>
            <w:shd w:val="clear" w:color="auto" w:fill="E0E0E0"/>
          </w:tcPr>
          <w:p>
            <w:pPr>
              <w:spacing w:after="0"/>
              <w:rPr>
                <w:sz w:val="13"/>
                <w:szCs w:val="13"/>
                <w:color w:val="auto"/>
              </w:rPr>
            </w:pPr>
          </w:p>
        </w:tc>
        <w:tc>
          <w:tcPr>
            <w:tcW w:w="3480" w:type="dxa"/>
            <w:vAlign w:val="bottom"/>
            <w:tcBorders>
              <w:bottom w:val="single" w:sz="8" w:color="auto"/>
            </w:tcBorders>
            <w:shd w:val="clear" w:color="auto" w:fill="E0E0E0"/>
          </w:tcPr>
          <w:p>
            <w:pPr>
              <w:jc w:val="right"/>
              <w:ind w:right="240"/>
              <w:spacing w:after="0" w:line="152" w:lineRule="exact"/>
              <w:rPr>
                <w:sz w:val="20"/>
                <w:szCs w:val="20"/>
                <w:color w:val="auto"/>
              </w:rPr>
            </w:pPr>
            <w:r>
              <w:rPr>
                <w:rFonts w:ascii="Times New Roman" w:cs="Times New Roman" w:eastAsia="Times New Roman" w:hAnsi="Times New Roman"/>
                <w:sz w:val="14"/>
                <w:szCs w:val="14"/>
                <w:b w:val="1"/>
                <w:bCs w:val="1"/>
                <w:color w:val="auto"/>
              </w:rPr>
              <w:t>Beneficial Ownership</w:t>
            </w:r>
          </w:p>
        </w:tc>
        <w:tc>
          <w:tcPr>
            <w:tcW w:w="1380" w:type="dxa"/>
            <w:vAlign w:val="bottom"/>
            <w:tcBorders>
              <w:bottom w:val="single" w:sz="8" w:color="auto"/>
              <w:right w:val="single" w:sz="8" w:color="auto"/>
            </w:tcBorders>
            <w:shd w:val="clear" w:color="auto" w:fill="E0E0E0"/>
          </w:tcPr>
          <w:p>
            <w:pPr>
              <w:jc w:val="right"/>
              <w:ind w:right="518"/>
              <w:spacing w:after="0" w:line="152"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445"/>
        </w:trPr>
        <w:tc>
          <w:tcPr>
            <w:tcW w:w="460" w:type="dxa"/>
            <w:vAlign w:val="bottom"/>
            <w:tcBorders>
              <w:right w:val="single" w:sz="8" w:color="auto"/>
            </w:tcBorders>
          </w:tcPr>
          <w:p>
            <w:pPr>
              <w:spacing w:after="0"/>
              <w:rPr>
                <w:sz w:val="24"/>
                <w:szCs w:val="24"/>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RS Investment Management Co. LLC</w:t>
            </w:r>
            <w:r>
              <w:rPr>
                <w:rFonts w:ascii="Times New Roman" w:cs="Times New Roman" w:eastAsia="Times New Roman" w:hAnsi="Times New Roman"/>
                <w:sz w:val="11"/>
                <w:szCs w:val="11"/>
                <w:color w:val="auto"/>
              </w:rPr>
              <w:t>1</w:t>
            </w:r>
          </w:p>
        </w:tc>
        <w:tc>
          <w:tcPr>
            <w:tcW w:w="348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3,358,353</w:t>
            </w:r>
          </w:p>
        </w:tc>
        <w:tc>
          <w:tcPr>
            <w:tcW w:w="1380" w:type="dxa"/>
            <w:vAlign w:val="bottom"/>
            <w:tcBorders>
              <w:right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388 Market Street, Suite 1700</w:t>
            </w:r>
          </w:p>
        </w:tc>
        <w:tc>
          <w:tcPr>
            <w:tcW w:w="3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San Francisco, CA 94111</w:t>
            </w:r>
          </w:p>
        </w:tc>
        <w:tc>
          <w:tcPr>
            <w:tcW w:w="348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0" w:type="dxa"/>
            <w:vAlign w:val="bottom"/>
            <w:tcBorders>
              <w:right w:val="single" w:sz="8" w:color="auto"/>
            </w:tcBorders>
          </w:tcPr>
          <w:p>
            <w:pPr>
              <w:spacing w:after="0"/>
              <w:rPr>
                <w:sz w:val="17"/>
                <w:szCs w:val="17"/>
                <w:color w:val="auto"/>
              </w:rPr>
            </w:pPr>
          </w:p>
        </w:tc>
        <w:tc>
          <w:tcPr>
            <w:tcW w:w="5320" w:type="dxa"/>
            <w:vAlign w:val="bottom"/>
            <w:gridSpan w:val="2"/>
            <w:shd w:val="clear" w:color="auto" w:fill="E0E0E0"/>
          </w:tcPr>
          <w:p>
            <w:pPr>
              <w:ind w:left="100"/>
              <w:spacing w:after="0" w:line="201"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11"/>
                <w:szCs w:val="11"/>
                <w:color w:val="auto"/>
              </w:rPr>
              <w:t>2</w:t>
            </w:r>
          </w:p>
        </w:tc>
        <w:tc>
          <w:tcPr>
            <w:tcW w:w="3480" w:type="dxa"/>
            <w:vAlign w:val="bottom"/>
            <w:shd w:val="clear" w:color="auto" w:fill="E0E0E0"/>
          </w:tcPr>
          <w:p>
            <w:pPr>
              <w:jc w:val="right"/>
              <w:ind w:right="240"/>
              <w:spacing w:after="0" w:line="201" w:lineRule="exact"/>
              <w:rPr>
                <w:sz w:val="20"/>
                <w:szCs w:val="20"/>
                <w:color w:val="auto"/>
              </w:rPr>
            </w:pPr>
            <w:r>
              <w:rPr>
                <w:rFonts w:ascii="Times New Roman" w:cs="Times New Roman" w:eastAsia="Times New Roman" w:hAnsi="Times New Roman"/>
                <w:sz w:val="18"/>
                <w:szCs w:val="18"/>
                <w:color w:val="auto"/>
              </w:rPr>
              <w:t>2,826,652</w:t>
            </w:r>
          </w:p>
        </w:tc>
        <w:tc>
          <w:tcPr>
            <w:tcW w:w="1380" w:type="dxa"/>
            <w:vAlign w:val="bottom"/>
            <w:tcBorders>
              <w:right w:val="single" w:sz="8" w:color="auto"/>
            </w:tcBorders>
            <w:shd w:val="clear" w:color="auto" w:fill="E0E0E0"/>
          </w:tcPr>
          <w:p>
            <w:pPr>
              <w:jc w:val="right"/>
              <w:ind w:right="378"/>
              <w:spacing w:after="0" w:line="201" w:lineRule="exact"/>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32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40 East 52</w:t>
            </w:r>
            <w:r>
              <w:rPr>
                <w:rFonts w:ascii="Times New Roman" w:cs="Times New Roman" w:eastAsia="Times New Roman" w:hAnsi="Times New Roman"/>
                <w:sz w:val="11"/>
                <w:szCs w:val="11"/>
                <w:color w:val="auto"/>
              </w:rPr>
              <w:t>nd</w:t>
            </w:r>
            <w:r>
              <w:rPr>
                <w:rFonts w:ascii="Times New Roman" w:cs="Times New Roman" w:eastAsia="Times New Roman" w:hAnsi="Times New Roman"/>
                <w:sz w:val="18"/>
                <w:szCs w:val="18"/>
                <w:color w:val="auto"/>
              </w:rPr>
              <w:t xml:space="preserve"> Street</w:t>
            </w:r>
          </w:p>
        </w:tc>
        <w:tc>
          <w:tcPr>
            <w:tcW w:w="3480" w:type="dxa"/>
            <w:vAlign w:val="bottom"/>
            <w:shd w:val="clear" w:color="auto" w:fill="E0E0E0"/>
          </w:tcPr>
          <w:p>
            <w:pPr>
              <w:spacing w:after="0"/>
              <w:rPr>
                <w:sz w:val="18"/>
                <w:szCs w:val="18"/>
                <w:color w:val="auto"/>
              </w:rPr>
            </w:pPr>
          </w:p>
        </w:tc>
        <w:tc>
          <w:tcPr>
            <w:tcW w:w="13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 w:type="dxa"/>
            <w:vAlign w:val="bottom"/>
            <w:tcBorders>
              <w:right w:val="single" w:sz="8" w:color="auto"/>
            </w:tcBorders>
          </w:tcPr>
          <w:p>
            <w:pPr>
              <w:spacing w:after="0"/>
              <w:rPr>
                <w:sz w:val="21"/>
                <w:szCs w:val="21"/>
                <w:color w:val="auto"/>
              </w:rPr>
            </w:pPr>
          </w:p>
        </w:tc>
        <w:tc>
          <w:tcPr>
            <w:tcW w:w="532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New York, NY 10022</w:t>
            </w:r>
          </w:p>
        </w:tc>
        <w:tc>
          <w:tcPr>
            <w:tcW w:w="3480" w:type="dxa"/>
            <w:vAlign w:val="bottom"/>
            <w:shd w:val="clear" w:color="auto" w:fill="E0E0E0"/>
          </w:tcPr>
          <w:p>
            <w:pPr>
              <w:spacing w:after="0"/>
              <w:rPr>
                <w:sz w:val="21"/>
                <w:szCs w:val="21"/>
                <w:color w:val="auto"/>
              </w:rPr>
            </w:pPr>
          </w:p>
        </w:tc>
        <w:tc>
          <w:tcPr>
            <w:tcW w:w="1380" w:type="dxa"/>
            <w:vAlign w:val="bottom"/>
            <w:tcBorders>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60" w:type="dxa"/>
            <w:vAlign w:val="bottom"/>
            <w:tcBorders>
              <w:right w:val="single" w:sz="8" w:color="auto"/>
            </w:tcBorders>
          </w:tcPr>
          <w:p>
            <w:pPr>
              <w:spacing w:after="0"/>
              <w:rPr>
                <w:sz w:val="24"/>
                <w:szCs w:val="24"/>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Morgan Stanley Investment Management, Inc.</w:t>
            </w:r>
            <w:r>
              <w:rPr>
                <w:rFonts w:ascii="Times New Roman" w:cs="Times New Roman" w:eastAsia="Times New Roman" w:hAnsi="Times New Roman"/>
                <w:sz w:val="11"/>
                <w:szCs w:val="11"/>
                <w:color w:val="auto"/>
              </w:rPr>
              <w:t>3</w:t>
            </w:r>
          </w:p>
        </w:tc>
        <w:tc>
          <w:tcPr>
            <w:tcW w:w="348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2,576,188</w:t>
            </w:r>
          </w:p>
        </w:tc>
        <w:tc>
          <w:tcPr>
            <w:tcW w:w="1380" w:type="dxa"/>
            <w:vAlign w:val="bottom"/>
            <w:tcBorders>
              <w:right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522 Fifth Avenue</w:t>
            </w:r>
          </w:p>
        </w:tc>
        <w:tc>
          <w:tcPr>
            <w:tcW w:w="3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NY 10036</w:t>
            </w:r>
          </w:p>
        </w:tc>
        <w:tc>
          <w:tcPr>
            <w:tcW w:w="348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0" w:type="dxa"/>
            <w:vAlign w:val="bottom"/>
            <w:tcBorders>
              <w:right w:val="single" w:sz="8" w:color="auto"/>
            </w:tcBorders>
          </w:tcPr>
          <w:p>
            <w:pPr>
              <w:spacing w:after="0"/>
              <w:rPr>
                <w:sz w:val="17"/>
                <w:szCs w:val="17"/>
                <w:color w:val="auto"/>
              </w:rPr>
            </w:pPr>
          </w:p>
        </w:tc>
        <w:tc>
          <w:tcPr>
            <w:tcW w:w="5320" w:type="dxa"/>
            <w:vAlign w:val="bottom"/>
            <w:gridSpan w:val="2"/>
            <w:shd w:val="clear" w:color="auto" w:fill="E0E0E0"/>
          </w:tcPr>
          <w:p>
            <w:pPr>
              <w:ind w:left="100"/>
              <w:spacing w:after="0" w:line="201" w:lineRule="exact"/>
              <w:rPr>
                <w:sz w:val="20"/>
                <w:szCs w:val="20"/>
                <w:color w:val="auto"/>
              </w:rPr>
            </w:pPr>
            <w:r>
              <w:rPr>
                <w:rFonts w:ascii="Times New Roman" w:cs="Times New Roman" w:eastAsia="Times New Roman" w:hAnsi="Times New Roman"/>
                <w:sz w:val="18"/>
                <w:szCs w:val="18"/>
                <w:color w:val="auto"/>
              </w:rPr>
              <w:t>First Eagle Investment Management, LLC</w:t>
            </w:r>
            <w:r>
              <w:rPr>
                <w:rFonts w:ascii="Times New Roman" w:cs="Times New Roman" w:eastAsia="Times New Roman" w:hAnsi="Times New Roman"/>
                <w:sz w:val="11"/>
                <w:szCs w:val="11"/>
                <w:color w:val="auto"/>
              </w:rPr>
              <w:t>4</w:t>
            </w:r>
          </w:p>
        </w:tc>
        <w:tc>
          <w:tcPr>
            <w:tcW w:w="3480" w:type="dxa"/>
            <w:vAlign w:val="bottom"/>
            <w:shd w:val="clear" w:color="auto" w:fill="E0E0E0"/>
          </w:tcPr>
          <w:p>
            <w:pPr>
              <w:jc w:val="right"/>
              <w:ind w:right="240"/>
              <w:spacing w:after="0" w:line="201" w:lineRule="exact"/>
              <w:rPr>
                <w:sz w:val="20"/>
                <w:szCs w:val="20"/>
                <w:color w:val="auto"/>
              </w:rPr>
            </w:pPr>
            <w:r>
              <w:rPr>
                <w:rFonts w:ascii="Times New Roman" w:cs="Times New Roman" w:eastAsia="Times New Roman" w:hAnsi="Times New Roman"/>
                <w:sz w:val="18"/>
                <w:szCs w:val="18"/>
                <w:color w:val="auto"/>
              </w:rPr>
              <w:t>2,427,291</w:t>
            </w:r>
          </w:p>
        </w:tc>
        <w:tc>
          <w:tcPr>
            <w:tcW w:w="1380" w:type="dxa"/>
            <w:vAlign w:val="bottom"/>
            <w:tcBorders>
              <w:right w:val="single" w:sz="8" w:color="auto"/>
            </w:tcBorders>
            <w:shd w:val="clear" w:color="auto" w:fill="E0E0E0"/>
          </w:tcPr>
          <w:p>
            <w:pPr>
              <w:jc w:val="right"/>
              <w:ind w:right="378"/>
              <w:spacing w:after="0" w:line="201" w:lineRule="exact"/>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32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1345 Avenue of the Americas</w:t>
            </w:r>
          </w:p>
        </w:tc>
        <w:tc>
          <w:tcPr>
            <w:tcW w:w="3480" w:type="dxa"/>
            <w:vAlign w:val="bottom"/>
            <w:shd w:val="clear" w:color="auto" w:fill="E0E0E0"/>
          </w:tcPr>
          <w:p>
            <w:pPr>
              <w:spacing w:after="0"/>
              <w:rPr>
                <w:sz w:val="18"/>
                <w:szCs w:val="18"/>
                <w:color w:val="auto"/>
              </w:rPr>
            </w:pPr>
          </w:p>
        </w:tc>
        <w:tc>
          <w:tcPr>
            <w:tcW w:w="13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 w:type="dxa"/>
            <w:vAlign w:val="bottom"/>
            <w:tcBorders>
              <w:right w:val="single" w:sz="8" w:color="auto"/>
            </w:tcBorders>
          </w:tcPr>
          <w:p>
            <w:pPr>
              <w:spacing w:after="0"/>
              <w:rPr>
                <w:sz w:val="21"/>
                <w:szCs w:val="21"/>
                <w:color w:val="auto"/>
              </w:rPr>
            </w:pPr>
          </w:p>
        </w:tc>
        <w:tc>
          <w:tcPr>
            <w:tcW w:w="532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New York, NY 10105</w:t>
            </w:r>
          </w:p>
        </w:tc>
        <w:tc>
          <w:tcPr>
            <w:tcW w:w="3480" w:type="dxa"/>
            <w:vAlign w:val="bottom"/>
            <w:shd w:val="clear" w:color="auto" w:fill="E0E0E0"/>
          </w:tcPr>
          <w:p>
            <w:pPr>
              <w:spacing w:after="0"/>
              <w:rPr>
                <w:sz w:val="21"/>
                <w:szCs w:val="21"/>
                <w:color w:val="auto"/>
              </w:rPr>
            </w:pPr>
          </w:p>
        </w:tc>
        <w:tc>
          <w:tcPr>
            <w:tcW w:w="1380" w:type="dxa"/>
            <w:vAlign w:val="bottom"/>
            <w:tcBorders>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60" w:type="dxa"/>
            <w:vAlign w:val="bottom"/>
            <w:tcBorders>
              <w:right w:val="single" w:sz="8" w:color="auto"/>
            </w:tcBorders>
          </w:tcPr>
          <w:p>
            <w:pPr>
              <w:spacing w:after="0"/>
              <w:rPr>
                <w:sz w:val="24"/>
                <w:szCs w:val="24"/>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SPO Advisory Corp.</w:t>
            </w:r>
            <w:r>
              <w:rPr>
                <w:rFonts w:ascii="Times New Roman" w:cs="Times New Roman" w:eastAsia="Times New Roman" w:hAnsi="Times New Roman"/>
                <w:sz w:val="11"/>
                <w:szCs w:val="11"/>
                <w:color w:val="auto"/>
              </w:rPr>
              <w:t>5</w:t>
            </w:r>
          </w:p>
        </w:tc>
        <w:tc>
          <w:tcPr>
            <w:tcW w:w="348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2,292,751</w:t>
            </w:r>
          </w:p>
        </w:tc>
        <w:tc>
          <w:tcPr>
            <w:tcW w:w="1380" w:type="dxa"/>
            <w:vAlign w:val="bottom"/>
            <w:tcBorders>
              <w:right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591 Redwood Highway, Suite 3215</w:t>
            </w:r>
          </w:p>
        </w:tc>
        <w:tc>
          <w:tcPr>
            <w:tcW w:w="3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Mill Valley, CA 94941</w:t>
            </w:r>
          </w:p>
        </w:tc>
        <w:tc>
          <w:tcPr>
            <w:tcW w:w="348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23" w:hanging="323"/>
        <w:spacing w:after="0"/>
        <w:tabs>
          <w:tab w:leader="none" w:pos="32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Schedule 13G dated December 31, 2012 filed with the Securities and Exchange Commission on February 15, 2013.</w:t>
      </w:r>
    </w:p>
    <w:p>
      <w:pPr>
        <w:spacing w:after="0" w:line="68" w:lineRule="exact"/>
        <w:rPr>
          <w:rFonts w:ascii="Times New Roman" w:cs="Times New Roman" w:eastAsia="Times New Roman" w:hAnsi="Times New Roman"/>
          <w:sz w:val="14"/>
          <w:szCs w:val="14"/>
          <w:color w:val="auto"/>
        </w:rPr>
      </w:pPr>
    </w:p>
    <w:p>
      <w:pPr>
        <w:ind w:left="3" w:right="3620"/>
        <w:spacing w:after="0" w:line="39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2 As reported in Schedule 13G/A dated December 31, 2012 filed with the Securities and Exchange Commission on February 5, 2013. 3 As reported in Schedule 13G dated December 31, 2012 filed with the Securities and Exchange Commission on February 13, 2013.</w:t>
      </w:r>
    </w:p>
    <w:p>
      <w:pPr>
        <w:jc w:val="both"/>
        <w:ind w:left="3" w:right="3560"/>
        <w:spacing w:after="0" w:line="4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4 As reported in Schedule 13G/A dated December 31, 2012 filed with the Securities and Exchange Commission on February 11, 2013. 5 As reported in Schedule 13G/A dated December 31, 2012 filed with the Securities and Exchange Commission on February 14, 2013.</w:t>
      </w:r>
    </w:p>
    <w:p>
      <w:pPr>
        <w:spacing w:after="0" w:line="14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63"/>
          </w:cols>
          <w:pgMar w:left="437" w:top="461" w:right="399" w:bottom="1440" w:gutter="0" w:footer="0" w:header="0"/>
        </w:sectPr>
      </w:pPr>
    </w:p>
    <w:bookmarkStart w:id="9" w:name="page10"/>
    <w:bookmarkEnd w:id="9"/>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36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636260"/>
                    </a:xfrm>
                    <a:prstGeom prst="rect">
                      <a:avLst/>
                    </a:prstGeom>
                    <a:noFill/>
                  </pic:spPr>
                </pic:pic>
              </a:graphicData>
            </a:graphic>
          </wp:anchor>
        </w:drawing>
        <w:t>How much stock do Martin Marietta’s Directors and executive officers own?</w:t>
      </w:r>
    </w:p>
    <w:p>
      <w:pPr>
        <w:spacing w:after="0" w:line="94" w:lineRule="exact"/>
        <w:rPr>
          <w:sz w:val="20"/>
          <w:szCs w:val="20"/>
          <w:color w:val="auto"/>
        </w:rPr>
      </w:pPr>
    </w:p>
    <w:p>
      <w:pPr>
        <w:jc w:val="both"/>
        <w:ind w:left="3" w:firstLine="775"/>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as of April 1, 2013 with respect to the shares of common stock that are beneficially owned by the Directors and nominees, the Chief Executive Officer, the Chief Financial Officer, three other executive officers and a former executive officer who resigned on December 28, 2012, who are listed in the Summary Compensation Table on page 51 of this proxy statement, individually, and by all Directors and executive officers of Martin Marietta as a group.</w:t>
      </w:r>
    </w:p>
    <w:p>
      <w:pPr>
        <w:spacing w:after="0" w:line="171" w:lineRule="exact"/>
        <w:rPr>
          <w:sz w:val="20"/>
          <w:szCs w:val="20"/>
          <w:color w:val="auto"/>
        </w:rPr>
      </w:pPr>
    </w:p>
    <w:tbl>
      <w:tblPr>
        <w:tblLayout w:type="fixed"/>
        <w:tblInd w:w="3" w:type="dxa"/>
        <w:tblCellMar>
          <w:top w:w="0" w:type="dxa"/>
          <w:left w:w="0" w:type="dxa"/>
          <w:bottom w:w="0" w:type="dxa"/>
          <w:right w:w="0" w:type="dxa"/>
        </w:tblCellMar>
      </w:tblPr>
      <w:tr>
        <w:trPr>
          <w:trHeight w:val="145"/>
        </w:trPr>
        <w:tc>
          <w:tcPr>
            <w:tcW w:w="460" w:type="dxa"/>
            <w:vAlign w:val="bottom"/>
            <w:tcBorders>
              <w:right w:val="single" w:sz="8" w:color="auto"/>
            </w:tcBorders>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6060" w:type="dxa"/>
            <w:vAlign w:val="bottom"/>
            <w:tcBorders>
              <w:top w:val="single" w:sz="8" w:color="auto"/>
            </w:tcBorders>
            <w:shd w:val="clear" w:color="auto" w:fill="E0E0E0"/>
          </w:tcPr>
          <w:p>
            <w:pPr>
              <w:spacing w:after="0"/>
              <w:rPr>
                <w:sz w:val="12"/>
                <w:szCs w:val="12"/>
                <w:color w:val="auto"/>
              </w:rPr>
            </w:pPr>
          </w:p>
        </w:tc>
        <w:tc>
          <w:tcPr>
            <w:tcW w:w="3480" w:type="dxa"/>
            <w:vAlign w:val="bottom"/>
            <w:tcBorders>
              <w:top w:val="single" w:sz="8" w:color="auto"/>
              <w:right w:val="single" w:sz="8" w:color="auto"/>
            </w:tcBorders>
            <w:shd w:val="clear" w:color="auto" w:fill="E0E0E0"/>
          </w:tcPr>
          <w:p>
            <w:pPr>
              <w:jc w:val="center"/>
              <w:ind w:left="1197"/>
              <w:spacing w:after="0" w:line="145" w:lineRule="exact"/>
              <w:rPr>
                <w:sz w:val="20"/>
                <w:szCs w:val="20"/>
                <w:color w:val="auto"/>
              </w:rPr>
            </w:pPr>
            <w:r>
              <w:rPr>
                <w:rFonts w:ascii="Times New Roman" w:cs="Times New Roman" w:eastAsia="Times New Roman" w:hAnsi="Times New Roman"/>
                <w:sz w:val="14"/>
                <w:szCs w:val="14"/>
                <w:b w:val="1"/>
                <w:bCs w:val="1"/>
                <w:color w:val="auto"/>
                <w:w w:val="96"/>
              </w:rPr>
              <w:t>Amount and Nature</w:t>
            </w: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6060" w:type="dxa"/>
            <w:vAlign w:val="bottom"/>
            <w:shd w:val="clear" w:color="auto" w:fill="E0E0E0"/>
          </w:tcPr>
          <w:p>
            <w:pPr>
              <w:spacing w:after="0"/>
              <w:rPr>
                <w:sz w:val="12"/>
                <w:szCs w:val="12"/>
                <w:color w:val="auto"/>
              </w:rPr>
            </w:pPr>
          </w:p>
        </w:tc>
        <w:tc>
          <w:tcPr>
            <w:tcW w:w="3480" w:type="dxa"/>
            <w:vAlign w:val="bottom"/>
            <w:tcBorders>
              <w:right w:val="single" w:sz="8" w:color="auto"/>
            </w:tcBorders>
            <w:shd w:val="clear" w:color="auto" w:fill="E0E0E0"/>
          </w:tcPr>
          <w:p>
            <w:pPr>
              <w:jc w:val="center"/>
              <w:ind w:left="1217"/>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r>
      <w:tr>
        <w:trPr>
          <w:trHeight w:val="138"/>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6060" w:type="dxa"/>
            <w:vAlign w:val="bottom"/>
            <w:shd w:val="clear" w:color="auto" w:fill="E0E0E0"/>
          </w:tcPr>
          <w:p>
            <w:pPr>
              <w:spacing w:after="0"/>
              <w:rPr>
                <w:sz w:val="12"/>
                <w:szCs w:val="12"/>
                <w:color w:val="auto"/>
              </w:rPr>
            </w:pPr>
          </w:p>
        </w:tc>
        <w:tc>
          <w:tcPr>
            <w:tcW w:w="3480" w:type="dxa"/>
            <w:vAlign w:val="bottom"/>
            <w:tcBorders>
              <w:right w:val="single" w:sz="8" w:color="auto"/>
            </w:tcBorders>
            <w:shd w:val="clear" w:color="auto" w:fill="E0E0E0"/>
          </w:tcPr>
          <w:p>
            <w:pPr>
              <w:jc w:val="center"/>
              <w:ind w:left="1217"/>
              <w:spacing w:after="0" w:line="139" w:lineRule="exact"/>
              <w:rPr>
                <w:sz w:val="20"/>
                <w:szCs w:val="20"/>
                <w:color w:val="auto"/>
              </w:rPr>
            </w:pPr>
            <w:r>
              <w:rPr>
                <w:rFonts w:ascii="Times New Roman" w:cs="Times New Roman" w:eastAsia="Times New Roman" w:hAnsi="Times New Roman"/>
                <w:sz w:val="14"/>
                <w:szCs w:val="14"/>
                <w:b w:val="1"/>
                <w:bCs w:val="1"/>
                <w:color w:val="auto"/>
                <w:w w:val="98"/>
              </w:rPr>
              <w:t>Beneficial</w:t>
            </w:r>
          </w:p>
        </w:tc>
      </w:tr>
      <w:tr>
        <w:trPr>
          <w:trHeight w:val="169"/>
        </w:trPr>
        <w:tc>
          <w:tcPr>
            <w:tcW w:w="460" w:type="dxa"/>
            <w:vAlign w:val="bottom"/>
            <w:tcBorders>
              <w:right w:val="single" w:sz="8" w:color="auto"/>
            </w:tcBorders>
          </w:tcPr>
          <w:p>
            <w:pPr>
              <w:spacing w:after="0"/>
              <w:rPr>
                <w:sz w:val="14"/>
                <w:szCs w:val="14"/>
                <w:color w:val="auto"/>
              </w:rPr>
            </w:pPr>
          </w:p>
        </w:tc>
        <w:tc>
          <w:tcPr>
            <w:tcW w:w="6700" w:type="dxa"/>
            <w:vAlign w:val="bottom"/>
            <w:tcBorders>
              <w:bottom w:val="single" w:sz="8" w:color="auto"/>
            </w:tcBorders>
            <w:gridSpan w:val="2"/>
            <w:shd w:val="clear" w:color="auto" w:fill="E0E0E0"/>
          </w:tcPr>
          <w:p>
            <w:pPr>
              <w:ind w:left="1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80" w:type="dxa"/>
            <w:vAlign w:val="bottom"/>
            <w:tcBorders>
              <w:bottom w:val="single" w:sz="8" w:color="auto"/>
              <w:right w:val="single" w:sz="8" w:color="auto"/>
            </w:tcBorders>
            <w:shd w:val="clear" w:color="auto" w:fill="E0E0E0"/>
          </w:tcPr>
          <w:p>
            <w:pPr>
              <w:jc w:val="center"/>
              <w:ind w:left="1217"/>
              <w:spacing w:after="0" w:line="162" w:lineRule="exact"/>
              <w:rPr>
                <w:sz w:val="20"/>
                <w:szCs w:val="20"/>
                <w:color w:val="auto"/>
              </w:rPr>
            </w:pPr>
            <w:r>
              <w:rPr>
                <w:rFonts w:ascii="Times New Roman" w:cs="Times New Roman" w:eastAsia="Times New Roman" w:hAnsi="Times New Roman"/>
                <w:sz w:val="12"/>
                <w:szCs w:val="12"/>
                <w:b w:val="1"/>
                <w:bCs w:val="1"/>
                <w:color w:val="auto"/>
              </w:rPr>
              <w:t>Ownership</w:t>
            </w:r>
            <w:r>
              <w:rPr>
                <w:rFonts w:ascii="Times New Roman" w:cs="Times New Roman" w:eastAsia="Times New Roman" w:hAnsi="Times New Roman"/>
                <w:sz w:val="18"/>
                <w:szCs w:val="18"/>
                <w:b w:val="1"/>
                <w:bCs w:val="1"/>
                <w:color w:val="auto"/>
                <w:vertAlign w:val="superscript"/>
              </w:rPr>
              <w:t>1</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Roselyn R. Bar</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Times New Roman" w:cs="Times New Roman" w:eastAsia="Times New Roman" w:hAnsi="Times New Roman"/>
                <w:sz w:val="18"/>
                <w:szCs w:val="18"/>
                <w:color w:val="auto"/>
              </w:rPr>
              <w:t>72,106</w:t>
            </w:r>
            <w:r>
              <w:rPr>
                <w:rFonts w:ascii="Times New Roman" w:cs="Times New Roman" w:eastAsia="Times New Roman" w:hAnsi="Times New Roman"/>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Sue W. Cole</w:t>
            </w:r>
          </w:p>
        </w:tc>
        <w:tc>
          <w:tcPr>
            <w:tcW w:w="3480" w:type="dxa"/>
            <w:vAlign w:val="bottom"/>
            <w:tcBorders>
              <w:right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40,281</w:t>
            </w:r>
            <w:r>
              <w:rPr>
                <w:rFonts w:ascii="Times New Roman" w:cs="Times New Roman" w:eastAsia="Times New Roman" w:hAnsi="Times New Roman"/>
                <w:sz w:val="11"/>
                <w:szCs w:val="11"/>
                <w:color w:val="auto"/>
              </w:rPr>
              <w:t>3,4</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Dana F. Guzzo</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Times New Roman" w:cs="Times New Roman" w:eastAsia="Times New Roman" w:hAnsi="Times New Roman"/>
                <w:sz w:val="18"/>
                <w:szCs w:val="18"/>
                <w:color w:val="auto"/>
              </w:rPr>
              <w:t>10,317</w:t>
            </w:r>
            <w:r>
              <w:rPr>
                <w:rFonts w:ascii="Times New Roman" w:cs="Times New Roman" w:eastAsia="Times New Roman" w:hAnsi="Times New Roman"/>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Anne H. Lloyd</w:t>
            </w:r>
          </w:p>
        </w:tc>
        <w:tc>
          <w:tcPr>
            <w:tcW w:w="348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90,641</w:t>
            </w:r>
            <w:r>
              <w:rPr>
                <w:rFonts w:ascii="Times New Roman" w:cs="Times New Roman" w:eastAsia="Times New Roman" w:hAnsi="Times New Roman"/>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David G. Maffucci</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Times New Roman" w:cs="Times New Roman" w:eastAsia="Times New Roman" w:hAnsi="Times New Roman"/>
                <w:sz w:val="18"/>
                <w:szCs w:val="18"/>
                <w:color w:val="auto"/>
              </w:rPr>
              <w:t>25,356</w:t>
            </w:r>
            <w:r>
              <w:rPr>
                <w:rFonts w:ascii="Times New Roman" w:cs="Times New Roman" w:eastAsia="Times New Roman" w:hAnsi="Times New Roman"/>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Donald A. McCunniff</w:t>
            </w:r>
          </w:p>
        </w:tc>
        <w:tc>
          <w:tcPr>
            <w:tcW w:w="348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2,242</w:t>
            </w:r>
            <w:r>
              <w:rPr>
                <w:rFonts w:ascii="Times New Roman" w:cs="Times New Roman" w:eastAsia="Times New Roman" w:hAnsi="Times New Roman"/>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William E. McDonald</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Times New Roman" w:cs="Times New Roman" w:eastAsia="Times New Roman" w:hAnsi="Times New Roman"/>
                <w:sz w:val="18"/>
                <w:szCs w:val="18"/>
                <w:color w:val="auto"/>
              </w:rPr>
              <w:t>34,897</w:t>
            </w:r>
            <w:r>
              <w:rPr>
                <w:rFonts w:ascii="Times New Roman" w:cs="Times New Roman" w:eastAsia="Times New Roman" w:hAnsi="Times New Roman"/>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Frank H. Menaker, Jr.</w:t>
            </w:r>
          </w:p>
        </w:tc>
        <w:tc>
          <w:tcPr>
            <w:tcW w:w="348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40,171</w:t>
            </w:r>
            <w:r>
              <w:rPr>
                <w:rFonts w:ascii="Times New Roman" w:cs="Times New Roman" w:eastAsia="Times New Roman" w:hAnsi="Times New Roman"/>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C. Howard Nye</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Times New Roman" w:cs="Times New Roman" w:eastAsia="Times New Roman" w:hAnsi="Times New Roman"/>
                <w:sz w:val="18"/>
                <w:szCs w:val="18"/>
                <w:color w:val="auto"/>
              </w:rPr>
              <w:t>127,871</w:t>
            </w:r>
            <w:r>
              <w:rPr>
                <w:rFonts w:ascii="Times New Roman" w:cs="Times New Roman" w:eastAsia="Times New Roman" w:hAnsi="Times New Roman"/>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Laree E. Perez</w:t>
            </w:r>
          </w:p>
        </w:tc>
        <w:tc>
          <w:tcPr>
            <w:tcW w:w="348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21,764</w:t>
            </w:r>
            <w:r>
              <w:rPr>
                <w:rFonts w:ascii="Times New Roman" w:cs="Times New Roman" w:eastAsia="Times New Roman" w:hAnsi="Times New Roman"/>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Michael J. Quillen</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Times New Roman" w:cs="Times New Roman" w:eastAsia="Times New Roman" w:hAnsi="Times New Roman"/>
                <w:sz w:val="18"/>
                <w:szCs w:val="18"/>
                <w:color w:val="auto"/>
              </w:rPr>
              <w:t>12,517</w:t>
            </w:r>
            <w:r>
              <w:rPr>
                <w:rFonts w:ascii="Times New Roman" w:cs="Times New Roman" w:eastAsia="Times New Roman" w:hAnsi="Times New Roman"/>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Dennis L. Rediker</w:t>
            </w:r>
          </w:p>
        </w:tc>
        <w:tc>
          <w:tcPr>
            <w:tcW w:w="348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22,924</w:t>
            </w:r>
            <w:r>
              <w:rPr>
                <w:rFonts w:ascii="Times New Roman" w:cs="Times New Roman" w:eastAsia="Times New Roman" w:hAnsi="Times New Roman"/>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Bruce A. Vaio</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Times New Roman" w:cs="Times New Roman" w:eastAsia="Times New Roman" w:hAnsi="Times New Roman"/>
                <w:sz w:val="18"/>
                <w:szCs w:val="18"/>
                <w:color w:val="auto"/>
              </w:rPr>
              <w:t>65,352</w:t>
            </w:r>
            <w:r>
              <w:rPr>
                <w:rFonts w:ascii="Times New Roman" w:cs="Times New Roman" w:eastAsia="Times New Roman" w:hAnsi="Times New Roman"/>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Richard A. Vinroot</w:t>
            </w:r>
          </w:p>
        </w:tc>
        <w:tc>
          <w:tcPr>
            <w:tcW w:w="348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37,056</w:t>
            </w:r>
            <w:r>
              <w:rPr>
                <w:rFonts w:ascii="Times New Roman" w:cs="Times New Roman" w:eastAsia="Times New Roman" w:hAnsi="Times New Roman"/>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Stephen P. Zelnak, Jr.</w:t>
            </w:r>
          </w:p>
        </w:tc>
        <w:tc>
          <w:tcPr>
            <w:tcW w:w="3480" w:type="dxa"/>
            <w:vAlign w:val="bottom"/>
            <w:tcBorders>
              <w:right w:val="single" w:sz="8" w:color="auto"/>
            </w:tcBorders>
            <w:shd w:val="clear" w:color="auto" w:fill="E0E0E0"/>
          </w:tcPr>
          <w:p>
            <w:pPr>
              <w:jc w:val="right"/>
              <w:ind w:right="257"/>
              <w:spacing w:after="0"/>
              <w:rPr>
                <w:sz w:val="20"/>
                <w:szCs w:val="20"/>
                <w:color w:val="auto"/>
              </w:rPr>
            </w:pPr>
            <w:r>
              <w:rPr>
                <w:rFonts w:ascii="Times New Roman" w:cs="Times New Roman" w:eastAsia="Times New Roman" w:hAnsi="Times New Roman"/>
                <w:sz w:val="18"/>
                <w:szCs w:val="18"/>
                <w:color w:val="auto"/>
              </w:rPr>
              <w:t>178,908</w:t>
            </w:r>
            <w:r>
              <w:rPr>
                <w:rFonts w:ascii="Times New Roman" w:cs="Times New Roman" w:eastAsia="Times New Roman" w:hAnsi="Times New Roman"/>
                <w:sz w:val="11"/>
                <w:szCs w:val="11"/>
                <w:color w:val="auto"/>
              </w:rPr>
              <w:t>3,6</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All Directors and executive officers as a group (15 individuals including those named above)</w:t>
            </w:r>
          </w:p>
        </w:tc>
        <w:tc>
          <w:tcPr>
            <w:tcW w:w="3480" w:type="dxa"/>
            <w:vAlign w:val="bottom"/>
            <w:tcBorders>
              <w:bottom w:val="single" w:sz="8" w:color="auto"/>
              <w:right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782,403</w:t>
            </w:r>
            <w:r>
              <w:rPr>
                <w:rFonts w:ascii="Times New Roman" w:cs="Times New Roman" w:eastAsia="Times New Roman" w:hAnsi="Times New Roman"/>
                <w:sz w:val="11"/>
                <w:szCs w:val="11"/>
                <w:color w:val="auto"/>
              </w:rPr>
              <w:t>3,4,6,7</w:t>
            </w:r>
          </w:p>
        </w:tc>
      </w:tr>
      <w:tr>
        <w:trPr>
          <w:trHeight w:val="102"/>
        </w:trPr>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3480" w:type="dxa"/>
            <w:vAlign w:val="bottom"/>
          </w:tcPr>
          <w:p>
            <w:pPr>
              <w:spacing w:after="0"/>
              <w:rPr>
                <w:sz w:val="8"/>
                <w:szCs w:val="8"/>
                <w:color w:val="auto"/>
              </w:rPr>
            </w:pPr>
          </w:p>
        </w:tc>
      </w:tr>
    </w:tbl>
    <w:p>
      <w:pPr>
        <w:spacing w:after="0" w:line="14" w:lineRule="exact"/>
        <w:rPr>
          <w:sz w:val="20"/>
          <w:szCs w:val="20"/>
          <w:color w:val="auto"/>
        </w:rPr>
      </w:pPr>
    </w:p>
    <w:p>
      <w:pPr>
        <w:jc w:val="both"/>
        <w:ind w:left="323" w:hanging="323"/>
        <w:spacing w:after="0" w:line="234" w:lineRule="auto"/>
        <w:tabs>
          <w:tab w:leader="none" w:pos="32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1.91% of the shares of common stock outstanding as of April 1, 2013. None of the shares reported are pledged as security.</w:t>
      </w:r>
    </w:p>
    <w:p>
      <w:pPr>
        <w:spacing w:after="0" w:line="56" w:lineRule="exact"/>
        <w:rPr>
          <w:sz w:val="20"/>
          <w:szCs w:val="20"/>
          <w:color w:val="auto"/>
        </w:rPr>
      </w:pPr>
    </w:p>
    <w:p>
      <w:pPr>
        <w:jc w:val="both"/>
        <w:ind w:left="323" w:hanging="323"/>
        <w:spacing w:after="0" w:line="226" w:lineRule="auto"/>
        <w:tabs>
          <w:tab w:leader="none" w:pos="32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owned for each of Mr. Nye, Ms. Lloyd, Ms. Bar, Mr. McCunniff, Ms. Guzzo, and Mr. Vaio, assumes that options held by each of them covering shares of common stock in the amounts indicated, which are currently exercisable within 60 days of April 1, 2013, have been exercised: Mr. Nye, 62,691; Ms. Lloyd, 51,104; Ms. Bar, 43,592; Mr. McCunniff, 0; Ms. Guzzo, 5,548; and Mr. Vaio, 43,051.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(other than with respect to Mr. Vaio), each in the following amounts: Mr. Nye, 8,433 and 27,584, respectively; Ms. Lloyd, 2,230 and 11,329, respectively; Ms. Bar, 2,107 and 9,247, respectively; Mr. McCunniff, 423 and 1,819, respectively; Ms. Guzzo, 961 and 2,055, respectively; and Mr. Vaio, 1,999 and 11,329, respectively. There are no voting rights associated with the stock units.</w:t>
      </w:r>
    </w:p>
    <w:p>
      <w:pPr>
        <w:spacing w:after="0" w:line="60" w:lineRule="exact"/>
        <w:rPr>
          <w:sz w:val="20"/>
          <w:szCs w:val="20"/>
          <w:color w:val="auto"/>
        </w:rPr>
      </w:pPr>
    </w:p>
    <w:p>
      <w:pPr>
        <w:jc w:val="both"/>
        <w:ind w:left="323" w:hanging="323"/>
        <w:spacing w:after="0" w:line="227" w:lineRule="auto"/>
        <w:tabs>
          <w:tab w:leader="none" w:pos="32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include (1) compensation paid on an annual basis that Directors have received in common stock units that is deferred pursuant to the Amended and Restated Martin Marietta Materials, Inc. Common Stock Purchase Plan for Directors and (2) 1,592 restricted stock units that each Director received in 2012 as part of their compensation. The Directors do not have voting or investment power for their respective share units. The number of common stock units credited to each of the Directors as of April 1, 2013 is as follows: Ms. Cole, 17,927; Mr. Maffucci, 13,356; Mr. McDonald, 19,897; Mr. Menaker, 22,567; Ms. Perez, 9,764; Mr. Quillen, 9,517; Mr. Rediker, 13,924; Mr. Vinroot, 20,056; and Mr. Zelnak, 7,964. Amounts reported also include options for common stock for each Director, as follows: Ms. Cole, 17,000; Mr. Maffucci, 12,000; Mr. McDonald, 15,000; Mr. Menaker, 15,000; Ms. Perez, 12,000; Mr. Quillen, 3,000; Mr. Rediker, 9,000; Mr. Vinroot, 17,000; and Mr. Zelnak, 151,268.</w:t>
      </w:r>
    </w:p>
    <w:p>
      <w:pPr>
        <w:spacing w:after="0" w:line="59" w:lineRule="exact"/>
        <w:rPr>
          <w:sz w:val="20"/>
          <w:szCs w:val="20"/>
          <w:color w:val="auto"/>
        </w:rPr>
      </w:pPr>
    </w:p>
    <w:p>
      <w:pPr>
        <w:ind w:left="323" w:hanging="323"/>
        <w:spacing w:after="0"/>
        <w:tabs>
          <w:tab w:leader="none" w:pos="32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approximation of the number of shares in IRA and 401(k) accounts.</w:t>
      </w:r>
    </w:p>
    <w:p>
      <w:pPr>
        <w:spacing w:after="0" w:line="28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63"/>
          </w:cols>
          <w:pgMar w:left="437" w:top="459" w:right="399" w:bottom="1440" w:gutter="0" w:footer="0" w:header="0"/>
        </w:sectPr>
      </w:pPr>
    </w:p>
    <w:bookmarkStart w:id="10" w:name="page11"/>
    <w:bookmarkEnd w:id="10"/>
    <w:p>
      <w:pPr>
        <w:ind w:left="323" w:hanging="323"/>
        <w:spacing w:after="0"/>
        <w:tabs>
          <w:tab w:leader="none" w:pos="32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44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344795"/>
                    </a:xfrm>
                    <a:prstGeom prst="rect">
                      <a:avLst/>
                    </a:prstGeom>
                    <a:noFill/>
                  </pic:spPr>
                </pic:pic>
              </a:graphicData>
            </a:graphic>
          </wp:anchor>
        </w:drawing>
        <w:t>Mr. Vaio resigned as Executive Vice President on December 28, 2012. The amounts reported reflect ownership as of April 1, 2013.</w:t>
      </w:r>
    </w:p>
    <w:p>
      <w:pPr>
        <w:spacing w:after="0" w:line="69" w:lineRule="exact"/>
        <w:rPr>
          <w:sz w:val="20"/>
          <w:szCs w:val="20"/>
          <w:color w:val="auto"/>
        </w:rPr>
      </w:pPr>
    </w:p>
    <w:p>
      <w:pPr>
        <w:ind w:left="323" w:hanging="323"/>
        <w:spacing w:after="0" w:line="241" w:lineRule="auto"/>
        <w:tabs>
          <w:tab w:leader="none" w:pos="3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also include 19,676 restricted stock unit awards previously granted to Mr. Zelnak under the Martin Marietta Materials, Inc. Amended and Restated Stock-Based Award Plan when he served as Chief Executive Officer of Martin Marietta.</w:t>
      </w:r>
    </w:p>
    <w:p>
      <w:pPr>
        <w:spacing w:after="0" w:line="55" w:lineRule="exact"/>
        <w:rPr>
          <w:sz w:val="20"/>
          <w:szCs w:val="20"/>
          <w:color w:val="auto"/>
        </w:rPr>
      </w:pPr>
    </w:p>
    <w:p>
      <w:pPr>
        <w:jc w:val="both"/>
        <w:ind w:left="323" w:hanging="323"/>
        <w:spacing w:after="0" w:line="229" w:lineRule="auto"/>
        <w:tabs>
          <w:tab w:leader="none" w:pos="32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include: (1) 457,254 options held by Directors and executive officers, which are currently exercisable within 60 days of April 1, 2013; (2) 16,153 common stock units credited to executive officers in connection with their deferral of a portion of their cash bonus under the Martin Marietta Materials, Inc. Incentive Stock Plan; (3) 63,363 common stock units credited to executive officers in connection with restricted stock awards granted under the Martin Marietta Materials, Inc. Amended and Restated Stock-Based Award Plan that are subject to forfeiture in accordance with the terms of the plan (other than with respect to Mr. Vaio); and (4) 87,823 common stock units credited to the Directors in connection with restricted stock awards granted under the Martin Marietta Materials, Inc. Amended and Restated Stock-Based Award Plan. There are no voting rights associated with the stock units.</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94" w:lineRule="exact"/>
        <w:rPr>
          <w:sz w:val="20"/>
          <w:szCs w:val="20"/>
          <w:color w:val="auto"/>
        </w:rPr>
      </w:pPr>
    </w:p>
    <w:p>
      <w:pPr>
        <w:jc w:val="both"/>
        <w:ind w:left="3" w:firstLine="775"/>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w:t>
      </w:r>
    </w:p>
    <w:p>
      <w:pPr>
        <w:spacing w:after="0" w:line="136" w:lineRule="exact"/>
        <w:rPr>
          <w:sz w:val="20"/>
          <w:szCs w:val="20"/>
          <w:color w:val="auto"/>
        </w:rPr>
      </w:pPr>
    </w:p>
    <w:p>
      <w:pPr>
        <w:jc w:val="both"/>
        <w:ind w:left="3" w:firstLine="775"/>
        <w:spacing w:after="0" w:line="262" w:lineRule="auto"/>
        <w:rPr>
          <w:sz w:val="20"/>
          <w:szCs w:val="20"/>
          <w:color w:val="auto"/>
        </w:rPr>
      </w:pPr>
      <w:r>
        <w:rPr>
          <w:rFonts w:ascii="Times New Roman" w:cs="Times New Roman" w:eastAsia="Times New Roman" w:hAnsi="Times New Roman"/>
          <w:sz w:val="18"/>
          <w:szCs w:val="18"/>
          <w:color w:val="auto"/>
        </w:rPr>
        <w:t>Based solely on its review of the copies of reports furnished to Martin Marietta and written representations of Directors and officers that no other reports were required for the year ended December 31, 2012, Martin Marietta believes that no Director, officer, or 10% shareholder failed to timely file in 2012 any report required by Section 16(a).</w:t>
      </w:r>
    </w:p>
    <w:p>
      <w:pPr>
        <w:spacing w:after="0" w:line="21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73" w:lineRule="exact"/>
        <w:rPr>
          <w:sz w:val="20"/>
          <w:szCs w:val="20"/>
          <w:color w:val="auto"/>
        </w:rPr>
      </w:pPr>
    </w:p>
    <w:p>
      <w:pPr>
        <w:jc w:val="both"/>
        <w:ind w:left="3" w:firstLine="775"/>
        <w:spacing w:after="0" w:line="275" w:lineRule="auto"/>
        <w:rPr>
          <w:sz w:val="20"/>
          <w:szCs w:val="20"/>
          <w:color w:val="auto"/>
        </w:rPr>
      </w:pPr>
      <w:r>
        <w:rPr>
          <w:rFonts w:ascii="Times New Roman" w:cs="Times New Roman" w:eastAsia="Times New Roman" w:hAnsi="Times New Roman"/>
          <w:sz w:val="18"/>
          <w:szCs w:val="18"/>
          <w:color w:val="auto"/>
        </w:rPr>
        <w:t>The Board of Directors currently consists of ten members, nine of whom are non-employee Directors. The Board is divided into three classes with three-year terms.</w:t>
      </w:r>
    </w:p>
    <w:p>
      <w:pPr>
        <w:spacing w:after="0" w:line="120" w:lineRule="exact"/>
        <w:rPr>
          <w:sz w:val="20"/>
          <w:szCs w:val="20"/>
          <w:color w:val="auto"/>
        </w:rPr>
      </w:pPr>
    </w:p>
    <w:p>
      <w:pPr>
        <w:jc w:val="both"/>
        <w:ind w:left="3" w:firstLine="775"/>
        <w:spacing w:after="0" w:line="258" w:lineRule="auto"/>
        <w:rPr>
          <w:sz w:val="20"/>
          <w:szCs w:val="20"/>
          <w:color w:val="auto"/>
        </w:rPr>
      </w:pPr>
      <w:r>
        <w:rPr>
          <w:rFonts w:ascii="Times New Roman" w:cs="Times New Roman" w:eastAsia="Times New Roman" w:hAnsi="Times New Roman"/>
          <w:sz w:val="18"/>
          <w:szCs w:val="18"/>
          <w:color w:val="auto"/>
        </w:rPr>
        <w:t>The Board of Directors has nominated three persons for election as Directors to serve three-year terms expiring in 2016.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36" w:lineRule="exact"/>
        <w:rPr>
          <w:sz w:val="20"/>
          <w:szCs w:val="20"/>
          <w:color w:val="auto"/>
        </w:rPr>
      </w:pPr>
    </w:p>
    <w:p>
      <w:pPr>
        <w:jc w:val="both"/>
        <w:ind w:left="3" w:firstLine="775"/>
        <w:spacing w:after="0" w:line="254" w:lineRule="auto"/>
        <w:rPr>
          <w:sz w:val="20"/>
          <w:szCs w:val="20"/>
          <w:color w:val="auto"/>
        </w:rPr>
      </w:pPr>
      <w:r>
        <w:rPr>
          <w:rFonts w:ascii="Times New Roman" w:cs="Times New Roman" w:eastAsia="Times New Roman" w:hAnsi="Times New Roman"/>
          <w:sz w:val="18"/>
          <w:szCs w:val="18"/>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2012 annual meeting, for a nomination to be properly made by a shareholder at the 2013 annual meeting, the shareholder’s notice must have been sent to, and received by, our Secretary at our principal executive offices between January 18, 2013 and February 17, 2013.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141" w:lineRule="exact"/>
        <w:rPr>
          <w:sz w:val="20"/>
          <w:szCs w:val="20"/>
          <w:color w:val="auto"/>
        </w:rPr>
      </w:pPr>
    </w:p>
    <w:p>
      <w:pPr>
        <w:jc w:val="both"/>
        <w:ind w:left="3" w:firstLine="775"/>
        <w:spacing w:after="0" w:line="275" w:lineRule="auto"/>
        <w:rPr>
          <w:sz w:val="20"/>
          <w:szCs w:val="20"/>
          <w:color w:val="auto"/>
        </w:rPr>
      </w:pPr>
      <w:r>
        <w:rPr>
          <w:rFonts w:ascii="Times New Roman" w:cs="Times New Roman" w:eastAsia="Times New Roman" w:hAnsi="Times New Roman"/>
          <w:sz w:val="18"/>
          <w:szCs w:val="18"/>
          <w:color w:val="auto"/>
        </w:rPr>
        <w:t>The following sets forth the age and certain other biographical information for each of the nominees for election and for each of the other members of the Board of Directors as of the date of this proxy statement.</w:t>
      </w:r>
    </w:p>
    <w:p>
      <w:pPr>
        <w:spacing w:after="0" w:line="25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63"/>
          </w:cols>
          <w:pgMar w:left="437" w:top="464"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19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019040"/>
                    </a:xfrm>
                    <a:prstGeom prst="rect">
                      <a:avLst/>
                    </a:prstGeom>
                    <a:noFill/>
                  </pic:spPr>
                </pic:pic>
              </a:graphicData>
            </a:graphic>
          </wp:anchor>
        </w:drawing>
        <w:t>PROPOSAL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(Item 1 on Proxy Card)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to the Board of Directors for a Term Continuing Until 2016:</w:t>
      </w:r>
    </w:p>
    <w:p>
      <w:pPr>
        <w:spacing w:after="0" w:line="9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 xml:space="preserve">C. Howard Nye </w:t>
      </w:r>
      <w:r>
        <w:rPr>
          <w:rFonts w:ascii="Times New Roman" w:cs="Times New Roman" w:eastAsia="Times New Roman" w:hAnsi="Times New Roman"/>
          <w:sz w:val="18"/>
          <w:szCs w:val="18"/>
          <w:color w:val="auto"/>
        </w:rPr>
        <w:t>(50)</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Director (since 2010)</w:t>
      </w:r>
    </w:p>
    <w:p>
      <w:pPr>
        <w:spacing w:after="0" w:line="78" w:lineRule="exact"/>
        <w:rPr>
          <w:sz w:val="20"/>
          <w:szCs w:val="20"/>
          <w:color w:val="auto"/>
        </w:rPr>
      </w:pPr>
    </w:p>
    <w:p>
      <w:pPr>
        <w:jc w:val="both"/>
        <w:ind w:left="3100"/>
        <w:spacing w:after="0" w:line="290" w:lineRule="auto"/>
        <w:rPr>
          <w:sz w:val="20"/>
          <w:szCs w:val="20"/>
          <w:color w:val="auto"/>
        </w:rPr>
      </w:pPr>
      <w:r>
        <w:rPr>
          <w:rFonts w:ascii="Times New Roman" w:cs="Times New Roman" w:eastAsia="Times New Roman" w:hAnsi="Times New Roman"/>
          <w:sz w:val="16"/>
          <w:szCs w:val="16"/>
          <w:color w:val="auto"/>
        </w:rPr>
        <w:t>Mr. Nye has served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has also been active in a number of various business, civic, and education organizations, including serving as a member of the Board of Directors for the National Stone, Sand &amp; Gravel Association, the American Road &amp; Transportation Builders Association, and Romeo Guest Associates, Inc. Mr. Nye is also a member of the Duke University Alumni Board, as well as a former gubernatorial appointee to the North Carolina Mining Commission.</w:t>
      </w:r>
    </w:p>
    <w:p>
      <w:pPr>
        <w:spacing w:after="0" w:line="2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3100"/>
        <w:spacing w:after="0" w:line="296" w:lineRule="auto"/>
        <w:rPr>
          <w:sz w:val="20"/>
          <w:szCs w:val="20"/>
          <w:color w:val="auto"/>
        </w:rPr>
      </w:pPr>
      <w:r>
        <w:rPr>
          <w:rFonts w:ascii="Times New Roman" w:cs="Times New Roman" w:eastAsia="Times New Roman" w:hAnsi="Times New Roman"/>
          <w:sz w:val="16"/>
          <w:szCs w:val="16"/>
          <w:color w:val="auto"/>
        </w:rPr>
        <w:t>Mr. Nye has extensive knowledge of the construction aggregates industry from his 29 years of experience in all facets of the construction materials business. He brings to the Board extensive leadership, business, operating,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Martin Marietta.</w:t>
      </w:r>
    </w:p>
    <w:p>
      <w:pPr>
        <w:spacing w:after="0" w:line="6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 xml:space="preserve">Laree E. Perez </w:t>
      </w:r>
      <w:r>
        <w:rPr>
          <w:rFonts w:ascii="Times New Roman" w:cs="Times New Roman" w:eastAsia="Times New Roman" w:hAnsi="Times New Roman"/>
          <w:sz w:val="18"/>
          <w:szCs w:val="18"/>
          <w:color w:val="auto"/>
        </w:rPr>
        <w:t>(59)</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Director (since 2004), Chair of the Finance Committee and member of the Audit Committee and the Ethics,</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Environment, Safety and Health Committee.</w:t>
      </w:r>
    </w:p>
    <w:p>
      <w:pPr>
        <w:spacing w:after="0" w:line="78" w:lineRule="exact"/>
        <w:rPr>
          <w:sz w:val="20"/>
          <w:szCs w:val="20"/>
          <w:color w:val="auto"/>
        </w:rPr>
      </w:pPr>
    </w:p>
    <w:p>
      <w:pPr>
        <w:jc w:val="both"/>
        <w:ind w:left="3100"/>
        <w:spacing w:after="0" w:line="254" w:lineRule="auto"/>
        <w:rPr>
          <w:sz w:val="20"/>
          <w:szCs w:val="20"/>
          <w:color w:val="auto"/>
        </w:rPr>
      </w:pPr>
      <w:r>
        <w:rPr>
          <w:rFonts w:ascii="Times New Roman" w:cs="Times New Roman" w:eastAsia="Times New Roman" w:hAnsi="Times New Roman"/>
          <w:sz w:val="18"/>
          <w:szCs w:val="18"/>
          <w:color w:val="auto"/>
        </w:rPr>
        <w:t>Ms. Perez serves as the Managing Partner in The Medallion Company, LLC, an investment management company, since 2003 and as an independent financial consultant with that company since 2002.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December 2012. She previously served as the Chairman of the Audit Committee of GenOn Energy, Inc. from 2002 to 2007. From 1996 to 2002, she was Vice President of Loomis, Sayles &amp; Company, L.P. Ms. Perez was co-founder of Medallion Investment Company, Inc. and served as President and Chief Executive Officer from</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60"/>
          </w:cols>
          <w:pgMar w:left="440" w:top="461" w:right="399" w:bottom="1440" w:gutter="0" w:footer="0" w:header="0"/>
        </w:sectPr>
      </w:pPr>
    </w:p>
    <w:bookmarkStart w:id="12" w:name="page13"/>
    <w:bookmarkEnd w:id="12"/>
    <w:p>
      <w:pPr>
        <w:jc w:val="both"/>
        <w:ind w:left="2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99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499100"/>
                    </a:xfrm>
                    <a:prstGeom prst="rect">
                      <a:avLst/>
                    </a:prstGeom>
                    <a:noFill/>
                  </pic:spPr>
                </pic:pic>
              </a:graphicData>
            </a:graphic>
          </wp:anchor>
        </w:drawing>
        <w:t>1991 until it was acquired by Loomis Sayles in 1996. Ms. Perez recently served as Vice Chairman of the Board of Regents at Baylor University and previously served on the Board of Trustees of New Mexico State University, where she was also Chairman of the Board. Ms. Perez has also served on the Leadership Council and as Chair of the Development Committee for the Mayo Clinic Arizona. Ms. Perez has over 30 years’ experience in finance and investments.</w:t>
      </w:r>
    </w:p>
    <w:p>
      <w:pPr>
        <w:spacing w:after="0" w:line="5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2100"/>
        <w:spacing w:after="0" w:line="255" w:lineRule="auto"/>
        <w:rPr>
          <w:sz w:val="20"/>
          <w:szCs w:val="20"/>
          <w:color w:val="auto"/>
        </w:rPr>
      </w:pPr>
      <w:r>
        <w:rPr>
          <w:rFonts w:ascii="Times New Roman" w:cs="Times New Roman" w:eastAsia="Times New Roman" w:hAnsi="Times New Roman"/>
          <w:sz w:val="18"/>
          <w:szCs w:val="18"/>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Martin Marietta has important operations in that region and she gives the Board perspective on diversity.</w:t>
      </w:r>
    </w:p>
    <w:p>
      <w:pPr>
        <w:spacing w:after="0" w:line="20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 xml:space="preserve">Dennis L. Rediker </w:t>
      </w:r>
      <w:r>
        <w:rPr>
          <w:rFonts w:ascii="Times New Roman" w:cs="Times New Roman" w:eastAsia="Times New Roman" w:hAnsi="Times New Roman"/>
          <w:sz w:val="18"/>
          <w:szCs w:val="18"/>
          <w:color w:val="auto"/>
        </w:rPr>
        <w:t>(69)</w:t>
      </w:r>
    </w:p>
    <w:p>
      <w:pPr>
        <w:spacing w:after="0" w:line="23" w:lineRule="exact"/>
        <w:rPr>
          <w:sz w:val="20"/>
          <w:szCs w:val="20"/>
          <w:color w:val="auto"/>
        </w:rPr>
      </w:pPr>
    </w:p>
    <w:p>
      <w:pPr>
        <w:jc w:val="both"/>
        <w:ind w:left="2100"/>
        <w:spacing w:after="0" w:line="261" w:lineRule="auto"/>
        <w:rPr>
          <w:sz w:val="20"/>
          <w:szCs w:val="20"/>
          <w:color w:val="auto"/>
        </w:rPr>
      </w:pPr>
      <w:r>
        <w:rPr>
          <w:rFonts w:ascii="Times New Roman" w:cs="Times New Roman" w:eastAsia="Times New Roman" w:hAnsi="Times New Roman"/>
          <w:sz w:val="18"/>
          <w:szCs w:val="18"/>
          <w:i w:val="1"/>
          <w:iCs w:val="1"/>
          <w:color w:val="auto"/>
        </w:rPr>
        <w:t>Director (since 2003), Member of the Audit Committee, the Finance Committee and the Ethics, Environment, Safety and Health Committee.</w:t>
      </w:r>
    </w:p>
    <w:p>
      <w:pPr>
        <w:spacing w:after="0" w:line="51" w:lineRule="exact"/>
        <w:rPr>
          <w:sz w:val="20"/>
          <w:szCs w:val="20"/>
          <w:color w:val="auto"/>
        </w:rPr>
      </w:pPr>
    </w:p>
    <w:p>
      <w:pPr>
        <w:jc w:val="both"/>
        <w:ind w:left="2100"/>
        <w:spacing w:after="0" w:line="288" w:lineRule="auto"/>
        <w:rPr>
          <w:sz w:val="20"/>
          <w:szCs w:val="20"/>
          <w:color w:val="auto"/>
        </w:rPr>
      </w:pPr>
      <w:r>
        <w:rPr>
          <w:rFonts w:ascii="Times New Roman" w:cs="Times New Roman" w:eastAsia="Times New Roman" w:hAnsi="Times New Roman"/>
          <w:sz w:val="16"/>
          <w:szCs w:val="16"/>
          <w:color w:val="auto"/>
        </w:rPr>
        <w:t>Mr. Rediker serves as the President and Chief Operating Officer of Utility Composite Solutions International (UCSI), a developer and maker of composite materials for utility and municipal lighting applications. From 2009 to 2011, Mr. Rediker served as the President and Chief Operating Officer of B4C, LLC, a developer and maker of ceramic materials for defense and aerospace applications. He continues to serve as a consultant for B4C, LLC. He previously served as President and Chief Executive Officer of The Standard Register Company, a document services company, from 2000 until his retirement in 2008. Mr. Rediker was also previously the Chief Executive Officer and a Director of English China Clays, plc. During the past five years, Mr. Rediker served as Director of The Standard Register Company. Mr. Rediker is past volunteer Chairman of the Board of Trustees of the National Composites Center, and previously served on the Dayton Development Coalition and on the Board of Managers for the National Museum of the U.S. Air Force Foundation.</w:t>
      </w:r>
    </w:p>
    <w:p>
      <w:pPr>
        <w:spacing w:after="0" w:line="2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2100"/>
        <w:spacing w:after="0" w:line="256" w:lineRule="auto"/>
        <w:rPr>
          <w:sz w:val="20"/>
          <w:szCs w:val="20"/>
          <w:color w:val="auto"/>
        </w:rPr>
      </w:pPr>
      <w:r>
        <w:rPr>
          <w:rFonts w:ascii="Times New Roman" w:cs="Times New Roman" w:eastAsia="Times New Roman" w:hAnsi="Times New Roman"/>
          <w:sz w:val="18"/>
          <w:szCs w:val="18"/>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former association with McKinsey &amp; Co.</w:t>
      </w:r>
    </w:p>
    <w:p>
      <w:pPr>
        <w:spacing w:after="0" w:line="14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 xml:space="preserve">THE BOARD UNANIMOUSLY RECOMMENDS A VOTE </w:t>
      </w:r>
      <w:r>
        <w:rPr>
          <w:rFonts w:ascii="Times New Roman" w:cs="Times New Roman" w:eastAsia="Times New Roman" w:hAnsi="Times New Roman"/>
          <w:sz w:val="18"/>
          <w:szCs w:val="18"/>
          <w:b w:val="1"/>
          <w:bCs w:val="1"/>
          <w:i w:val="1"/>
          <w:iCs w:val="1"/>
          <w:u w:val="single" w:color="auto"/>
          <w:color w:val="auto"/>
        </w:rPr>
        <w:t>“FOR”</w:t>
      </w:r>
    </w:p>
    <w:p>
      <w:pPr>
        <w:spacing w:after="0" w:line="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ALL NOMINEES FOR ELECTION TO THE BOARD OF DIRECTORS</w:t>
      </w:r>
    </w:p>
    <w:p>
      <w:pPr>
        <w:spacing w:after="0" w:line="3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060"/>
          </w:cols>
          <w:pgMar w:left="1440" w:top="67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105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310505"/>
                    </a:xfrm>
                    <a:prstGeom prst="rect">
                      <a:avLst/>
                    </a:prstGeom>
                    <a:noFill/>
                  </pic:spPr>
                </pic:pic>
              </a:graphicData>
            </a:graphic>
          </wp:anchor>
        </w:drawing>
        <w:t>Directors Whose Terms Continue Until 2015:</w:t>
      </w:r>
    </w:p>
    <w:p>
      <w:pPr>
        <w:spacing w:after="0" w:line="2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 xml:space="preserve">David G. Maffucci </w:t>
      </w:r>
      <w:r>
        <w:rPr>
          <w:rFonts w:ascii="Times New Roman" w:cs="Times New Roman" w:eastAsia="Times New Roman" w:hAnsi="Times New Roman"/>
          <w:sz w:val="18"/>
          <w:szCs w:val="18"/>
          <w:color w:val="auto"/>
        </w:rPr>
        <w:t>(62)</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Director (since 2005), Chair of the Audit Committee and member of the Finance Committee.</w:t>
      </w:r>
    </w:p>
    <w:p>
      <w:pPr>
        <w:spacing w:after="0" w:line="78" w:lineRule="exact"/>
        <w:rPr>
          <w:sz w:val="20"/>
          <w:szCs w:val="20"/>
          <w:color w:val="auto"/>
        </w:rPr>
      </w:pPr>
    </w:p>
    <w:p>
      <w:pPr>
        <w:jc w:val="both"/>
        <w:ind w:left="3100"/>
        <w:spacing w:after="0" w:line="287" w:lineRule="auto"/>
        <w:rPr>
          <w:sz w:val="20"/>
          <w:szCs w:val="20"/>
          <w:color w:val="auto"/>
        </w:rPr>
      </w:pPr>
      <w:r>
        <w:rPr>
          <w:rFonts w:ascii="Times New Roman" w:cs="Times New Roman" w:eastAsia="Times New Roman" w:hAnsi="Times New Roman"/>
          <w:sz w:val="16"/>
          <w:szCs w:val="16"/>
          <w:color w:val="auto"/>
        </w:rPr>
        <w:t>Mr. Maffucci is a Director of Domtar Corporation, which designs, manufactures, markets and distributes a wide variety of fiber-based products, including communication papers, specialty and packaging papers, and adult incontinence products. He is currently a member of its Audit and Finance Committees. Mr. Maffucci served as Executive Vice President and Chief Financial Officer of Xerium Technologies, Inc., a manufacturer and supplier of consumable products used in paper production, from 2009 to 2010. He served on its Board of Directors from 2008 until 2010, serving on its Audit and Compensation Committees from 2008 to 2009. From 2005 to 2006, Mr. Maffucci served as Executive Vice President of Bowater Incorporated (the predecessor in interest to Resolute Forest Products (NYSE: RFP)) and President of its Newsprint Division. He served as Chief Financial Officer of Bowater Incorporated from 1995 to 2005. Resolute Forest Products produces a wide range of newsprint and commercial printing papers, market pulp and wood products.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previously worked at KPMG.</w:t>
      </w:r>
    </w:p>
    <w:p>
      <w:pPr>
        <w:spacing w:after="0" w:line="24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3100"/>
        <w:spacing w:after="0" w:line="256" w:lineRule="auto"/>
        <w:rPr>
          <w:sz w:val="20"/>
          <w:szCs w:val="20"/>
          <w:color w:val="auto"/>
        </w:rPr>
      </w:pPr>
      <w:r>
        <w:rPr>
          <w:rFonts w:ascii="Times New Roman" w:cs="Times New Roman" w:eastAsia="Times New Roman" w:hAnsi="Times New Roman"/>
          <w:sz w:val="18"/>
          <w:szCs w:val="18"/>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Martin Marietta’s financial statements, accounting principles and practices, auditing, internal control over financial reporting, and risk management processes.</w:t>
      </w:r>
    </w:p>
    <w:p>
      <w:pPr>
        <w:spacing w:after="0" w:line="3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 xml:space="preserve">William E. McDonald </w:t>
      </w:r>
      <w:r>
        <w:rPr>
          <w:rFonts w:ascii="Times New Roman" w:cs="Times New Roman" w:eastAsia="Times New Roman" w:hAnsi="Times New Roman"/>
          <w:sz w:val="18"/>
          <w:szCs w:val="18"/>
          <w:color w:val="auto"/>
        </w:rPr>
        <w:t>(70)</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i w:val="1"/>
          <w:iCs w:val="1"/>
          <w:color w:val="auto"/>
        </w:rPr>
        <w:t>Director (since 1996), Chair of the Nominating and Corporate Governance Committee, member of the Executive</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Committee and the Management Development and Compensation Committee.</w:t>
      </w:r>
    </w:p>
    <w:p>
      <w:pPr>
        <w:spacing w:after="0" w:line="78" w:lineRule="exact"/>
        <w:rPr>
          <w:sz w:val="20"/>
          <w:szCs w:val="20"/>
          <w:color w:val="auto"/>
        </w:rPr>
      </w:pPr>
    </w:p>
    <w:p>
      <w:pPr>
        <w:jc w:val="both"/>
        <w:ind w:left="3100"/>
        <w:spacing w:after="0" w:line="254" w:lineRule="auto"/>
        <w:rPr>
          <w:sz w:val="20"/>
          <w:szCs w:val="20"/>
          <w:color w:val="auto"/>
        </w:rPr>
      </w:pPr>
      <w:r>
        <w:rPr>
          <w:rFonts w:ascii="Times New Roman" w:cs="Times New Roman" w:eastAsia="Times New Roman" w:hAnsi="Times New Roman"/>
          <w:sz w:val="18"/>
          <w:szCs w:val="18"/>
          <w:color w:val="auto"/>
        </w:rPr>
        <w:t>Mr. McDonald served as President and Chief Executive Officer of Sprint Mid-Atlantic Telecom and Sprint Mid-Atlantic Operations from 1993 to 1998, and was President and Chief Executive Officer for the United Telephone-Eastern in Carlisle, Pennsylvania. Mr. McDonald began working with Sprint in 1968 when he joined Sprint United Telephone-Southeast. He progressed through various management positions until 1980, when he was named Vice President-Revenue Requirements. In 1981, he became Vice President-Operations for Sprint United Telephone-Midwest in Kansas City, Missouri. Mr. McDonald became President of Uninet in 1982 and in 1984 served as Senior Vice President-Network</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60"/>
          </w:cols>
          <w:pgMar w:left="440" w:top="459" w:right="399" w:bottom="1440" w:gutter="0" w:footer="0" w:header="0"/>
        </w:sectPr>
      </w:pPr>
    </w:p>
    <w:bookmarkStart w:id="14" w:name="page15"/>
    <w:bookmarkEnd w:id="14"/>
    <w:p>
      <w:pPr>
        <w:jc w:val="both"/>
        <w:ind w:left="2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121910"/>
                    </a:xfrm>
                    <a:prstGeom prst="rect">
                      <a:avLst/>
                    </a:prstGeom>
                    <a:noFill/>
                  </pic:spPr>
                </pic:pic>
              </a:graphicData>
            </a:graphic>
          </wp:anchor>
        </w:drawing>
        <w:t>Development for what is now Sprint Long Distance. He was named President of Sprint United Telephone-Northwest in Hood River, Oregon, in 1986, before becoming President of Sprint United Telephone-Eastern. Mr. McDonald served as Senior Vice President, Customer Service Operations, Sprint Corporation, a telecommunications company, until his retirement in 2000.</w:t>
      </w:r>
    </w:p>
    <w:p>
      <w:pPr>
        <w:spacing w:after="0" w:line="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2100"/>
        <w:spacing w:after="0" w:line="258" w:lineRule="auto"/>
        <w:rPr>
          <w:sz w:val="20"/>
          <w:szCs w:val="20"/>
          <w:color w:val="auto"/>
        </w:rPr>
      </w:pPr>
      <w:r>
        <w:rPr>
          <w:rFonts w:ascii="Times New Roman" w:cs="Times New Roman" w:eastAsia="Times New Roman" w:hAnsi="Times New Roman"/>
          <w:sz w:val="18"/>
          <w:szCs w:val="18"/>
          <w:color w:val="auto"/>
        </w:rPr>
        <w:t>Mr. McDonald brings to the Board leadership, corporate governance, executive compensation, customer service, marketing, sales, and human resources experience from his service as chief executive officer of large business regions with significant operations. His 17-year tenure on the Board gives him a valuable perspective into our business, its strategy and industry leadership.</w:t>
      </w:r>
    </w:p>
    <w:p>
      <w:pPr>
        <w:spacing w:after="0" w:line="20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 xml:space="preserve">Frank H. Menaker, Jr. </w:t>
      </w:r>
      <w:r>
        <w:rPr>
          <w:rFonts w:ascii="Times New Roman" w:cs="Times New Roman" w:eastAsia="Times New Roman" w:hAnsi="Times New Roman"/>
          <w:sz w:val="18"/>
          <w:szCs w:val="18"/>
          <w:color w:val="auto"/>
        </w:rPr>
        <w:t>(72)</w:t>
      </w:r>
    </w:p>
    <w:p>
      <w:pPr>
        <w:spacing w:after="0" w:line="23" w:lineRule="exact"/>
        <w:rPr>
          <w:sz w:val="20"/>
          <w:szCs w:val="20"/>
          <w:color w:val="auto"/>
        </w:rPr>
      </w:pPr>
    </w:p>
    <w:p>
      <w:pPr>
        <w:jc w:val="both"/>
        <w:ind w:left="2100"/>
        <w:spacing w:after="0" w:line="261" w:lineRule="auto"/>
        <w:rPr>
          <w:sz w:val="20"/>
          <w:szCs w:val="20"/>
          <w:color w:val="auto"/>
        </w:rPr>
      </w:pPr>
      <w:r>
        <w:rPr>
          <w:rFonts w:ascii="Times New Roman" w:cs="Times New Roman" w:eastAsia="Times New Roman" w:hAnsi="Times New Roman"/>
          <w:sz w:val="18"/>
          <w:szCs w:val="18"/>
          <w:i w:val="1"/>
          <w:iCs w:val="1"/>
          <w:color w:val="auto"/>
        </w:rPr>
        <w:t>Director (since 1993), Member of the Audit Committee, the Ethics, Environment, Safety and Health Committee, the Executive Committee and the Management Development and Compensation Committee.</w:t>
      </w:r>
    </w:p>
    <w:p>
      <w:pPr>
        <w:spacing w:after="0" w:line="51" w:lineRule="exact"/>
        <w:rPr>
          <w:sz w:val="20"/>
          <w:szCs w:val="20"/>
          <w:color w:val="auto"/>
        </w:rPr>
      </w:pPr>
    </w:p>
    <w:p>
      <w:pPr>
        <w:jc w:val="both"/>
        <w:ind w:left="2100"/>
        <w:spacing w:after="0" w:line="287" w:lineRule="auto"/>
        <w:rPr>
          <w:sz w:val="20"/>
          <w:szCs w:val="20"/>
          <w:color w:val="auto"/>
        </w:rPr>
      </w:pPr>
      <w:r>
        <w:rPr>
          <w:rFonts w:ascii="Times New Roman" w:cs="Times New Roman" w:eastAsia="Times New Roman" w:hAnsi="Times New Roman"/>
          <w:sz w:val="16"/>
          <w:szCs w:val="16"/>
          <w:color w:val="auto"/>
        </w:rPr>
        <w:t>Mr. Menaker previously served as Senior Vice President and General Counsel of Lockheed Martin Corporation, a defense, aeronautics, and aerospace company, from 1996 until 2005, and previously was General Counsel of Martin Marietta Corporation since 1981. During his tenure, Mr. Menaker helped guide Lockheed Martin Corporation and Martin Marietta Corporation through a period of consolidation in the defense industry, beginning with Martin Marietta Corporation’s successful “Pac Man” defense of Bendix Corporation’s attempted hostile takeover of Martin Marietta Corporation in 1982. He retired from Lockheed Martin Corporation in 2006. From 2006 to 2012, Mr. Menaker was a member, and subsequently counsel in the DLA Piper international law firm, based in Washington, D.C., and a member of the McCammon Group, a mediation, arbitration, facilitation, training and consulting group providing conflict resolution services throughout the mid-Atlantic region. Mr. Menaker’s professional activities include previously serving as past chair and fellow of the ABA Public Contract Law Section, and as a board member of the Atlantic Legal Foundation. During the past five years, Mr. Menaker served as a Director and as Member of the Audit Committee of North American Galvanizing and Coatings, Inc., which merged with AZZ Incorporated in 2010.</w:t>
      </w:r>
    </w:p>
    <w:p>
      <w:pPr>
        <w:spacing w:after="0" w:line="24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2100"/>
        <w:spacing w:after="0" w:line="255" w:lineRule="auto"/>
        <w:rPr>
          <w:sz w:val="20"/>
          <w:szCs w:val="20"/>
          <w:color w:val="auto"/>
        </w:rPr>
      </w:pPr>
      <w:r>
        <w:rPr>
          <w:rFonts w:ascii="Times New Roman" w:cs="Times New Roman" w:eastAsia="Times New Roman" w:hAnsi="Times New Roman"/>
          <w:sz w:val="18"/>
          <w:szCs w:val="18"/>
          <w:color w:val="auto"/>
        </w:rPr>
        <w:t>Mr. Menaker brings to the Board his experience as general counsel of an S&amp;P 100 corporation, with responsibility for legal, compliance, corporate governance, among other matters, as well as his experience in management, leadership, executive compensation, financial affairs, governmental and regulatory issues, safety, health and environmental matters, and mergers and acquisitions. As one of the original members of Martin Marietta’s Board, Mr. Menaker also brings an important perspective on Martin Marietta’s business, strategy, and culture. In addition, Mr. Menaker is a recognized leader in corporate ethics programs.</w:t>
      </w:r>
    </w:p>
    <w:p>
      <w:pPr>
        <w:spacing w:after="0" w:line="2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060"/>
          </w:cols>
          <w:pgMar w:left="1440" w:top="463" w:right="399" w:bottom="1440" w:gutter="0" w:footer="0" w:header="0"/>
        </w:sectPr>
      </w:pPr>
    </w:p>
    <w:bookmarkStart w:id="15" w:name="page16"/>
    <w:bookmarkEnd w:id="15"/>
    <w:p>
      <w:pPr>
        <w:ind w:left="3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33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933315"/>
                    </a:xfrm>
                    <a:prstGeom prst="rect">
                      <a:avLst/>
                    </a:prstGeom>
                    <a:noFill/>
                  </pic:spPr>
                </pic:pic>
              </a:graphicData>
            </a:graphic>
          </wp:anchor>
        </w:drawing>
        <w:t xml:space="preserve">Richard A. Vinroot </w:t>
      </w:r>
      <w:r>
        <w:rPr>
          <w:rFonts w:ascii="Times New Roman" w:cs="Times New Roman" w:eastAsia="Times New Roman" w:hAnsi="Times New Roman"/>
          <w:sz w:val="18"/>
          <w:szCs w:val="18"/>
          <w:color w:val="auto"/>
        </w:rPr>
        <w:t>(72)</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Director (since 1996), Chair of the Ethics, Environment, Safety and Health Committee and member of the</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78" w:lineRule="exact"/>
        <w:rPr>
          <w:sz w:val="20"/>
          <w:szCs w:val="20"/>
          <w:color w:val="auto"/>
        </w:rPr>
      </w:pPr>
    </w:p>
    <w:p>
      <w:pPr>
        <w:jc w:val="both"/>
        <w:ind w:left="3100"/>
        <w:spacing w:after="0" w:line="254" w:lineRule="auto"/>
        <w:rPr>
          <w:sz w:val="20"/>
          <w:szCs w:val="20"/>
          <w:color w:val="auto"/>
        </w:rPr>
      </w:pPr>
      <w:r>
        <w:rPr>
          <w:rFonts w:ascii="Times New Roman" w:cs="Times New Roman" w:eastAsia="Times New Roman" w:hAnsi="Times New Roman"/>
          <w:sz w:val="18"/>
          <w:szCs w:val="18"/>
          <w:color w:val="auto"/>
        </w:rPr>
        <w:t>Mr. Vinroot has been a member of the law firm of Robinson, Bradshaw &amp; Hinson, P.A. in Charlotte, North Carolina since 1969, where he practices in the areas of civil litigation including construction, labor, employment discrimination, securities and commercial contract disputes and controversies. He has appeared and served as lead trial counsel in the successful prosecution, defense and resolution of numerous actions in the federal and state courts during the past several years. Mr. Vinroot has also been active in civic and community activities, including serving on the Board of Trustees of Sugar Creek Charter School and the Board of Trustees of the Charlotte-Mecklenburg County YMCA. From 1991 to 1995, Mr. Vinroot served as Mayor of Charlotte, North Carolina and from 1983 to 1991, he served on the Charlotte City Council.</w:t>
      </w:r>
    </w:p>
    <w:p>
      <w:pPr>
        <w:spacing w:after="0" w:line="5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3100"/>
        <w:spacing w:after="0" w:line="255" w:lineRule="auto"/>
        <w:rPr>
          <w:sz w:val="20"/>
          <w:szCs w:val="20"/>
          <w:color w:val="auto"/>
        </w:rPr>
      </w:pPr>
      <w:r>
        <w:rPr>
          <w:rFonts w:ascii="Times New Roman" w:cs="Times New Roman" w:eastAsia="Times New Roman" w:hAnsi="Times New Roman"/>
          <w:sz w:val="18"/>
          <w:szCs w:val="18"/>
          <w:color w:val="auto"/>
        </w:rPr>
        <w:t>Mr. Vinroot brings tremendous experience to the Board from both private practice of law and his elected position as Mayor of Charlotte, North Carolina related to leadership, corporate governance, legal, mergers and acquisitions, governmental and regulatory issues, safety, health and environmental matters. His familiarity with North Carolina, which is one of Martin Marietta’s most important states, has been very valuable to the Board, as well as his involvement with non-profit organizations to give the Board perspective on diversity and corporate citizenship.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Whose Terms Continue Until 2014:</w:t>
      </w:r>
    </w:p>
    <w:p>
      <w:pPr>
        <w:spacing w:after="0" w:line="9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 xml:space="preserve">Sue W. Cole </w:t>
      </w:r>
      <w:r>
        <w:rPr>
          <w:rFonts w:ascii="Times New Roman" w:cs="Times New Roman" w:eastAsia="Times New Roman" w:hAnsi="Times New Roman"/>
          <w:sz w:val="18"/>
          <w:szCs w:val="18"/>
          <w:color w:val="auto"/>
        </w:rPr>
        <w:t>(62)</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i w:val="1"/>
          <w:iCs w:val="1"/>
          <w:color w:val="auto"/>
        </w:rPr>
        <w:t>Director (since 2002), Chair of the Management Development and Compensation Committee and member of the</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78" w:lineRule="exact"/>
        <w:rPr>
          <w:sz w:val="20"/>
          <w:szCs w:val="20"/>
          <w:color w:val="auto"/>
        </w:rPr>
      </w:pPr>
    </w:p>
    <w:p>
      <w:pPr>
        <w:jc w:val="both"/>
        <w:ind w:left="3100"/>
        <w:spacing w:after="0" w:line="254" w:lineRule="auto"/>
        <w:rPr>
          <w:sz w:val="20"/>
          <w:szCs w:val="20"/>
          <w:color w:val="auto"/>
        </w:rPr>
      </w:pPr>
      <w:r>
        <w:rPr>
          <w:rFonts w:ascii="Times New Roman" w:cs="Times New Roman" w:eastAsia="Times New Roman" w:hAnsi="Times New Roman"/>
          <w:sz w:val="18"/>
          <w:szCs w:val="18"/>
          <w:color w:val="auto"/>
        </w:rPr>
        <w:t>Ms. Cole is the managing partner of SAGE Leadership &amp; Strategy, LLC, an advisory firm for businesses and organizations and individuals relating to strategy, governance and leadership development. Ms. Cole was previously a principal of Granville Capital Inc., a registered investment advisor, from 2006 to 2011. Ms. Cole has more than 37 years’ experience in financial services and investment management. Before joining Granville Capital, she served as Regional Chief Executive Officer of the Mid-Atlantic Region of U.S. Trust Company, N.A., an integrated wealth management firm, from 2003 to 2006, and as Chief Executive Officer for U.S. Trust Company of North Carolina and North Carolina Trust Company. Previously she was Head of Corporate Lending for the Greensboro, North Carolina Region of NCNB. Ms. Cole also previously</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60"/>
          </w:cols>
          <w:pgMar w:left="440" w:top="569" w:right="399" w:bottom="1440" w:gutter="0" w:footer="0" w:header="0"/>
        </w:sectPr>
      </w:pPr>
    </w:p>
    <w:bookmarkStart w:id="16" w:name="page17"/>
    <w:bookmarkEnd w:id="16"/>
    <w:p>
      <w:pPr>
        <w:jc w:val="both"/>
        <w:ind w:left="2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19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019040"/>
                    </a:xfrm>
                    <a:prstGeom prst="rect">
                      <a:avLst/>
                    </a:prstGeom>
                    <a:noFill/>
                  </pic:spPr>
                </pic:pic>
              </a:graphicData>
            </a:graphic>
          </wp:anchor>
        </w:drawing>
        <w:t>served as a Director of UNIFI, Inc., and has been active in the community and charitable organizations including serving on the Investment Committees of UNC-Greensboro, the Cone Health Foundation, and the Weaver Foundation; Chair of the Management Development and Compensation Committee and member of the Executive Committee of the North Carolina Biotechnology Center; member of the Board of Directors of the North Carolina Economic Development Board; and trustee and Vice Chairman of the Board of Governors of the Center for Creative Leadership. Ms. Cole is also Chair of the Board of Directors of Biscuitville, Inc.</w:t>
      </w:r>
    </w:p>
    <w:p>
      <w:pPr>
        <w:spacing w:after="0" w:line="5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2100"/>
        <w:spacing w:after="0" w:line="255" w:lineRule="auto"/>
        <w:rPr>
          <w:sz w:val="20"/>
          <w:szCs w:val="20"/>
          <w:color w:val="auto"/>
        </w:rPr>
      </w:pPr>
      <w:r>
        <w:rPr>
          <w:rFonts w:ascii="Times New Roman" w:cs="Times New Roman" w:eastAsia="Times New Roman" w:hAnsi="Times New Roman"/>
          <w:sz w:val="18"/>
          <w:szCs w:val="18"/>
          <w:color w:val="auto"/>
        </w:rPr>
        <w:t>Ms. Cole brings to the Board valuable experience in executive compensation, 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Martin Marietta.</w:t>
      </w:r>
    </w:p>
    <w:p>
      <w:pPr>
        <w:spacing w:after="0" w:line="20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 xml:space="preserve">Michael J. Quillen </w:t>
      </w:r>
      <w:r>
        <w:rPr>
          <w:rFonts w:ascii="Times New Roman" w:cs="Times New Roman" w:eastAsia="Times New Roman" w:hAnsi="Times New Roman"/>
          <w:sz w:val="18"/>
          <w:szCs w:val="18"/>
          <w:color w:val="auto"/>
        </w:rPr>
        <w:t>(64)</w:t>
      </w:r>
    </w:p>
    <w:p>
      <w:pPr>
        <w:spacing w:after="0" w:line="23" w:lineRule="exact"/>
        <w:rPr>
          <w:sz w:val="20"/>
          <w:szCs w:val="20"/>
          <w:color w:val="auto"/>
        </w:rPr>
      </w:pPr>
    </w:p>
    <w:p>
      <w:pPr>
        <w:jc w:val="both"/>
        <w:ind w:left="2100"/>
        <w:spacing w:after="0" w:line="261" w:lineRule="auto"/>
        <w:rPr>
          <w:sz w:val="20"/>
          <w:szCs w:val="20"/>
          <w:color w:val="auto"/>
        </w:rPr>
      </w:pPr>
      <w:r>
        <w:rPr>
          <w:rFonts w:ascii="Times New Roman" w:cs="Times New Roman" w:eastAsia="Times New Roman" w:hAnsi="Times New Roman"/>
          <w:sz w:val="18"/>
          <w:szCs w:val="18"/>
          <w:i w:val="1"/>
          <w:iCs w:val="1"/>
          <w:color w:val="auto"/>
        </w:rPr>
        <w:t>Director (since 2008), Member of the Ethics, Environment, Safety and Health Committee, Finance Committee and the Management Development and Compensation Committee.</w:t>
      </w:r>
    </w:p>
    <w:p>
      <w:pPr>
        <w:spacing w:after="0" w:line="51" w:lineRule="exact"/>
        <w:rPr>
          <w:sz w:val="20"/>
          <w:szCs w:val="20"/>
          <w:color w:val="auto"/>
        </w:rPr>
      </w:pPr>
    </w:p>
    <w:p>
      <w:pPr>
        <w:jc w:val="both"/>
        <w:ind w:left="2100"/>
        <w:spacing w:after="0" w:line="286" w:lineRule="auto"/>
        <w:rPr>
          <w:sz w:val="20"/>
          <w:szCs w:val="20"/>
          <w:color w:val="auto"/>
        </w:rPr>
      </w:pPr>
      <w:r>
        <w:rPr>
          <w:rFonts w:ascii="Times New Roman" w:cs="Times New Roman" w:eastAsia="Times New Roman" w:hAnsi="Times New Roman"/>
          <w:sz w:val="16"/>
          <w:szCs w:val="16"/>
          <w:color w:val="auto"/>
        </w:rPr>
        <w:t>Mr. Quillen served as Chief Executive Officer and a member of the Board of Directors of Alpha Natural Resources, Inc., a leading Appalachian coal supplier, since its formation in 2004 until its merger with Foundation Coal Holdings, Inc. in July 2009. He continued to serve as Executive Chairman through December 2009 and served as non-Executive Chairman of the combined entity, also named Alpha Natural Resources, Inc., until May 2012 He was named Chairman of the Board of Alpha in 2006. Mr. Quillen served as President of Alpha until 2006. In 2002, Mr. Quillen joined the Alpha management team as President and the sole manager of Alpha’s operating subsidiary, Alpha Natural Resources, LLC, where he had served as Chief Executive Officer since 2003. From 2002 to 2005 he also served in senior executive capacities with other former affiliates of Alpha. From September 1998 to December 2002, Mr. Quillen was Executive Vice President – Operations of AMCI Metals and Coal International Inc., a mining and marketing company (“AMCI”). While at AMCI, he was also responsible for the development of AMCI’s Australian properties. He has held senior executive positions in the coal industry throughout his career, including Vice President-Operations of Pittston, President of Pittston Coal Sales Corp., Vice President of AMVEST Corporation, Vice President-Operations of NERCO Coal Corporation, President and Chief Executive Officer of Addington, Inc. and manager of Mid-Vol Leasing, Inc. Mr. Quillen has over 30 years of experience in the coal industry starting as an engineer.</w:t>
      </w:r>
    </w:p>
    <w:p>
      <w:pPr>
        <w:spacing w:after="0" w:line="200" w:lineRule="exact"/>
        <w:rPr>
          <w:sz w:val="20"/>
          <w:szCs w:val="20"/>
          <w:color w:val="auto"/>
        </w:rPr>
      </w:pPr>
    </w:p>
    <w:p>
      <w:pPr>
        <w:spacing w:after="0" w:line="2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060"/>
          </w:cols>
          <w:pgMar w:left="1440" w:top="679" w:right="399" w:bottom="1440" w:gutter="0" w:footer="0" w:header="0"/>
        </w:sectPr>
      </w:pPr>
    </w:p>
    <w:bookmarkStart w:id="17" w:name="page18"/>
    <w:bookmarkEnd w:id="17"/>
    <w:p>
      <w:pPr>
        <w:jc w:val="both"/>
        <w:ind w:left="2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59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259070"/>
                    </a:xfrm>
                    <a:prstGeom prst="rect">
                      <a:avLst/>
                    </a:prstGeom>
                    <a:noFill/>
                  </pic:spPr>
                </pic:pic>
              </a:graphicData>
            </a:graphic>
          </wp:anchor>
        </w:drawing>
        <w:t>Mr. Quillen has served as Chairman of the Board of Visitors of Virginia Polytechnic Institute and State University since July 2012 and as Chairman of the Audit and Finance Committee of Virginia Polytechnic Institute and State University from July 2010 to June 2012. He also served on the Virginia Port Authority from 2003 to 2012 and as Chairman from July 2011 to December 2012.</w:t>
      </w:r>
    </w:p>
    <w:p>
      <w:pPr>
        <w:spacing w:after="0" w:line="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2100"/>
        <w:spacing w:after="0" w:line="254" w:lineRule="auto"/>
        <w:rPr>
          <w:sz w:val="20"/>
          <w:szCs w:val="20"/>
          <w:color w:val="auto"/>
        </w:rPr>
      </w:pPr>
      <w:r>
        <w:rPr>
          <w:rFonts w:ascii="Times New Roman" w:cs="Times New Roman" w:eastAsia="Times New Roman" w:hAnsi="Times New Roman"/>
          <w:sz w:val="18"/>
          <w:szCs w:val="18"/>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 xml:space="preserve">Stephen P. Zelnak, Jr. </w:t>
      </w:r>
      <w:r>
        <w:rPr>
          <w:rFonts w:ascii="Times New Roman" w:cs="Times New Roman" w:eastAsia="Times New Roman" w:hAnsi="Times New Roman"/>
          <w:sz w:val="18"/>
          <w:szCs w:val="18"/>
          <w:color w:val="auto"/>
        </w:rPr>
        <w:t>(68)</w:t>
      </w:r>
    </w:p>
    <w:p>
      <w:pPr>
        <w:spacing w:after="0" w:line="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i w:val="1"/>
          <w:iCs w:val="1"/>
          <w:color w:val="auto"/>
        </w:rPr>
        <w:t>Director (since 1993), Chairman of the Board of Directors and Chairman of the Executive Committee.</w:t>
      </w:r>
    </w:p>
    <w:p>
      <w:pPr>
        <w:spacing w:after="0" w:line="78" w:lineRule="exact"/>
        <w:rPr>
          <w:sz w:val="20"/>
          <w:szCs w:val="20"/>
          <w:color w:val="auto"/>
        </w:rPr>
      </w:pPr>
    </w:p>
    <w:p>
      <w:pPr>
        <w:jc w:val="both"/>
        <w:ind w:left="2100"/>
        <w:spacing w:after="0" w:line="252" w:lineRule="auto"/>
        <w:rPr>
          <w:sz w:val="20"/>
          <w:szCs w:val="20"/>
          <w:color w:val="auto"/>
        </w:rPr>
      </w:pPr>
      <w:r>
        <w:rPr>
          <w:rFonts w:ascii="Times New Roman" w:cs="Times New Roman" w:eastAsia="Times New Roman" w:hAnsi="Times New Roman"/>
          <w:sz w:val="18"/>
          <w:szCs w:val="18"/>
          <w:color w:val="auto"/>
        </w:rPr>
        <w:t>Mr. Zelnak has served as non-Executive Chairman of Martin Marietta since May 27, 2010. He served as Executive Chairman from January 1, 2010 to May 27, 2010. He previously served as Chief Executive Officer of the Corporation since 1993 and as President of the Corporation from 1993 to 2006. Mr. Zelnak joined Martin Marietta Corporation in 1981 and he had been responsible for the Aggregates operations since 1982. Mr. Zelnak is also a Director of Beazer Homes USA, Inc. Mr. Zelnak is also Chairman and majority owner of ZP Enterprises, LLC a private investment firm which he is the majority owner, which owns and manages several precision machining and specialty coatings companies in the Southeast. Mr. Zelnak has served as Chairman of the North Carolina Chamber, North Carolina Community College Foundation, National Stone, Sand and Gravel Association, Peace College Board of Trustees, North Carolina Foundation for Research and Economic Education, North Carolina Aggregates Association and the North Carolina State University Physical and Mathematical Sciences Foundation. He currently serves on the Advisory Boards of North Carolina State University and Georgia Institute of Technology.</w:t>
      </w:r>
    </w:p>
    <w:p>
      <w:pPr>
        <w:spacing w:after="0" w:line="6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Key attributes, experience and skills:</w:t>
      </w:r>
    </w:p>
    <w:p>
      <w:pPr>
        <w:spacing w:after="0" w:line="94" w:lineRule="exact"/>
        <w:rPr>
          <w:sz w:val="20"/>
          <w:szCs w:val="20"/>
          <w:color w:val="auto"/>
        </w:rPr>
      </w:pPr>
    </w:p>
    <w:p>
      <w:pPr>
        <w:jc w:val="both"/>
        <w:ind w:left="2100"/>
        <w:spacing w:after="0" w:line="255" w:lineRule="auto"/>
        <w:rPr>
          <w:sz w:val="20"/>
          <w:szCs w:val="20"/>
          <w:color w:val="auto"/>
        </w:rPr>
      </w:pPr>
      <w:r>
        <w:rPr>
          <w:rFonts w:ascii="Times New Roman" w:cs="Times New Roman" w:eastAsia="Times New Roman" w:hAnsi="Times New Roman"/>
          <w:sz w:val="18"/>
          <w:szCs w:val="18"/>
          <w:color w:val="auto"/>
        </w:rPr>
        <w:t>As the longstanding Chairman of the Board of Martin Marietta and previous Chief Executive Officer, Mr. Zelnak brings extensive leadership, business and operating experience to the Board, as well as knowledge of all aspects of Martin Marietta and the construction aggregates industry. He also brings his broad strategic and financial experience to the Board, knowledge of the home building industry and factors that impact construction from his service on the board of a large homebuilder, and corporate governance from serving on the boards and various committees of other companies.</w:t>
      </w:r>
    </w:p>
    <w:p>
      <w:pPr>
        <w:spacing w:after="0" w:line="2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060"/>
          </w:cols>
          <w:pgMar w:left="1440" w:top="463"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19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5019040"/>
                    </a:xfrm>
                    <a:prstGeom prst="rect">
                      <a:avLst/>
                    </a:prstGeom>
                    <a:noFill/>
                  </pic:spPr>
                </pic:pic>
              </a:graphicData>
            </a:graphic>
          </wp:anchor>
        </w:drawing>
        <w:t>DIRECTOR COMPENSATION</w:t>
      </w:r>
    </w:p>
    <w:p>
      <w:pPr>
        <w:spacing w:after="0" w:line="173"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Martin Marietta uses a combination of cash and stock-based incentive compensation to attract and retain qualified candidates to serve on the Board of Directors. In setting director compensation, Martin Marietta considers the significant amount of time that Directors expend in fulfilling their duties to Martin Marietta as well as the skill-level required by Martin Marietta of members of the Board. The Board determines reasonable compensation for Directors upon recommendation of the Management Development and Compensation Committee of the Board, which retains independent compensation consultants to assist it.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Paid to Board Members</w:t>
      </w:r>
    </w:p>
    <w:p>
      <w:pPr>
        <w:spacing w:after="0" w:line="94" w:lineRule="exact"/>
        <w:rPr>
          <w:sz w:val="20"/>
          <w:szCs w:val="20"/>
          <w:color w:val="auto"/>
        </w:rPr>
      </w:pPr>
    </w:p>
    <w:p>
      <w:pPr>
        <w:jc w:val="both"/>
        <w:ind w:firstLine="775"/>
        <w:spacing w:after="0" w:line="253" w:lineRule="auto"/>
        <w:rPr>
          <w:sz w:val="20"/>
          <w:szCs w:val="20"/>
          <w:color w:val="auto"/>
        </w:rPr>
      </w:pPr>
      <w:r>
        <w:rPr>
          <w:rFonts w:ascii="Times New Roman" w:cs="Times New Roman" w:eastAsia="Times New Roman" w:hAnsi="Times New Roman"/>
          <w:sz w:val="18"/>
          <w:szCs w:val="18"/>
          <w:color w:val="auto"/>
        </w:rPr>
        <w:t>For the fiscal year ended December 31, 2012, all of the individuals who were then Directors, except Mr. Nye, who was the Chief Executive Officer of Martin Marietta in 2012 and was not and is not compensated separately for his service as a Director, received an annual retainer of $32,500. Directors received $1,250 for each regular or special meeting of the Board and Board committees attended. Members of the Audit Committee received an additional $5,000 in view of their increased responsibilities. The Chair of the Audit Committee received an additional annual fee of $15,000 in light of his increased responsibilities. Each committee chair (other than the Chairs of the Audit and the Executive Committees) received an annual fee of $8,000. Directors were also reimbursed for travel and other expenses related to attendance at Board and committee meetings. Martin Marietta’s plane was used to transport some Directors to and from Board and committee meetings, but no Directors received personal use of Martin Marietta’s plane or other perquisites and personal benefits in 2012. In his role as non-executive Chairman, Mr. Zelnak received $125,000 in addition to the annual retainer in lieu of receiving Committee meeting attendance fees.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Paid to Board Members</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All of the individuals who were Directors in 2012, except Mr. Nye, were granted 1,592 restricted stock units pursuant to the Amended and Restated Stock-Based Award Plan. The restricted stock units granted to the Directors in 2012 were fully vested upon award and will be distributed upon retirement from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 for Board Members</w:t>
      </w:r>
    </w:p>
    <w:p>
      <w:pPr>
        <w:spacing w:after="0" w:line="94" w:lineRule="exact"/>
        <w:rPr>
          <w:sz w:val="20"/>
          <w:szCs w:val="20"/>
          <w:color w:val="auto"/>
        </w:rPr>
      </w:pPr>
    </w:p>
    <w:p>
      <w:pPr>
        <w:jc w:val="both"/>
        <w:ind w:firstLine="775"/>
        <w:spacing w:after="0" w:line="290" w:lineRule="auto"/>
        <w:rPr>
          <w:sz w:val="20"/>
          <w:szCs w:val="20"/>
          <w:color w:val="auto"/>
        </w:rPr>
      </w:pPr>
      <w:r>
        <w:rPr>
          <w:rFonts w:ascii="Times New Roman" w:cs="Times New Roman" w:eastAsia="Times New Roman" w:hAnsi="Times New Roman"/>
          <w:sz w:val="16"/>
          <w:szCs w:val="16"/>
          <w:color w:val="auto"/>
        </w:rPr>
        <w:t>Pursuant to the Common Stock Purchase Plan for Directors, non-employee Directors may elect to receive all or a portion of their fees in the form of Martin Marietta’s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Martin Marietta.</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060"/>
          </w:cols>
          <w:pgMar w:left="440" w:top="461" w:right="399" w:bottom="1440" w:gutter="0" w:footer="0" w:header="0"/>
        </w:sectPr>
      </w:pPr>
    </w:p>
    <w:bookmarkStart w:id="19" w:name="page20"/>
    <w:bookmarkEnd w:id="19"/>
    <w:p>
      <w:pPr>
        <w:ind w:left="3"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79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379085"/>
                    </a:xfrm>
                    <a:prstGeom prst="rect">
                      <a:avLst/>
                    </a:prstGeom>
                    <a:noFill/>
                  </pic:spPr>
                </pic:pic>
              </a:graphicData>
            </a:graphic>
          </wp:anchor>
        </w:drawing>
        <w:t>The units are converted into common stock of Martin Marietta pursuant to the terms of the plan. Dividend equivalents are paid on the units at the same rate as dividends are paid to all shareholders. The Directors do not have voting or investment power for their respective units.</w:t>
      </w:r>
    </w:p>
    <w:p>
      <w:pPr>
        <w:spacing w:after="0" w:line="1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94" w:lineRule="exact"/>
        <w:rPr>
          <w:sz w:val="20"/>
          <w:szCs w:val="20"/>
          <w:color w:val="auto"/>
        </w:rPr>
      </w:pPr>
    </w:p>
    <w:p>
      <w:pPr>
        <w:ind w:left="3" w:right="20" w:firstLine="775"/>
        <w:spacing w:after="0" w:line="275" w:lineRule="auto"/>
        <w:rPr>
          <w:sz w:val="20"/>
          <w:szCs w:val="20"/>
          <w:color w:val="auto"/>
        </w:rPr>
      </w:pPr>
      <w:r>
        <w:rPr>
          <w:rFonts w:ascii="Times New Roman" w:cs="Times New Roman" w:eastAsia="Times New Roman" w:hAnsi="Times New Roman"/>
          <w:sz w:val="18"/>
          <w:szCs w:val="18"/>
          <w:color w:val="auto"/>
        </w:rPr>
        <w:t>The table below summarizes the compensation paid by Martin Marietta to each person who served as a non-employee Director during the fiscal year ended December 31, 2012.</w:t>
      </w:r>
    </w:p>
    <w:p>
      <w:pPr>
        <w:spacing w:after="0" w:line="155" w:lineRule="exact"/>
        <w:rPr>
          <w:sz w:val="20"/>
          <w:szCs w:val="20"/>
          <w:color w:val="auto"/>
        </w:rPr>
      </w:pPr>
    </w:p>
    <w:tbl>
      <w:tblPr>
        <w:tblLayout w:type="fixed"/>
        <w:tblInd w:w="13" w:type="dxa"/>
        <w:tblCellMar>
          <w:top w:w="0" w:type="dxa"/>
          <w:left w:w="0" w:type="dxa"/>
          <w:bottom w:w="0" w:type="dxa"/>
          <w:right w:w="0" w:type="dxa"/>
        </w:tblCellMar>
      </w:tblPr>
      <w:tr>
        <w:trPr>
          <w:trHeight w:val="145"/>
        </w:trPr>
        <w:tc>
          <w:tcPr>
            <w:tcW w:w="1080" w:type="dxa"/>
            <w:vAlign w:val="bottom"/>
            <w:tcBorders>
              <w:top w:val="single" w:sz="8" w:color="auto"/>
              <w:left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tcBorders>
            <w:shd w:val="clear" w:color="auto" w:fill="E0E0E0"/>
          </w:tcPr>
          <w:p>
            <w:pPr>
              <w:spacing w:after="0"/>
              <w:rPr>
                <w:sz w:val="12"/>
                <w:szCs w:val="12"/>
                <w:color w:val="auto"/>
              </w:rPr>
            </w:pPr>
          </w:p>
        </w:tc>
        <w:tc>
          <w:tcPr>
            <w:tcW w:w="96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560" w:type="dxa"/>
            <w:vAlign w:val="bottom"/>
            <w:tcBorders>
              <w:top w:val="single" w:sz="8" w:color="auto"/>
            </w:tcBorders>
            <w:shd w:val="clear" w:color="auto" w:fill="E0E0E0"/>
          </w:tcPr>
          <w:p>
            <w:pPr>
              <w:spacing w:after="0"/>
              <w:rPr>
                <w:sz w:val="12"/>
                <w:szCs w:val="12"/>
                <w:color w:val="auto"/>
              </w:rPr>
            </w:pPr>
          </w:p>
        </w:tc>
        <w:tc>
          <w:tcPr>
            <w:tcW w:w="160" w:type="dxa"/>
            <w:vAlign w:val="bottom"/>
            <w:tcBorders>
              <w:top w:val="single" w:sz="8" w:color="auto"/>
            </w:tcBorders>
            <w:shd w:val="clear" w:color="auto" w:fill="E0E0E0"/>
          </w:tcPr>
          <w:p>
            <w:pPr>
              <w:spacing w:after="0"/>
              <w:rPr>
                <w:sz w:val="12"/>
                <w:szCs w:val="12"/>
                <w:color w:val="auto"/>
              </w:rPr>
            </w:pPr>
          </w:p>
        </w:tc>
        <w:tc>
          <w:tcPr>
            <w:tcW w:w="44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42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100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1520" w:type="dxa"/>
            <w:vAlign w:val="bottom"/>
            <w:tcBorders>
              <w:top w:val="single" w:sz="8" w:color="auto"/>
            </w:tcBorders>
            <w:gridSpan w:val="2"/>
            <w:shd w:val="clear" w:color="auto" w:fill="E0E0E0"/>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Change in Pension</w:t>
            </w:r>
          </w:p>
        </w:tc>
        <w:tc>
          <w:tcPr>
            <w:tcW w:w="100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180" w:type="dxa"/>
            <w:vAlign w:val="bottom"/>
            <w:tcBorders>
              <w:top w:val="single" w:sz="8" w:color="auto"/>
            </w:tcBorders>
            <w:shd w:val="clear" w:color="auto" w:fill="E0E0E0"/>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tcBorders>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520" w:type="dxa"/>
            <w:vAlign w:val="bottom"/>
            <w:gridSpan w:val="2"/>
            <w:shd w:val="clear" w:color="auto" w:fill="E0E0E0"/>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and</w:t>
            </w:r>
          </w:p>
        </w:tc>
        <w:tc>
          <w:tcPr>
            <w:tcW w:w="10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tcBorders>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520" w:type="dxa"/>
            <w:vAlign w:val="bottom"/>
            <w:gridSpan w:val="2"/>
            <w:shd w:val="clear" w:color="auto" w:fill="E0E0E0"/>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Nonqualified</w:t>
            </w:r>
          </w:p>
        </w:tc>
        <w:tc>
          <w:tcPr>
            <w:tcW w:w="10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tcBorders>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160" w:type="dxa"/>
            <w:vAlign w:val="bottom"/>
            <w:gridSpan w:val="3"/>
            <w:shd w:val="clear" w:color="auto" w:fill="E0E0E0"/>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Fees Earned</w:t>
            </w: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340" w:type="dxa"/>
            <w:vAlign w:val="bottom"/>
            <w:gridSpan w:val="2"/>
            <w:shd w:val="clear" w:color="auto" w:fill="E0E0E0"/>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Non-Equity</w:t>
            </w:r>
          </w:p>
        </w:tc>
        <w:tc>
          <w:tcPr>
            <w:tcW w:w="1520" w:type="dxa"/>
            <w:vAlign w:val="bottom"/>
            <w:gridSpan w:val="2"/>
            <w:shd w:val="clear" w:color="auto" w:fill="E0E0E0"/>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Deferred</w:t>
            </w:r>
          </w:p>
        </w:tc>
        <w:tc>
          <w:tcPr>
            <w:tcW w:w="100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tcBorders>
            <w:gridSpan w:val="4"/>
            <w:vMerge w:val="restart"/>
            <w:shd w:val="clear" w:color="auto" w:fill="E0E0E0"/>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89"/>
              </w:rPr>
              <w:t>Name</w:t>
            </w:r>
            <w:r>
              <w:rPr>
                <w:rFonts w:ascii="Times New Roman" w:cs="Times New Roman" w:eastAsia="Times New Roman" w:hAnsi="Times New Roman"/>
                <w:sz w:val="22"/>
                <w:szCs w:val="22"/>
                <w:b w:val="1"/>
                <w:bCs w:val="1"/>
                <w:color w:val="auto"/>
                <w:w w:val="89"/>
                <w:vertAlign w:val="superscript"/>
              </w:rPr>
              <w:t>1</w:t>
            </w:r>
          </w:p>
        </w:tc>
        <w:tc>
          <w:tcPr>
            <w:tcW w:w="340" w:type="dxa"/>
            <w:vAlign w:val="bottom"/>
            <w:shd w:val="clear" w:color="auto" w:fill="E0E0E0"/>
          </w:tcPr>
          <w:p>
            <w:pPr>
              <w:spacing w:after="0"/>
              <w:rPr>
                <w:sz w:val="12"/>
                <w:szCs w:val="12"/>
                <w:color w:val="auto"/>
              </w:rPr>
            </w:pPr>
          </w:p>
        </w:tc>
        <w:tc>
          <w:tcPr>
            <w:tcW w:w="1160" w:type="dxa"/>
            <w:vAlign w:val="bottom"/>
            <w:gridSpan w:val="3"/>
            <w:shd w:val="clear" w:color="auto" w:fill="E0E0E0"/>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or Paid in</w:t>
            </w:r>
          </w:p>
        </w:tc>
        <w:tc>
          <w:tcPr>
            <w:tcW w:w="60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340" w:type="dxa"/>
            <w:vAlign w:val="bottom"/>
            <w:gridSpan w:val="2"/>
            <w:shd w:val="clear" w:color="auto" w:fill="E0E0E0"/>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520" w:type="dxa"/>
            <w:vAlign w:val="bottom"/>
            <w:gridSpan w:val="2"/>
            <w:shd w:val="clear" w:color="auto" w:fill="E0E0E0"/>
          </w:tcPr>
          <w:p>
            <w:pPr>
              <w:jc w:val="center"/>
              <w:ind w:right="4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0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20" w:type="dxa"/>
            <w:vAlign w:val="bottom"/>
            <w:tcBorders>
              <w:left w:val="single" w:sz="8" w:color="auto"/>
            </w:tcBorders>
            <w:gridSpan w:val="4"/>
            <w:vMerge w:val="continue"/>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560" w:type="dxa"/>
            <w:vAlign w:val="bottom"/>
            <w:vMerge w:val="restart"/>
            <w:shd w:val="clear" w:color="auto" w:fill="E0E0E0"/>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w w:val="94"/>
              </w:rPr>
              <w:t>Cash($)</w:t>
            </w:r>
          </w:p>
        </w:tc>
        <w:tc>
          <w:tcPr>
            <w:tcW w:w="160" w:type="dxa"/>
            <w:vAlign w:val="bottom"/>
            <w:shd w:val="clear" w:color="auto" w:fill="E0E0E0"/>
          </w:tcPr>
          <w:p>
            <w:pPr>
              <w:jc w:val="right"/>
              <w:ind w:right="44"/>
              <w:spacing w:after="0" w:line="122" w:lineRule="exact"/>
              <w:rPr>
                <w:sz w:val="20"/>
                <w:szCs w:val="20"/>
                <w:color w:val="auto"/>
              </w:rPr>
            </w:pPr>
            <w:r>
              <w:rPr>
                <w:rFonts w:ascii="Times New Roman" w:cs="Times New Roman" w:eastAsia="Times New Roman" w:hAnsi="Times New Roman"/>
                <w:sz w:val="11"/>
                <w:szCs w:val="11"/>
                <w:b w:val="1"/>
                <w:bCs w:val="1"/>
                <w:color w:val="auto"/>
                <w:w w:val="71"/>
              </w:rPr>
              <w:t>2</w:t>
            </w:r>
          </w:p>
        </w:tc>
        <w:tc>
          <w:tcPr>
            <w:tcW w:w="440" w:type="dxa"/>
            <w:vAlign w:val="bottom"/>
            <w:shd w:val="clear" w:color="auto" w:fill="E0E0E0"/>
          </w:tcPr>
          <w:p>
            <w:pPr>
              <w:spacing w:after="0"/>
              <w:rPr>
                <w:sz w:val="10"/>
                <w:szCs w:val="10"/>
                <w:color w:val="auto"/>
              </w:rPr>
            </w:pPr>
          </w:p>
        </w:tc>
        <w:tc>
          <w:tcPr>
            <w:tcW w:w="600" w:type="dxa"/>
            <w:vAlign w:val="bottom"/>
            <w:vMerge w:val="restart"/>
            <w:shd w:val="clear" w:color="auto" w:fill="E0E0E0"/>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2"/>
              </w:rPr>
              <w:t>Awards($)</w:t>
            </w:r>
          </w:p>
        </w:tc>
        <w:tc>
          <w:tcPr>
            <w:tcW w:w="480" w:type="dxa"/>
            <w:vAlign w:val="bottom"/>
            <w:gridSpan w:val="2"/>
            <w:shd w:val="clear" w:color="auto" w:fill="E0E0E0"/>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w w:val="71"/>
              </w:rPr>
              <w:t>3</w:t>
            </w:r>
          </w:p>
        </w:tc>
        <w:tc>
          <w:tcPr>
            <w:tcW w:w="620" w:type="dxa"/>
            <w:vAlign w:val="bottom"/>
            <w:vMerge w:val="restart"/>
            <w:shd w:val="clear" w:color="auto" w:fill="E0E0E0"/>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w w:val="92"/>
              </w:rPr>
              <w:t>Awards($)</w:t>
            </w:r>
          </w:p>
        </w:tc>
        <w:tc>
          <w:tcPr>
            <w:tcW w:w="38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4"/>
                <w:szCs w:val="4"/>
                <w:b w:val="1"/>
                <w:bCs w:val="1"/>
                <w:color w:val="auto"/>
                <w:w w:val="97"/>
              </w:rPr>
              <w:t>4</w:t>
            </w:r>
          </w:p>
        </w:tc>
        <w:tc>
          <w:tcPr>
            <w:tcW w:w="1340" w:type="dxa"/>
            <w:vAlign w:val="bottom"/>
            <w:gridSpan w:val="2"/>
            <w:vMerge w:val="restart"/>
            <w:shd w:val="clear" w:color="auto" w:fill="E0E0E0"/>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Compensation($)</w:t>
            </w:r>
          </w:p>
        </w:tc>
        <w:tc>
          <w:tcPr>
            <w:tcW w:w="1080" w:type="dxa"/>
            <w:vAlign w:val="bottom"/>
            <w:shd w:val="clear" w:color="auto" w:fill="E0E0E0"/>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5</w:t>
            </w:r>
          </w:p>
        </w:tc>
        <w:tc>
          <w:tcPr>
            <w:tcW w:w="440" w:type="dxa"/>
            <w:vAlign w:val="bottom"/>
            <w:shd w:val="clear" w:color="auto" w:fill="E0E0E0"/>
          </w:tcPr>
          <w:p>
            <w:pPr>
              <w:spacing w:after="0"/>
              <w:rPr>
                <w:sz w:val="10"/>
                <w:szCs w:val="10"/>
                <w:color w:val="auto"/>
              </w:rPr>
            </w:pPr>
          </w:p>
        </w:tc>
        <w:tc>
          <w:tcPr>
            <w:tcW w:w="1000" w:type="dxa"/>
            <w:vAlign w:val="bottom"/>
            <w:vMerge w:val="restart"/>
            <w:shd w:val="clear" w:color="auto" w:fill="E0E0E0"/>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5"/>
              </w:rPr>
              <w:t>Compensation($)</w:t>
            </w:r>
          </w:p>
        </w:tc>
        <w:tc>
          <w:tcPr>
            <w:tcW w:w="220" w:type="dxa"/>
            <w:vAlign w:val="bottom"/>
            <w:gridSpan w:val="2"/>
            <w:shd w:val="clear" w:color="auto" w:fill="E0E0E0"/>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71"/>
              </w:rPr>
              <w:t>6</w:t>
            </w:r>
          </w:p>
        </w:tc>
        <w:tc>
          <w:tcPr>
            <w:tcW w:w="1000" w:type="dxa"/>
            <w:vAlign w:val="bottom"/>
            <w:tcBorders>
              <w:right w:val="single" w:sz="8" w:color="auto"/>
            </w:tcBorders>
            <w:gridSpan w:val="2"/>
            <w:vMerge w:val="restart"/>
            <w:shd w:val="clear" w:color="auto" w:fill="E0E0E0"/>
          </w:tcPr>
          <w:p>
            <w:pPr>
              <w:jc w:val="right"/>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1080" w:type="dxa"/>
            <w:vAlign w:val="bottom"/>
            <w:tcBorders>
              <w:left w:val="single" w:sz="8" w:color="auto"/>
            </w:tcBorders>
            <w:shd w:val="clear" w:color="auto" w:fill="E0E0E0"/>
          </w:tcPr>
          <w:p>
            <w:pPr>
              <w:spacing w:after="0"/>
              <w:rPr>
                <w:sz w:val="3"/>
                <w:szCs w:val="3"/>
                <w:color w:val="auto"/>
              </w:rPr>
            </w:pPr>
          </w:p>
        </w:tc>
        <w:tc>
          <w:tcPr>
            <w:tcW w:w="20" w:type="dxa"/>
            <w:vAlign w:val="bottom"/>
            <w:shd w:val="clear" w:color="auto" w:fill="E0E0E0"/>
          </w:tcPr>
          <w:p>
            <w:pPr>
              <w:spacing w:after="0"/>
              <w:rPr>
                <w:sz w:val="3"/>
                <w:szCs w:val="3"/>
                <w:color w:val="auto"/>
              </w:rPr>
            </w:pPr>
          </w:p>
        </w:tc>
        <w:tc>
          <w:tcPr>
            <w:tcW w:w="360" w:type="dxa"/>
            <w:vAlign w:val="bottom"/>
            <w:vMerge w:val="restart"/>
            <w:shd w:val="clear" w:color="auto" w:fill="E0E0E0"/>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85"/>
              </w:rPr>
              <w:t>(a)</w:t>
            </w:r>
          </w:p>
        </w:tc>
        <w:tc>
          <w:tcPr>
            <w:tcW w:w="960" w:type="dxa"/>
            <w:vAlign w:val="bottom"/>
            <w:vMerge w:val="restart"/>
            <w:shd w:val="clear" w:color="auto" w:fill="E0E0E0"/>
          </w:tcPr>
          <w:p>
            <w:pPr>
              <w:spacing w:after="0"/>
              <w:rPr>
                <w:sz w:val="3"/>
                <w:szCs w:val="3"/>
                <w:color w:val="auto"/>
              </w:rPr>
            </w:pPr>
          </w:p>
        </w:tc>
        <w:tc>
          <w:tcPr>
            <w:tcW w:w="340" w:type="dxa"/>
            <w:vAlign w:val="bottom"/>
            <w:shd w:val="clear" w:color="auto" w:fill="E0E0E0"/>
          </w:tcPr>
          <w:p>
            <w:pPr>
              <w:spacing w:after="0"/>
              <w:rPr>
                <w:sz w:val="3"/>
                <w:szCs w:val="3"/>
                <w:color w:val="auto"/>
              </w:rPr>
            </w:pPr>
          </w:p>
        </w:tc>
        <w:tc>
          <w:tcPr>
            <w:tcW w:w="560" w:type="dxa"/>
            <w:vAlign w:val="bottom"/>
            <w:vMerge w:val="continue"/>
            <w:shd w:val="clear" w:color="auto" w:fill="E0E0E0"/>
          </w:tcPr>
          <w:p>
            <w:pPr>
              <w:spacing w:after="0"/>
              <w:rPr>
                <w:sz w:val="3"/>
                <w:szCs w:val="3"/>
                <w:color w:val="auto"/>
              </w:rPr>
            </w:pPr>
          </w:p>
        </w:tc>
        <w:tc>
          <w:tcPr>
            <w:tcW w:w="160" w:type="dxa"/>
            <w:vAlign w:val="bottom"/>
            <w:shd w:val="clear" w:color="auto" w:fill="E0E0E0"/>
          </w:tcPr>
          <w:p>
            <w:pPr>
              <w:spacing w:after="0"/>
              <w:rPr>
                <w:sz w:val="3"/>
                <w:szCs w:val="3"/>
                <w:color w:val="auto"/>
              </w:rPr>
            </w:pPr>
          </w:p>
        </w:tc>
        <w:tc>
          <w:tcPr>
            <w:tcW w:w="440" w:type="dxa"/>
            <w:vAlign w:val="bottom"/>
            <w:shd w:val="clear" w:color="auto" w:fill="E0E0E0"/>
          </w:tcPr>
          <w:p>
            <w:pPr>
              <w:spacing w:after="0"/>
              <w:rPr>
                <w:sz w:val="3"/>
                <w:szCs w:val="3"/>
                <w:color w:val="auto"/>
              </w:rPr>
            </w:pPr>
          </w:p>
        </w:tc>
        <w:tc>
          <w:tcPr>
            <w:tcW w:w="600" w:type="dxa"/>
            <w:vAlign w:val="bottom"/>
            <w:vMerge w:val="continue"/>
            <w:shd w:val="clear" w:color="auto" w:fill="E0E0E0"/>
          </w:tcPr>
          <w:p>
            <w:pPr>
              <w:spacing w:after="0"/>
              <w:rPr>
                <w:sz w:val="3"/>
                <w:szCs w:val="3"/>
                <w:color w:val="auto"/>
              </w:rPr>
            </w:pPr>
          </w:p>
        </w:tc>
        <w:tc>
          <w:tcPr>
            <w:tcW w:w="60" w:type="dxa"/>
            <w:vAlign w:val="bottom"/>
            <w:shd w:val="clear" w:color="auto" w:fill="E0E0E0"/>
          </w:tcPr>
          <w:p>
            <w:pPr>
              <w:spacing w:after="0"/>
              <w:rPr>
                <w:sz w:val="3"/>
                <w:szCs w:val="3"/>
                <w:color w:val="auto"/>
              </w:rPr>
            </w:pPr>
          </w:p>
        </w:tc>
        <w:tc>
          <w:tcPr>
            <w:tcW w:w="420" w:type="dxa"/>
            <w:vAlign w:val="bottom"/>
            <w:shd w:val="clear" w:color="auto" w:fill="E0E0E0"/>
          </w:tcPr>
          <w:p>
            <w:pPr>
              <w:spacing w:after="0"/>
              <w:rPr>
                <w:sz w:val="3"/>
                <w:szCs w:val="3"/>
                <w:color w:val="auto"/>
              </w:rPr>
            </w:pPr>
          </w:p>
        </w:tc>
        <w:tc>
          <w:tcPr>
            <w:tcW w:w="62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340" w:type="dxa"/>
            <w:vAlign w:val="bottom"/>
            <w:shd w:val="clear" w:color="auto" w:fill="E0E0E0"/>
          </w:tcPr>
          <w:p>
            <w:pPr>
              <w:spacing w:after="0"/>
              <w:rPr>
                <w:sz w:val="3"/>
                <w:szCs w:val="3"/>
                <w:color w:val="auto"/>
              </w:rPr>
            </w:pPr>
          </w:p>
        </w:tc>
        <w:tc>
          <w:tcPr>
            <w:tcW w:w="1340" w:type="dxa"/>
            <w:vAlign w:val="bottom"/>
            <w:gridSpan w:val="2"/>
            <w:vMerge w:val="continue"/>
            <w:shd w:val="clear" w:color="auto" w:fill="E0E0E0"/>
          </w:tcPr>
          <w:p>
            <w:pPr>
              <w:spacing w:after="0"/>
              <w:rPr>
                <w:sz w:val="3"/>
                <w:szCs w:val="3"/>
                <w:color w:val="auto"/>
              </w:rPr>
            </w:pPr>
          </w:p>
        </w:tc>
        <w:tc>
          <w:tcPr>
            <w:tcW w:w="1520" w:type="dxa"/>
            <w:vAlign w:val="bottom"/>
            <w:gridSpan w:val="2"/>
            <w:shd w:val="clear" w:color="auto" w:fill="E0E0E0"/>
          </w:tcPr>
          <w:p>
            <w:pPr>
              <w:jc w:val="right"/>
              <w:ind w:right="660"/>
              <w:spacing w:after="0"/>
              <w:rPr>
                <w:sz w:val="20"/>
                <w:szCs w:val="20"/>
                <w:color w:val="auto"/>
              </w:rPr>
            </w:pPr>
            <w:r>
              <w:rPr>
                <w:rFonts w:ascii="Times New Roman" w:cs="Times New Roman" w:eastAsia="Times New Roman" w:hAnsi="Times New Roman"/>
                <w:sz w:val="3"/>
                <w:szCs w:val="3"/>
                <w:b w:val="1"/>
                <w:bCs w:val="1"/>
                <w:color w:val="auto"/>
              </w:rPr>
              <w:t>Earnings($)</w:t>
            </w:r>
          </w:p>
        </w:tc>
        <w:tc>
          <w:tcPr>
            <w:tcW w:w="100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180" w:type="dxa"/>
            <w:vAlign w:val="bottom"/>
            <w:shd w:val="clear" w:color="auto" w:fill="E0E0E0"/>
          </w:tcPr>
          <w:p>
            <w:pPr>
              <w:spacing w:after="0"/>
              <w:rPr>
                <w:sz w:val="3"/>
                <w:szCs w:val="3"/>
                <w:color w:val="auto"/>
              </w:rPr>
            </w:pPr>
          </w:p>
        </w:tc>
        <w:tc>
          <w:tcPr>
            <w:tcW w:w="1000" w:type="dxa"/>
            <w:vAlign w:val="bottom"/>
            <w:tcBorders>
              <w:right w:val="single" w:sz="8" w:color="auto"/>
            </w:tcBorders>
            <w:gridSpan w:val="2"/>
            <w:vMerge w:val="continue"/>
            <w:shd w:val="clear" w:color="auto" w:fill="E0E0E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1080" w:type="dxa"/>
            <w:vAlign w:val="bottom"/>
            <w:tcBorders>
              <w:left w:val="single" w:sz="8" w:color="auto"/>
              <w:bottom w:val="single" w:sz="8" w:color="E0E0E0"/>
            </w:tcBorders>
            <w:shd w:val="clear" w:color="auto" w:fill="E0E0E0"/>
          </w:tcPr>
          <w:p>
            <w:pPr>
              <w:spacing w:after="0"/>
              <w:rPr>
                <w:sz w:val="15"/>
                <w:szCs w:val="15"/>
                <w:color w:val="auto"/>
              </w:rPr>
            </w:pPr>
          </w:p>
        </w:tc>
        <w:tc>
          <w:tcPr>
            <w:tcW w:w="20" w:type="dxa"/>
            <w:vAlign w:val="bottom"/>
            <w:tcBorders>
              <w:bottom w:val="single" w:sz="8" w:color="auto"/>
            </w:tcBorders>
            <w:shd w:val="clear" w:color="auto" w:fill="E0E0E0"/>
          </w:tcPr>
          <w:p>
            <w:pPr>
              <w:spacing w:after="0"/>
              <w:rPr>
                <w:sz w:val="15"/>
                <w:szCs w:val="15"/>
                <w:color w:val="auto"/>
              </w:rPr>
            </w:pPr>
          </w:p>
        </w:tc>
        <w:tc>
          <w:tcPr>
            <w:tcW w:w="360" w:type="dxa"/>
            <w:vAlign w:val="bottom"/>
            <w:tcBorders>
              <w:bottom w:val="single" w:sz="8" w:color="auto"/>
            </w:tcBorders>
            <w:vMerge w:val="continue"/>
            <w:shd w:val="clear" w:color="auto" w:fill="E0E0E0"/>
          </w:tcPr>
          <w:p>
            <w:pPr>
              <w:spacing w:after="0"/>
              <w:rPr>
                <w:sz w:val="15"/>
                <w:szCs w:val="15"/>
                <w:color w:val="auto"/>
              </w:rPr>
            </w:pPr>
          </w:p>
        </w:tc>
        <w:tc>
          <w:tcPr>
            <w:tcW w:w="960" w:type="dxa"/>
            <w:vAlign w:val="bottom"/>
            <w:tcBorders>
              <w:bottom w:val="single" w:sz="8" w:color="E0E0E0"/>
            </w:tcBorders>
            <w:vMerge w:val="continue"/>
            <w:shd w:val="clear" w:color="auto" w:fill="E0E0E0"/>
          </w:tcPr>
          <w:p>
            <w:pPr>
              <w:spacing w:after="0"/>
              <w:rPr>
                <w:sz w:val="15"/>
                <w:szCs w:val="15"/>
                <w:color w:val="auto"/>
              </w:rPr>
            </w:pPr>
          </w:p>
        </w:tc>
        <w:tc>
          <w:tcPr>
            <w:tcW w:w="340" w:type="dxa"/>
            <w:vAlign w:val="bottom"/>
            <w:tcBorders>
              <w:bottom w:val="single" w:sz="8" w:color="E0E0E0"/>
            </w:tcBorders>
            <w:shd w:val="clear" w:color="auto" w:fill="E0E0E0"/>
          </w:tcPr>
          <w:p>
            <w:pPr>
              <w:spacing w:after="0"/>
              <w:rPr>
                <w:sz w:val="15"/>
                <w:szCs w:val="15"/>
                <w:color w:val="auto"/>
              </w:rPr>
            </w:pPr>
          </w:p>
        </w:tc>
        <w:tc>
          <w:tcPr>
            <w:tcW w:w="560" w:type="dxa"/>
            <w:vAlign w:val="bottom"/>
            <w:tcBorders>
              <w:bottom w:val="single" w:sz="8" w:color="E0E0E0"/>
            </w:tcBorders>
            <w:shd w:val="clear" w:color="auto" w:fill="E0E0E0"/>
          </w:tcPr>
          <w:p>
            <w:pPr>
              <w:jc w:val="center"/>
              <w:ind w:left="87"/>
              <w:spacing w:after="0" w:line="118" w:lineRule="exact"/>
              <w:rPr>
                <w:sz w:val="20"/>
                <w:szCs w:val="20"/>
                <w:color w:val="auto"/>
              </w:rPr>
            </w:pPr>
            <w:r>
              <w:rPr>
                <w:rFonts w:ascii="Times New Roman" w:cs="Times New Roman" w:eastAsia="Times New Roman" w:hAnsi="Times New Roman"/>
                <w:sz w:val="12"/>
                <w:szCs w:val="12"/>
                <w:b w:val="1"/>
                <w:bCs w:val="1"/>
                <w:color w:val="auto"/>
              </w:rPr>
              <w:t>(b)</w:t>
            </w:r>
          </w:p>
        </w:tc>
        <w:tc>
          <w:tcPr>
            <w:tcW w:w="160" w:type="dxa"/>
            <w:vAlign w:val="bottom"/>
            <w:tcBorders>
              <w:bottom w:val="single" w:sz="8" w:color="E0E0E0"/>
            </w:tcBorders>
            <w:shd w:val="clear" w:color="auto" w:fill="E0E0E0"/>
          </w:tcPr>
          <w:p>
            <w:pPr>
              <w:spacing w:after="0"/>
              <w:rPr>
                <w:sz w:val="15"/>
                <w:szCs w:val="15"/>
                <w:color w:val="auto"/>
              </w:rPr>
            </w:pPr>
          </w:p>
        </w:tc>
        <w:tc>
          <w:tcPr>
            <w:tcW w:w="440" w:type="dxa"/>
            <w:vAlign w:val="bottom"/>
            <w:tcBorders>
              <w:bottom w:val="single" w:sz="8" w:color="E0E0E0"/>
            </w:tcBorders>
            <w:shd w:val="clear" w:color="auto" w:fill="E0E0E0"/>
          </w:tcPr>
          <w:p>
            <w:pPr>
              <w:spacing w:after="0"/>
              <w:rPr>
                <w:sz w:val="15"/>
                <w:szCs w:val="15"/>
                <w:color w:val="auto"/>
              </w:rPr>
            </w:pPr>
          </w:p>
        </w:tc>
        <w:tc>
          <w:tcPr>
            <w:tcW w:w="600" w:type="dxa"/>
            <w:vAlign w:val="bottom"/>
            <w:tcBorders>
              <w:bottom w:val="single" w:sz="8" w:color="E0E0E0"/>
            </w:tcBorders>
            <w:shd w:val="clear" w:color="auto" w:fill="E0E0E0"/>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w:t>
            </w:r>
          </w:p>
        </w:tc>
        <w:tc>
          <w:tcPr>
            <w:tcW w:w="60" w:type="dxa"/>
            <w:vAlign w:val="bottom"/>
            <w:tcBorders>
              <w:bottom w:val="single" w:sz="8" w:color="E0E0E0"/>
            </w:tcBorders>
            <w:shd w:val="clear" w:color="auto" w:fill="E0E0E0"/>
          </w:tcPr>
          <w:p>
            <w:pPr>
              <w:spacing w:after="0"/>
              <w:rPr>
                <w:sz w:val="15"/>
                <w:szCs w:val="15"/>
                <w:color w:val="auto"/>
              </w:rPr>
            </w:pPr>
          </w:p>
        </w:tc>
        <w:tc>
          <w:tcPr>
            <w:tcW w:w="420" w:type="dxa"/>
            <w:vAlign w:val="bottom"/>
            <w:tcBorders>
              <w:bottom w:val="single" w:sz="8" w:color="E0E0E0"/>
            </w:tcBorders>
            <w:shd w:val="clear" w:color="auto" w:fill="E0E0E0"/>
          </w:tcPr>
          <w:p>
            <w:pPr>
              <w:spacing w:after="0"/>
              <w:rPr>
                <w:sz w:val="15"/>
                <w:szCs w:val="15"/>
                <w:color w:val="auto"/>
              </w:rPr>
            </w:pPr>
          </w:p>
        </w:tc>
        <w:tc>
          <w:tcPr>
            <w:tcW w:w="620" w:type="dxa"/>
            <w:vAlign w:val="bottom"/>
            <w:tcBorders>
              <w:bottom w:val="single" w:sz="8" w:color="E0E0E0"/>
            </w:tcBorders>
            <w:shd w:val="clear" w:color="auto" w:fill="E0E0E0"/>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(d)</w:t>
            </w:r>
          </w:p>
        </w:tc>
        <w:tc>
          <w:tcPr>
            <w:tcW w:w="40" w:type="dxa"/>
            <w:vAlign w:val="bottom"/>
            <w:tcBorders>
              <w:bottom w:val="single" w:sz="8" w:color="E0E0E0"/>
            </w:tcBorders>
            <w:shd w:val="clear" w:color="auto" w:fill="E0E0E0"/>
          </w:tcPr>
          <w:p>
            <w:pPr>
              <w:spacing w:after="0"/>
              <w:rPr>
                <w:sz w:val="15"/>
                <w:szCs w:val="15"/>
                <w:color w:val="auto"/>
              </w:rPr>
            </w:pPr>
          </w:p>
        </w:tc>
        <w:tc>
          <w:tcPr>
            <w:tcW w:w="340" w:type="dxa"/>
            <w:vAlign w:val="bottom"/>
            <w:tcBorders>
              <w:bottom w:val="single" w:sz="8" w:color="E0E0E0"/>
            </w:tcBorders>
            <w:shd w:val="clear" w:color="auto" w:fill="E0E0E0"/>
          </w:tcPr>
          <w:p>
            <w:pPr>
              <w:spacing w:after="0"/>
              <w:rPr>
                <w:sz w:val="15"/>
                <w:szCs w:val="15"/>
                <w:color w:val="auto"/>
              </w:rPr>
            </w:pPr>
          </w:p>
        </w:tc>
        <w:tc>
          <w:tcPr>
            <w:tcW w:w="1340" w:type="dxa"/>
            <w:vAlign w:val="bottom"/>
            <w:tcBorders>
              <w:bottom w:val="single" w:sz="8" w:color="E0E0E0"/>
            </w:tcBorders>
            <w:gridSpan w:val="2"/>
            <w:shd w:val="clear" w:color="auto" w:fill="E0E0E0"/>
          </w:tcPr>
          <w:p>
            <w:pPr>
              <w:jc w:val="center"/>
              <w:ind w:right="320"/>
              <w:spacing w:after="0" w:line="118" w:lineRule="exact"/>
              <w:rPr>
                <w:sz w:val="20"/>
                <w:szCs w:val="20"/>
                <w:color w:val="auto"/>
              </w:rPr>
            </w:pPr>
            <w:r>
              <w:rPr>
                <w:rFonts w:ascii="Times New Roman" w:cs="Times New Roman" w:eastAsia="Times New Roman" w:hAnsi="Times New Roman"/>
                <w:sz w:val="12"/>
                <w:szCs w:val="12"/>
                <w:b w:val="1"/>
                <w:bCs w:val="1"/>
                <w:color w:val="auto"/>
              </w:rPr>
              <w:t>(e)</w:t>
            </w:r>
          </w:p>
        </w:tc>
        <w:tc>
          <w:tcPr>
            <w:tcW w:w="1520" w:type="dxa"/>
            <w:vAlign w:val="bottom"/>
            <w:tcBorders>
              <w:bottom w:val="single" w:sz="8" w:color="E0E0E0"/>
            </w:tcBorders>
            <w:gridSpan w:val="2"/>
            <w:shd w:val="clear" w:color="auto" w:fill="E0E0E0"/>
          </w:tcPr>
          <w:p>
            <w:pPr>
              <w:jc w:val="center"/>
              <w:ind w:right="420"/>
              <w:spacing w:after="0" w:line="118" w:lineRule="exact"/>
              <w:rPr>
                <w:sz w:val="20"/>
                <w:szCs w:val="20"/>
                <w:color w:val="auto"/>
              </w:rPr>
            </w:pPr>
            <w:r>
              <w:rPr>
                <w:rFonts w:ascii="Times New Roman" w:cs="Times New Roman" w:eastAsia="Times New Roman" w:hAnsi="Times New Roman"/>
                <w:sz w:val="12"/>
                <w:szCs w:val="12"/>
                <w:b w:val="1"/>
                <w:bCs w:val="1"/>
                <w:color w:val="auto"/>
              </w:rPr>
              <w:t>(f)</w:t>
            </w:r>
          </w:p>
        </w:tc>
        <w:tc>
          <w:tcPr>
            <w:tcW w:w="1000" w:type="dxa"/>
            <w:vAlign w:val="bottom"/>
            <w:tcBorders>
              <w:bottom w:val="single" w:sz="8" w:color="E0E0E0"/>
            </w:tcBorders>
            <w:shd w:val="clear" w:color="auto" w:fill="E0E0E0"/>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(g)</w:t>
            </w:r>
          </w:p>
        </w:tc>
        <w:tc>
          <w:tcPr>
            <w:tcW w:w="40" w:type="dxa"/>
            <w:vAlign w:val="bottom"/>
            <w:tcBorders>
              <w:bottom w:val="single" w:sz="8" w:color="E0E0E0"/>
            </w:tcBorders>
            <w:shd w:val="clear" w:color="auto" w:fill="E0E0E0"/>
          </w:tcPr>
          <w:p>
            <w:pPr>
              <w:spacing w:after="0"/>
              <w:rPr>
                <w:sz w:val="15"/>
                <w:szCs w:val="15"/>
                <w:color w:val="auto"/>
              </w:rPr>
            </w:pPr>
          </w:p>
        </w:tc>
        <w:tc>
          <w:tcPr>
            <w:tcW w:w="180" w:type="dxa"/>
            <w:vAlign w:val="bottom"/>
            <w:tcBorders>
              <w:bottom w:val="single" w:sz="8" w:color="E0E0E0"/>
            </w:tcBorders>
            <w:shd w:val="clear" w:color="auto" w:fill="E0E0E0"/>
          </w:tcPr>
          <w:p>
            <w:pPr>
              <w:spacing w:after="0"/>
              <w:rPr>
                <w:sz w:val="15"/>
                <w:szCs w:val="15"/>
                <w:color w:val="auto"/>
              </w:rPr>
            </w:pPr>
          </w:p>
        </w:tc>
        <w:tc>
          <w:tcPr>
            <w:tcW w:w="1000" w:type="dxa"/>
            <w:vAlign w:val="bottom"/>
            <w:tcBorders>
              <w:bottom w:val="single" w:sz="8" w:color="E0E0E0"/>
              <w:right w:val="single" w:sz="8" w:color="auto"/>
            </w:tcBorders>
            <w:gridSpan w:val="2"/>
            <w:shd w:val="clear" w:color="auto" w:fill="E0E0E0"/>
          </w:tcPr>
          <w:p>
            <w:pPr>
              <w:jc w:val="right"/>
              <w:ind w:right="600"/>
              <w:spacing w:after="0" w:line="118" w:lineRule="exact"/>
              <w:rPr>
                <w:sz w:val="20"/>
                <w:szCs w:val="20"/>
                <w:color w:val="auto"/>
              </w:rPr>
            </w:pPr>
            <w:r>
              <w:rPr>
                <w:rFonts w:ascii="Times New Roman" w:cs="Times New Roman" w:eastAsia="Times New Roman" w:hAnsi="Times New Roman"/>
                <w:sz w:val="12"/>
                <w:szCs w:val="12"/>
                <w:b w:val="1"/>
                <w:bCs w:val="1"/>
                <w:color w:val="auto"/>
              </w:rPr>
              <w:t>(h)</w:t>
            </w:r>
          </w:p>
        </w:tc>
        <w:tc>
          <w:tcPr>
            <w:tcW w:w="0" w:type="dxa"/>
            <w:vAlign w:val="bottom"/>
          </w:tcPr>
          <w:p>
            <w:pPr>
              <w:spacing w:after="0"/>
              <w:rPr>
                <w:sz w:val="1"/>
                <w:szCs w:val="1"/>
                <w:color w:val="auto"/>
              </w:rPr>
            </w:pPr>
          </w:p>
        </w:tc>
      </w:tr>
      <w:tr>
        <w:trPr>
          <w:trHeight w:val="224"/>
        </w:trPr>
        <w:tc>
          <w:tcPr>
            <w:tcW w:w="108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20" w:type="dxa"/>
            <w:vAlign w:val="bottom"/>
            <w:tcBorders>
              <w:top w:val="single" w:sz="8" w:color="E0E0E0"/>
              <w:bottom w:val="single" w:sz="8" w:color="auto"/>
            </w:tcBorders>
            <w:shd w:val="clear" w:color="auto" w:fill="E0E0E0"/>
          </w:tcPr>
          <w:p>
            <w:pPr>
              <w:spacing w:after="0"/>
              <w:rPr>
                <w:sz w:val="19"/>
                <w:szCs w:val="19"/>
                <w:color w:val="auto"/>
              </w:rPr>
            </w:pPr>
          </w:p>
        </w:tc>
        <w:tc>
          <w:tcPr>
            <w:tcW w:w="360" w:type="dxa"/>
            <w:vAlign w:val="bottom"/>
            <w:tcBorders>
              <w:top w:val="single" w:sz="8" w:color="E0E0E0"/>
              <w:bottom w:val="single" w:sz="8" w:color="auto"/>
            </w:tcBorders>
            <w:shd w:val="clear" w:color="auto" w:fill="E0E0E0"/>
          </w:tcPr>
          <w:p>
            <w:pPr>
              <w:spacing w:after="0"/>
              <w:rPr>
                <w:sz w:val="19"/>
                <w:szCs w:val="19"/>
                <w:color w:val="auto"/>
              </w:rPr>
            </w:pPr>
          </w:p>
        </w:tc>
        <w:tc>
          <w:tcPr>
            <w:tcW w:w="960" w:type="dxa"/>
            <w:vAlign w:val="bottom"/>
            <w:tcBorders>
              <w:top w:val="single" w:sz="8" w:color="E0E0E0"/>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56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440" w:type="dxa"/>
            <w:vAlign w:val="bottom"/>
            <w:tcBorders>
              <w:top w:val="single" w:sz="8" w:color="E0E0E0"/>
              <w:bottom w:val="single" w:sz="8" w:color="auto"/>
            </w:tcBorders>
            <w:shd w:val="clear" w:color="auto" w:fill="E0E0E0"/>
          </w:tcPr>
          <w:p>
            <w:pPr>
              <w:spacing w:after="0"/>
              <w:rPr>
                <w:sz w:val="19"/>
                <w:szCs w:val="19"/>
                <w:color w:val="auto"/>
              </w:rPr>
            </w:pPr>
          </w:p>
        </w:tc>
        <w:tc>
          <w:tcPr>
            <w:tcW w:w="600" w:type="dxa"/>
            <w:vAlign w:val="bottom"/>
            <w:tcBorders>
              <w:top w:val="single" w:sz="8" w:color="auto"/>
              <w:bottom w:val="single" w:sz="8" w:color="auto"/>
            </w:tcBorders>
            <w:shd w:val="clear" w:color="auto" w:fill="E0E0E0"/>
          </w:tcPr>
          <w:p>
            <w:pPr>
              <w:spacing w:after="0"/>
              <w:rPr>
                <w:sz w:val="19"/>
                <w:szCs w:val="19"/>
                <w:color w:val="auto"/>
              </w:rPr>
            </w:pPr>
          </w:p>
        </w:tc>
        <w:tc>
          <w:tcPr>
            <w:tcW w:w="60" w:type="dxa"/>
            <w:vAlign w:val="bottom"/>
            <w:tcBorders>
              <w:top w:val="single" w:sz="8" w:color="auto"/>
              <w:bottom w:val="single" w:sz="8" w:color="auto"/>
            </w:tcBorders>
            <w:shd w:val="clear" w:color="auto" w:fill="E0E0E0"/>
          </w:tcPr>
          <w:p>
            <w:pPr>
              <w:spacing w:after="0"/>
              <w:rPr>
                <w:sz w:val="19"/>
                <w:szCs w:val="19"/>
                <w:color w:val="auto"/>
              </w:rPr>
            </w:pPr>
          </w:p>
        </w:tc>
        <w:tc>
          <w:tcPr>
            <w:tcW w:w="420" w:type="dxa"/>
            <w:vAlign w:val="bottom"/>
            <w:tcBorders>
              <w:top w:val="single" w:sz="8" w:color="E0E0E0"/>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4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100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1080" w:type="dxa"/>
            <w:vAlign w:val="bottom"/>
            <w:tcBorders>
              <w:top w:val="single" w:sz="8" w:color="auto"/>
              <w:bottom w:val="single" w:sz="8" w:color="auto"/>
            </w:tcBorders>
            <w:shd w:val="clear" w:color="auto" w:fill="E0E0E0"/>
          </w:tcPr>
          <w:p>
            <w:pPr>
              <w:spacing w:after="0"/>
              <w:rPr>
                <w:sz w:val="19"/>
                <w:szCs w:val="19"/>
                <w:color w:val="auto"/>
              </w:rPr>
            </w:pPr>
          </w:p>
        </w:tc>
        <w:tc>
          <w:tcPr>
            <w:tcW w:w="440" w:type="dxa"/>
            <w:vAlign w:val="bottom"/>
            <w:tcBorders>
              <w:top w:val="single" w:sz="8" w:color="E0E0E0"/>
              <w:bottom w:val="single" w:sz="8" w:color="auto"/>
            </w:tcBorders>
            <w:shd w:val="clear" w:color="auto" w:fill="E0E0E0"/>
          </w:tcPr>
          <w:p>
            <w:pPr>
              <w:spacing w:after="0"/>
              <w:rPr>
                <w:sz w:val="19"/>
                <w:szCs w:val="19"/>
                <w:color w:val="auto"/>
              </w:rPr>
            </w:pPr>
          </w:p>
        </w:tc>
        <w:tc>
          <w:tcPr>
            <w:tcW w:w="1000" w:type="dxa"/>
            <w:vAlign w:val="bottom"/>
            <w:tcBorders>
              <w:top w:val="single" w:sz="8" w:color="auto"/>
              <w:bottom w:val="single" w:sz="8" w:color="auto"/>
            </w:tcBorders>
            <w:shd w:val="clear" w:color="auto" w:fill="E0E0E0"/>
          </w:tcPr>
          <w:p>
            <w:pPr>
              <w:spacing w:after="0"/>
              <w:rPr>
                <w:sz w:val="19"/>
                <w:szCs w:val="19"/>
                <w:color w:val="auto"/>
              </w:rPr>
            </w:pPr>
          </w:p>
        </w:tc>
        <w:tc>
          <w:tcPr>
            <w:tcW w:w="40" w:type="dxa"/>
            <w:vAlign w:val="bottom"/>
            <w:tcBorders>
              <w:top w:val="single" w:sz="8" w:color="auto"/>
              <w:bottom w:val="single" w:sz="8" w:color="auto"/>
            </w:tcBorders>
            <w:shd w:val="clear" w:color="auto" w:fill="E0E0E0"/>
          </w:tcPr>
          <w:p>
            <w:pPr>
              <w:spacing w:after="0"/>
              <w:rPr>
                <w:sz w:val="19"/>
                <w:szCs w:val="19"/>
                <w:color w:val="auto"/>
              </w:rPr>
            </w:pPr>
          </w:p>
        </w:tc>
        <w:tc>
          <w:tcPr>
            <w:tcW w:w="180" w:type="dxa"/>
            <w:vAlign w:val="bottom"/>
            <w:tcBorders>
              <w:top w:val="single" w:sz="8" w:color="E0E0E0"/>
              <w:bottom w:val="single" w:sz="8" w:color="auto"/>
            </w:tcBorders>
            <w:shd w:val="clear" w:color="auto" w:fill="E0E0E0"/>
          </w:tcPr>
          <w:p>
            <w:pPr>
              <w:spacing w:after="0"/>
              <w:rPr>
                <w:sz w:val="19"/>
                <w:szCs w:val="19"/>
                <w:color w:val="auto"/>
              </w:rPr>
            </w:pPr>
          </w:p>
        </w:tc>
        <w:tc>
          <w:tcPr>
            <w:tcW w:w="640" w:type="dxa"/>
            <w:vAlign w:val="bottom"/>
            <w:tcBorders>
              <w:top w:val="single" w:sz="8" w:color="auto"/>
              <w:bottom w:val="single" w:sz="8" w:color="auto"/>
            </w:tcBorders>
            <w:shd w:val="clear" w:color="auto" w:fill="E0E0E0"/>
          </w:tcPr>
          <w:p>
            <w:pPr>
              <w:spacing w:after="0"/>
              <w:rPr>
                <w:sz w:val="19"/>
                <w:szCs w:val="19"/>
                <w:color w:val="auto"/>
              </w:rPr>
            </w:pPr>
          </w:p>
        </w:tc>
        <w:tc>
          <w:tcPr>
            <w:tcW w:w="36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Sue W. Cole</w:t>
            </w:r>
          </w:p>
        </w:tc>
        <w:tc>
          <w:tcPr>
            <w:tcW w:w="340" w:type="dxa"/>
            <w:vAlign w:val="bottom"/>
            <w:shd w:val="clear" w:color="auto" w:fill="E0E0E0"/>
          </w:tcPr>
          <w:p>
            <w:pPr>
              <w:spacing w:after="0"/>
              <w:rPr>
                <w:sz w:val="18"/>
                <w:szCs w:val="18"/>
                <w:color w:val="auto"/>
              </w:rPr>
            </w:pPr>
          </w:p>
        </w:tc>
        <w:tc>
          <w:tcPr>
            <w:tcW w:w="1160" w:type="dxa"/>
            <w:vAlign w:val="bottom"/>
            <w:gridSpan w:val="3"/>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59,250</w:t>
            </w:r>
          </w:p>
        </w:tc>
        <w:tc>
          <w:tcPr>
            <w:tcW w:w="1080" w:type="dxa"/>
            <w:vAlign w:val="bottom"/>
            <w:gridSpan w:val="3"/>
            <w:shd w:val="clear" w:color="auto" w:fill="E0E0E0"/>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4,222</w:t>
            </w: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46,612</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18"/>
                <w:szCs w:val="18"/>
                <w:color w:val="auto"/>
              </w:rPr>
              <w:t>220,123</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David G. Maffucci</w:t>
            </w:r>
          </w:p>
        </w:tc>
        <w:tc>
          <w:tcPr>
            <w:tcW w:w="34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76,250</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1,771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41,045</w:t>
            </w:r>
          </w:p>
        </w:tc>
        <w:tc>
          <w:tcPr>
            <w:tcW w:w="10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229,105</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William E. McDonald</w:t>
            </w:r>
          </w:p>
        </w:tc>
        <w:tc>
          <w:tcPr>
            <w:tcW w:w="1500" w:type="dxa"/>
            <w:vAlign w:val="bottom"/>
            <w:gridSpan w:val="4"/>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58,000</w:t>
            </w:r>
          </w:p>
        </w:tc>
        <w:tc>
          <w:tcPr>
            <w:tcW w:w="1080" w:type="dxa"/>
            <w:vAlign w:val="bottom"/>
            <w:gridSpan w:val="3"/>
            <w:shd w:val="clear" w:color="auto" w:fill="E0E0E0"/>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5,631</w:t>
            </w: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50,889</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18"/>
                <w:szCs w:val="18"/>
                <w:color w:val="auto"/>
              </w:rPr>
              <w:t>224,559</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Frank H. Menaker, Jr.</w:t>
            </w:r>
          </w:p>
        </w:tc>
        <w:tc>
          <w:tcPr>
            <w:tcW w:w="15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66,250</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6,753</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58,106</w:t>
            </w:r>
          </w:p>
        </w:tc>
        <w:tc>
          <w:tcPr>
            <w:tcW w:w="10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241,148</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Laree E. Perez</w:t>
            </w:r>
          </w:p>
        </w:tc>
        <w:tc>
          <w:tcPr>
            <w:tcW w:w="1500" w:type="dxa"/>
            <w:vAlign w:val="bottom"/>
            <w:gridSpan w:val="4"/>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73,000</w:t>
            </w:r>
          </w:p>
        </w:tc>
        <w:tc>
          <w:tcPr>
            <w:tcW w:w="1080" w:type="dxa"/>
            <w:vAlign w:val="bottom"/>
            <w:gridSpan w:val="3"/>
            <w:shd w:val="clear" w:color="auto" w:fill="E0E0E0"/>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1,296</w:t>
            </w: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25,114</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18"/>
                <w:szCs w:val="18"/>
                <w:color w:val="auto"/>
              </w:rPr>
              <w:t>209,449</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Michael J. Quillen</w:t>
            </w:r>
          </w:p>
        </w:tc>
        <w:tc>
          <w:tcPr>
            <w:tcW w:w="15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55,000</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28,799</w:t>
            </w:r>
          </w:p>
        </w:tc>
        <w:tc>
          <w:tcPr>
            <w:tcW w:w="10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194,720</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Dennis L. Rediker</w:t>
            </w:r>
          </w:p>
        </w:tc>
        <w:tc>
          <w:tcPr>
            <w:tcW w:w="1500" w:type="dxa"/>
            <w:vAlign w:val="bottom"/>
            <w:gridSpan w:val="4"/>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63,750</w:t>
            </w:r>
          </w:p>
        </w:tc>
        <w:tc>
          <w:tcPr>
            <w:tcW w:w="1080" w:type="dxa"/>
            <w:vAlign w:val="bottom"/>
            <w:gridSpan w:val="3"/>
            <w:shd w:val="clear" w:color="auto" w:fill="E0E0E0"/>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3,143</w:t>
            </w: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40,082</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18"/>
                <w:szCs w:val="18"/>
                <w:color w:val="auto"/>
              </w:rPr>
              <w:t>217,014</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Richard A. Vinroot</w:t>
            </w:r>
          </w:p>
        </w:tc>
        <w:tc>
          <w:tcPr>
            <w:tcW w:w="15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54,250</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6,066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50,673</w:t>
            </w:r>
          </w:p>
        </w:tc>
        <w:tc>
          <w:tcPr>
            <w:tcW w:w="10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221,028</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bottom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Stephen P. Zelnak, Jr.</w:t>
            </w:r>
          </w:p>
        </w:tc>
        <w:tc>
          <w:tcPr>
            <w:tcW w:w="1500" w:type="dxa"/>
            <w:vAlign w:val="bottom"/>
            <w:tcBorders>
              <w:bottom w:val="single" w:sz="8" w:color="auto"/>
            </w:tcBorders>
            <w:gridSpan w:val="4"/>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173,000</w:t>
            </w:r>
          </w:p>
        </w:tc>
        <w:tc>
          <w:tcPr>
            <w:tcW w:w="1080" w:type="dxa"/>
            <w:vAlign w:val="bottom"/>
            <w:tcBorders>
              <w:bottom w:val="single" w:sz="8" w:color="auto"/>
            </w:tcBorders>
            <w:gridSpan w:val="3"/>
            <w:shd w:val="clear" w:color="auto" w:fill="E0E0E0"/>
          </w:tcPr>
          <w:p>
            <w:pPr>
              <w:jc w:val="right"/>
              <w:ind w:right="420"/>
              <w:spacing w:after="0"/>
              <w:rPr>
                <w:sz w:val="20"/>
                <w:szCs w:val="20"/>
                <w:color w:val="auto"/>
              </w:rPr>
            </w:pPr>
            <w:r>
              <w:rPr>
                <w:rFonts w:ascii="Times New Roman" w:cs="Times New Roman" w:eastAsia="Times New Roman" w:hAnsi="Times New Roman"/>
                <w:sz w:val="18"/>
                <w:szCs w:val="18"/>
                <w:color w:val="auto"/>
              </w:rPr>
              <w:t>110,039</w:t>
            </w:r>
          </w:p>
        </w:tc>
        <w:tc>
          <w:tcPr>
            <w:tcW w:w="620" w:type="dxa"/>
            <w:vAlign w:val="bottom"/>
            <w:tcBorders>
              <w:bottom w:val="single" w:sz="8" w:color="auto"/>
            </w:tcBorders>
            <w:shd w:val="clear" w:color="auto" w:fill="E0E0E0"/>
          </w:tcPr>
          <w:p>
            <w:pPr>
              <w:spacing w:after="0"/>
              <w:rPr>
                <w:sz w:val="18"/>
                <w:szCs w:val="18"/>
                <w:color w:val="auto"/>
              </w:rPr>
            </w:pPr>
          </w:p>
        </w:tc>
        <w:tc>
          <w:tcPr>
            <w:tcW w:w="40" w:type="dxa"/>
            <w:vAlign w:val="bottom"/>
            <w:tcBorders>
              <w:bottom w:val="single" w:sz="8" w:color="auto"/>
            </w:tcBorders>
            <w:shd w:val="clear" w:color="auto" w:fill="E0E0E0"/>
          </w:tcPr>
          <w:p>
            <w:pPr>
              <w:spacing w:after="0"/>
              <w:rPr>
                <w:sz w:val="18"/>
                <w:szCs w:val="18"/>
                <w:color w:val="auto"/>
              </w:rPr>
            </w:pPr>
          </w:p>
        </w:tc>
        <w:tc>
          <w:tcPr>
            <w:tcW w:w="34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spacing w:after="0"/>
              <w:rPr>
                <w:sz w:val="18"/>
                <w:szCs w:val="18"/>
                <w:color w:val="auto"/>
              </w:rPr>
            </w:pPr>
          </w:p>
        </w:tc>
        <w:tc>
          <w:tcPr>
            <w:tcW w:w="340" w:type="dxa"/>
            <w:vAlign w:val="bottom"/>
            <w:tcBorders>
              <w:bottom w:val="single" w:sz="8" w:color="auto"/>
            </w:tcBorders>
            <w:shd w:val="clear" w:color="auto" w:fill="E0E0E0"/>
          </w:tcPr>
          <w:p>
            <w:pPr>
              <w:spacing w:after="0"/>
              <w:rPr>
                <w:sz w:val="18"/>
                <w:szCs w:val="18"/>
                <w:color w:val="auto"/>
              </w:rPr>
            </w:pPr>
          </w:p>
        </w:tc>
        <w:tc>
          <w:tcPr>
            <w:tcW w:w="1520" w:type="dxa"/>
            <w:vAlign w:val="bottom"/>
            <w:tcBorders>
              <w:bottom w:val="single" w:sz="8" w:color="auto"/>
            </w:tcBorders>
            <w:gridSpan w:val="2"/>
            <w:shd w:val="clear" w:color="auto" w:fill="E0E0E0"/>
          </w:tcPr>
          <w:p>
            <w:pPr>
              <w:jc w:val="right"/>
              <w:ind w:right="440"/>
              <w:spacing w:after="0"/>
              <w:rPr>
                <w:sz w:val="20"/>
                <w:szCs w:val="20"/>
                <w:color w:val="auto"/>
              </w:rPr>
            </w:pPr>
            <w:r>
              <w:rPr>
                <w:rFonts w:ascii="Times New Roman" w:cs="Times New Roman" w:eastAsia="Times New Roman" w:hAnsi="Times New Roman"/>
                <w:sz w:val="18"/>
                <w:szCs w:val="18"/>
                <w:color w:val="auto"/>
              </w:rPr>
              <w:t>440</w:t>
            </w:r>
          </w:p>
        </w:tc>
        <w:tc>
          <w:tcPr>
            <w:tcW w:w="1220" w:type="dxa"/>
            <w:vAlign w:val="bottom"/>
            <w:tcBorders>
              <w:bottom w:val="single" w:sz="8" w:color="auto"/>
            </w:tcBorders>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8"/>
                <w:szCs w:val="18"/>
                <w:color w:val="auto"/>
              </w:rPr>
              <w:t>33,725</w:t>
            </w:r>
          </w:p>
        </w:tc>
        <w:tc>
          <w:tcPr>
            <w:tcW w:w="1000" w:type="dxa"/>
            <w:vAlign w:val="bottom"/>
            <w:tcBorders>
              <w:bottom w:val="single" w:sz="8" w:color="auto"/>
              <w:right w:val="single" w:sz="8" w:color="auto"/>
            </w:tcBorders>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18"/>
                <w:szCs w:val="18"/>
                <w:color w:val="auto"/>
              </w:rPr>
              <w:t>317,204</w:t>
            </w:r>
          </w:p>
        </w:tc>
        <w:tc>
          <w:tcPr>
            <w:tcW w:w="0" w:type="dxa"/>
            <w:vAlign w:val="bottom"/>
          </w:tcPr>
          <w:p>
            <w:pPr>
              <w:spacing w:after="0"/>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23" w:right="40" w:hanging="323"/>
        <w:spacing w:after="0" w:line="241" w:lineRule="auto"/>
        <w:tabs>
          <w:tab w:leader="none" w:pos="32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51.</w:t>
      </w:r>
    </w:p>
    <w:p>
      <w:pPr>
        <w:spacing w:after="0" w:line="55" w:lineRule="exact"/>
        <w:rPr>
          <w:sz w:val="20"/>
          <w:szCs w:val="20"/>
          <w:color w:val="auto"/>
        </w:rPr>
      </w:pPr>
    </w:p>
    <w:p>
      <w:pPr>
        <w:jc w:val="both"/>
        <w:ind w:left="323" w:right="20" w:hanging="323"/>
        <w:spacing w:after="0" w:line="226" w:lineRule="auto"/>
        <w:tabs>
          <w:tab w:leader="none" w:pos="32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(b) reflect fees earned in 2012. Some of these fees were deferred pursuant to the Common Stock Purchase Plan for Directors in the form of common stock units. The number of units of common stock credited in 2012 to each of the Directors under the Common Stock Purchase Plan for Directors and the grant date fair value for these awards determined in accordance with FASB ASC Topic 718, which includes the 20% discount, are as follows: Ms. Cole, 1,010 units and $58.66 value, respectively; Mr. Maffucci, 1,303 units and $58.52 value, respectively; Mr. McDonald, 992 units and $58.47 value, respectively; Mr. Menaker, 1,102 units and $60.12 value, respectively; Ms. Perez, 615 units and $59.35 value, respectively; Mr. Quillen, 922 units and $59.65 value, respectively; Mr. Rediker, 1,067 units and $59.75 value, respectively; Mr. Vinroot, 936 units and $57.96 value, respectively; and Mr. Zelnak, 1,555 units and $55.63 value, respectively. The number of units credited to each of the Directors as of December 31, 2012, including units accumulated under the plan for all years of service as a Director, is as follows: Ms. Cole, 12,458; Mr. Maffucci, 7,910; Mr. McDonald, 14,428; Mr. Menaker, 17,052; Ms. Perez, 4,318; Mr. Quillen, 4,048; Mr. Rediker, 8,424; Mr. Vinroot, 14,618; and Mr. Zelnak, 3,935. The 20% discount from the market price of Martin Marietta’s common stock used in converting to common stock is reported in column (g).</w:t>
      </w:r>
    </w:p>
    <w:p>
      <w:pPr>
        <w:spacing w:after="0" w:line="57" w:lineRule="exact"/>
        <w:rPr>
          <w:sz w:val="20"/>
          <w:szCs w:val="20"/>
          <w:color w:val="auto"/>
        </w:rPr>
      </w:pPr>
    </w:p>
    <w:p>
      <w:pPr>
        <w:ind w:left="323" w:hanging="323"/>
        <w:spacing w:after="0"/>
        <w:tabs>
          <w:tab w:leader="none" w:pos="32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Director received 1,592 restricted stock units in 2012. The amounts in column (c) reflect the grant date fair value for these awards determined in accordance with FASB ASC Topic 718.</w:t>
      </w:r>
    </w:p>
    <w:p>
      <w:pPr>
        <w:spacing w:after="0" w:line="69" w:lineRule="exact"/>
        <w:rPr>
          <w:sz w:val="20"/>
          <w:szCs w:val="20"/>
          <w:color w:val="auto"/>
        </w:rPr>
      </w:pPr>
    </w:p>
    <w:p>
      <w:pPr>
        <w:ind w:left="323" w:right="20" w:hanging="323"/>
        <w:spacing w:after="0" w:line="241" w:lineRule="auto"/>
        <w:tabs>
          <w:tab w:leader="none" w:pos="32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2012, each Director held options for common stock in the amounts as follows: Ms. Cole, 17,000; Mr. Maffucci, 12,000; Mr. McDonald, 17,000; Mr. Menaker, 17,000; Ms. Perez, 12,000; Mr. Quillen, 3,000; Mr. Rediker, 9,000; Mr. Vinroot, 17,000; and Mr. Zelnak, 161,355, of which 151,268 are exercisable.</w:t>
      </w:r>
    </w:p>
    <w:p>
      <w:pPr>
        <w:spacing w:after="0" w:line="55" w:lineRule="exact"/>
        <w:rPr>
          <w:sz w:val="20"/>
          <w:szCs w:val="20"/>
          <w:color w:val="auto"/>
        </w:rPr>
      </w:pPr>
    </w:p>
    <w:p>
      <w:pPr>
        <w:ind w:left="323" w:hanging="323"/>
        <w:spacing w:after="0"/>
        <w:tabs>
          <w:tab w:leader="none" w:pos="32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(f) reflect interest paid on fees deferred in cash under the plan.</w:t>
      </w:r>
    </w:p>
    <w:p>
      <w:pPr>
        <w:spacing w:after="0" w:line="69" w:lineRule="exact"/>
        <w:rPr>
          <w:sz w:val="20"/>
          <w:szCs w:val="20"/>
          <w:color w:val="auto"/>
        </w:rPr>
      </w:pPr>
    </w:p>
    <w:p>
      <w:pPr>
        <w:jc w:val="both"/>
        <w:ind w:left="323" w:right="20" w:hanging="323"/>
        <w:spacing w:after="0" w:line="234" w:lineRule="auto"/>
        <w:tabs>
          <w:tab w:leader="none" w:pos="32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(g) reflect for each Director: (i) an amount equal to the 20% discount from the market price of Martin Marietta’s common stock used in converting fees deferred in 2012 into common stock units pursuant to the Common Stock Purchase Plan for Directors, and (ii) the dollar value of dividend equivalents paid in 2012 on common stock units held under the plan. The Directors did not receive perquisites or other personal benefits in 2012.</w:t>
      </w:r>
    </w:p>
    <w:p>
      <w:pPr>
        <w:spacing w:after="0" w:line="271"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083"/>
          </w:cols>
          <w:pgMar w:left="437" w:top="463"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70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070475"/>
                    </a:xfrm>
                    <a:prstGeom prst="rect">
                      <a:avLst/>
                    </a:prstGeom>
                    <a:noFill/>
                  </pic:spPr>
                </pic:pic>
              </a:graphicData>
            </a:graphic>
          </wp:anchor>
        </w:drawing>
        <w:t>CORPORATE GOVERNANCE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Philosophy</w:t>
      </w:r>
    </w:p>
    <w:p>
      <w:pPr>
        <w:spacing w:after="0" w:line="94"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 xml:space="preserve">The Board of Directors has long believed that good corporate governance is important to ensure Martin Marietta is managed for the long-term benefit of its shareholders. Martin Marietta’s business is managed under the direction of the Board of Directors. The Board delegates the conducting of business to Martin Marietta’s senior management team. The corporate governance standards established by the Board provide a structure within which Directors and management can effectively pursue Martin Marietta’s objectives for the benefit of its shareholders. Even before the adoption of the Sarbanes-Oxley Act of 2002, one of the most critical components that has governed the way the business affairs of Martin Marietta are conducted has been Martin Marietta’s </w:t>
      </w:r>
      <w:r>
        <w:rPr>
          <w:rFonts w:ascii="Times New Roman" w:cs="Times New Roman" w:eastAsia="Times New Roman" w:hAnsi="Times New Roman"/>
          <w:sz w:val="18"/>
          <w:szCs w:val="18"/>
          <w:i w:val="1"/>
          <w:iCs w:val="1"/>
          <w:color w:val="auto"/>
        </w:rPr>
        <w:t>Code of Ethics and Standards of Conduct</w:t>
      </w:r>
      <w:r>
        <w:rPr>
          <w:rFonts w:ascii="Times New Roman" w:cs="Times New Roman" w:eastAsia="Times New Roman" w:hAnsi="Times New Roman"/>
          <w:sz w:val="18"/>
          <w:szCs w:val="18"/>
          <w:color w:val="auto"/>
        </w:rPr>
        <w:t>, which has been in place for more than two decades.</w:t>
      </w:r>
    </w:p>
    <w:p>
      <w:pPr>
        <w:spacing w:after="0" w:line="139"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With that backdrop, the Board has endeavored to choose Board and Committee members who are distinguished by a depth of knowledge and experience, to elect a qualified and dedicated management team, and to direct the business affairs of Martin Marietta to achieve long-term value for shareholders. The Board believes this purpose is particularly important in overseeing the management of a company such as Martin Marietta that is engaged in a cyclical business where the long-term value for shareholders may not be reflected in current stock prices and which may be temporarily depressed by short-term factors, such as recessionary economies and operating markets.</w:t>
      </w:r>
    </w:p>
    <w:p>
      <w:pPr>
        <w:spacing w:after="0" w:line="139"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Times New Roman" w:cs="Times New Roman" w:eastAsia="Times New Roman" w:hAnsi="Times New Roman"/>
          <w:sz w:val="18"/>
          <w:szCs w:val="18"/>
          <w:i w:val="1"/>
          <w:iCs w:val="1"/>
          <w:color w:val="auto"/>
        </w:rPr>
        <w:t xml:space="preserve">Corporate Governance Guidelines </w:t>
      </w:r>
      <w:r>
        <w:rPr>
          <w:rFonts w:ascii="Times New Roman" w:cs="Times New Roman" w:eastAsia="Times New Roman" w:hAnsi="Times New Roman"/>
          <w:sz w:val="18"/>
          <w:szCs w:val="18"/>
          <w:color w:val="auto"/>
        </w:rPr>
        <w:t>for Martin Marietta. The Nominating and Corporate Governance Committee is responsible for overseeing the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making recommendations to the Board relating to corporate governance matters.</w:t>
      </w:r>
    </w:p>
    <w:p>
      <w:pPr>
        <w:spacing w:after="0" w:line="136" w:lineRule="exact"/>
        <w:rPr>
          <w:sz w:val="20"/>
          <w:szCs w:val="20"/>
          <w:color w:val="auto"/>
        </w:rPr>
      </w:pPr>
    </w:p>
    <w:p>
      <w:pPr>
        <w:jc w:val="both"/>
        <w:ind w:firstLine="775"/>
        <w:spacing w:after="0" w:line="293" w:lineRule="auto"/>
        <w:rPr>
          <w:sz w:val="20"/>
          <w:szCs w:val="20"/>
          <w:color w:val="auto"/>
        </w:rPr>
      </w:pPr>
      <w:r>
        <w:rPr>
          <w:rFonts w:ascii="Times New Roman" w:cs="Times New Roman" w:eastAsia="Times New Roman" w:hAnsi="Times New Roman"/>
          <w:sz w:val="16"/>
          <w:szCs w:val="16"/>
          <w:color w:val="auto"/>
        </w:rPr>
        <w:t>The New York Stock Exchange has adopted rules that require listed companies like Martin Marietta to adopt governance guidelines and comply with certain standards regarding corporate governance. Martin Marietta voluntarily implemented these corporate governance rules even prior to their effective date in 2004. Martin Marietta’s Chief Executive Officer certifies annually to the NYSE that he is not aware of any violation by Martin Marietta of the NYSE corporate governance listing standards. This certification is in addition to the certification by Martin Marietta’s Chief Executive Officer and Chief Financial Officer included with Martin Marietta’s periodic reports filed with the Securities and Exchange Commission. Martin Marietta also submits written affirmations to the NYSE annually regarding details of Martin Marietta’s compliance with the corporate governance rules of the NYSE.</w:t>
      </w:r>
    </w:p>
    <w:p>
      <w:pPr>
        <w:spacing w:after="0" w:line="109" w:lineRule="exact"/>
        <w:rPr>
          <w:sz w:val="20"/>
          <w:szCs w:val="20"/>
          <w:color w:val="auto"/>
        </w:rPr>
      </w:pPr>
    </w:p>
    <w:p>
      <w:pPr>
        <w:jc w:val="both"/>
        <w:ind w:firstLine="775"/>
        <w:spacing w:after="0" w:line="264" w:lineRule="auto"/>
        <w:rPr>
          <w:sz w:val="20"/>
          <w:szCs w:val="20"/>
          <w:color w:val="auto"/>
        </w:rPr>
      </w:pPr>
      <w:r>
        <w:rPr>
          <w:rFonts w:ascii="Times New Roman" w:cs="Times New Roman" w:eastAsia="Times New Roman" w:hAnsi="Times New Roman"/>
          <w:sz w:val="18"/>
          <w:szCs w:val="18"/>
          <w:color w:val="auto"/>
        </w:rPr>
        <w:t xml:space="preserve">Martin Marietta’s </w:t>
      </w:r>
      <w:r>
        <w:rPr>
          <w:rFonts w:ascii="Times New Roman" w:cs="Times New Roman" w:eastAsia="Times New Roman" w:hAnsi="Times New Roman"/>
          <w:sz w:val="18"/>
          <w:szCs w:val="18"/>
          <w:i w:val="1"/>
          <w:iCs w:val="1"/>
          <w:color w:val="auto"/>
        </w:rPr>
        <w:t>Corporate Governance Guidelines</w:t>
      </w:r>
      <w:r>
        <w:rPr>
          <w:rFonts w:ascii="Times New Roman" w:cs="Times New Roman" w:eastAsia="Times New Roman" w:hAnsi="Times New Roman"/>
          <w:sz w:val="18"/>
          <w:szCs w:val="18"/>
          <w:color w:val="auto"/>
        </w:rPr>
        <w:t xml:space="preserve"> are posted and available for public viewing on Martin Marietta’s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 The guidelines address a wide array of governance issues. Among other matters, the corporate governance principles of Martin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Marietta Materials include the following: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Ethics</w:t>
      </w:r>
    </w:p>
    <w:p>
      <w:pPr>
        <w:spacing w:after="0" w:line="92" w:lineRule="exact"/>
        <w:rPr>
          <w:sz w:val="20"/>
          <w:szCs w:val="20"/>
          <w:color w:val="auto"/>
        </w:rPr>
      </w:pPr>
    </w:p>
    <w:p>
      <w:pPr>
        <w:ind w:left="980" w:hanging="213"/>
        <w:spacing w:after="0" w:line="27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comprehensive </w:t>
      </w:r>
      <w:r>
        <w:rPr>
          <w:rFonts w:ascii="Times New Roman" w:cs="Times New Roman" w:eastAsia="Times New Roman" w:hAnsi="Times New Roman"/>
          <w:sz w:val="18"/>
          <w:szCs w:val="18"/>
          <w:i w:val="1"/>
          <w:iCs w:val="1"/>
          <w:color w:val="auto"/>
        </w:rPr>
        <w:t>Code of Ethics and Standards of Conduct</w:t>
      </w:r>
      <w:r>
        <w:rPr>
          <w:rFonts w:ascii="Times New Roman" w:cs="Times New Roman" w:eastAsia="Times New Roman" w:hAnsi="Times New Roman"/>
          <w:sz w:val="18"/>
          <w:szCs w:val="18"/>
          <w:color w:val="auto"/>
        </w:rPr>
        <w:t xml:space="preserve"> applicable to all Directors, officers, and employees of Martin Marietta, including Martin Marietta’s executive officers, has been in place since the 1980’s.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60"/>
          </w:cols>
          <w:pgMar w:left="440" w:top="461" w:right="399" w:bottom="1440" w:gutter="0" w:footer="0" w:header="0"/>
        </w:sectPr>
      </w:pPr>
    </w:p>
    <w:bookmarkStart w:id="21" w:name="page22"/>
    <w:bookmarkEnd w:id="21"/>
    <w:p>
      <w:pPr>
        <w:ind w:left="980" w:right="20" w:hanging="213"/>
        <w:spacing w:after="0" w:line="275"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1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5361940"/>
                    </a:xfrm>
                    <a:prstGeom prst="rect">
                      <a:avLst/>
                    </a:prstGeom>
                    <a:noFill/>
                  </pic:spPr>
                </pic:pic>
              </a:graphicData>
            </a:graphic>
          </wp:anchor>
        </w:drawing>
        <w:t>A confidential telephone hotline for anonymous reporting of complaints and concerns was established in 1994 when Martin Marietta’s common stock became publicly traded.</w:t>
      </w:r>
    </w:p>
    <w:p>
      <w:pPr>
        <w:spacing w:after="0" w:line="38" w:lineRule="exact"/>
        <w:rPr>
          <w:rFonts w:ascii="Times New Roman" w:cs="Times New Roman" w:eastAsia="Times New Roman" w:hAnsi="Times New Roman"/>
          <w:sz w:val="18"/>
          <w:szCs w:val="18"/>
          <w:color w:val="auto"/>
        </w:rPr>
      </w:pPr>
    </w:p>
    <w:p>
      <w:pPr>
        <w:jc w:val="both"/>
        <w:ind w:left="980" w:right="20" w:hanging="213"/>
        <w:spacing w:after="0" w:line="26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had, since 1994, an Ethics, Environment, Safety and Health Committee that is responsible for reviewing and monitoring Martin Marietta’s program on business ethics and conduct, compliance with environmental laws and regulations and matters concerning health and safety.</w:t>
      </w:r>
    </w:p>
    <w:p>
      <w:pPr>
        <w:spacing w:after="0" w:line="49" w:lineRule="exact"/>
        <w:rPr>
          <w:rFonts w:ascii="Times New Roman" w:cs="Times New Roman" w:eastAsia="Times New Roman" w:hAnsi="Times New Roman"/>
          <w:sz w:val="18"/>
          <w:szCs w:val="18"/>
          <w:color w:val="auto"/>
        </w:rPr>
      </w:pPr>
    </w:p>
    <w:p>
      <w:pPr>
        <w:jc w:val="both"/>
        <w:ind w:left="980" w:hanging="213"/>
        <w:spacing w:after="0" w:line="264"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Martin Marietta will also disclose on its website any amendments to its </w:t>
      </w:r>
      <w:r>
        <w:rPr>
          <w:rFonts w:ascii="Times New Roman" w:cs="Times New Roman" w:eastAsia="Times New Roman" w:hAnsi="Times New Roman"/>
          <w:sz w:val="18"/>
          <w:szCs w:val="18"/>
          <w:i w:val="1"/>
          <w:iCs w:val="1"/>
          <w:color w:val="auto"/>
        </w:rPr>
        <w:t>Code of Ethics and Standards of Conduct</w:t>
      </w:r>
      <w:r>
        <w:rPr>
          <w:rFonts w:ascii="Times New Roman" w:cs="Times New Roman" w:eastAsia="Times New Roman" w:hAnsi="Times New Roman"/>
          <w:sz w:val="18"/>
          <w:szCs w:val="18"/>
          <w:color w:val="auto"/>
        </w:rPr>
        <w:t xml:space="preserve"> and waivers, if any, of such code as applicable to Martin Marietta’s Directors and executive officers. Any waiver of the </w:t>
      </w:r>
      <w:r>
        <w:rPr>
          <w:rFonts w:ascii="Times New Roman" w:cs="Times New Roman" w:eastAsia="Times New Roman" w:hAnsi="Times New Roman"/>
          <w:sz w:val="18"/>
          <w:szCs w:val="18"/>
          <w:i w:val="1"/>
          <w:iCs w:val="1"/>
          <w:color w:val="auto"/>
        </w:rPr>
        <w:t>Code of Ethics and Standards of Conduct</w:t>
      </w:r>
      <w:r>
        <w:rPr>
          <w:rFonts w:ascii="Times New Roman" w:cs="Times New Roman" w:eastAsia="Times New Roman" w:hAnsi="Times New Roman"/>
          <w:sz w:val="18"/>
          <w:szCs w:val="18"/>
          <w:color w:val="auto"/>
        </w:rPr>
        <w:t xml:space="preserve"> for Directors or executive officers will be made only by the full Board and promptly disclosed to shareholders within four business days.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Independence</w:t>
      </w:r>
    </w:p>
    <w:p>
      <w:pPr>
        <w:spacing w:after="0" w:line="94" w:lineRule="exact"/>
        <w:rPr>
          <w:sz w:val="20"/>
          <w:szCs w:val="20"/>
          <w:color w:val="auto"/>
        </w:rPr>
      </w:pPr>
    </w:p>
    <w:p>
      <w:pPr>
        <w:ind w:left="980" w:hanging="213"/>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out of ten Board members are non-employee Directors.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out of ten Board members are independent Directors, as defined in the rules of the NYSE, and are not affiliated with Martin Marietta.</w:t>
      </w:r>
    </w:p>
    <w:p>
      <w:pPr>
        <w:spacing w:after="0" w:line="88" w:lineRule="exact"/>
        <w:rPr>
          <w:rFonts w:ascii="Times New Roman" w:cs="Times New Roman" w:eastAsia="Times New Roman" w:hAnsi="Times New Roman"/>
          <w:sz w:val="18"/>
          <w:szCs w:val="18"/>
          <w:color w:val="auto"/>
        </w:rPr>
      </w:pPr>
    </w:p>
    <w:p>
      <w:pPr>
        <w:ind w:left="980" w:right="20" w:hanging="213"/>
        <w:spacing w:after="0" w:line="277"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Martin Marietta’s </w:t>
      </w:r>
      <w:r>
        <w:rPr>
          <w:rFonts w:ascii="Times New Roman" w:cs="Times New Roman" w:eastAsia="Times New Roman" w:hAnsi="Times New Roman"/>
          <w:sz w:val="18"/>
          <w:szCs w:val="18"/>
          <w:i w:val="1"/>
          <w:iCs w:val="1"/>
          <w:color w:val="auto"/>
        </w:rPr>
        <w:t>Corporate Governance Guidelines</w:t>
      </w:r>
      <w:r>
        <w:rPr>
          <w:rFonts w:ascii="Times New Roman" w:cs="Times New Roman" w:eastAsia="Times New Roman" w:hAnsi="Times New Roman"/>
          <w:sz w:val="18"/>
          <w:szCs w:val="18"/>
          <w:color w:val="auto"/>
        </w:rPr>
        <w:t xml:space="preserve"> adopted by the Board reflect the Board’s belief that at least two-thirds of all Directors should consist of independent Directors.</w:t>
      </w:r>
    </w:p>
    <w:p>
      <w:pPr>
        <w:spacing w:after="0" w:line="35" w:lineRule="exact"/>
        <w:rPr>
          <w:rFonts w:ascii="Times New Roman" w:cs="Times New Roman" w:eastAsia="Times New Roman" w:hAnsi="Times New Roman"/>
          <w:sz w:val="18"/>
          <w:szCs w:val="18"/>
          <w:color w:val="auto"/>
        </w:rPr>
      </w:pPr>
    </w:p>
    <w:p>
      <w:pPr>
        <w:ind w:left="980" w:right="20" w:hanging="213"/>
        <w:spacing w:after="0" w:line="277"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has adopted </w:t>
      </w:r>
      <w:r>
        <w:rPr>
          <w:rFonts w:ascii="Times New Roman" w:cs="Times New Roman" w:eastAsia="Times New Roman" w:hAnsi="Times New Roman"/>
          <w:sz w:val="18"/>
          <w:szCs w:val="18"/>
          <w:i w:val="1"/>
          <w:iCs w:val="1"/>
          <w:color w:val="auto"/>
        </w:rPr>
        <w:t>Guidelines for Director’s Independence</w:t>
      </w:r>
      <w:r>
        <w:rPr>
          <w:rFonts w:ascii="Times New Roman" w:cs="Times New Roman" w:eastAsia="Times New Roman" w:hAnsi="Times New Roman"/>
          <w:sz w:val="18"/>
          <w:szCs w:val="18"/>
          <w:color w:val="auto"/>
        </w:rPr>
        <w:t xml:space="preserve"> for Martin Marietta and has determined that eight of the ten Board members are independent under these Guidelines.</w:t>
      </w:r>
    </w:p>
    <w:p>
      <w:pPr>
        <w:spacing w:after="0" w:line="37"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adopted a policy of regularly scheduled executive sessions where the independent Directors meet without management.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Board Committees</w:t>
      </w:r>
    </w:p>
    <w:p>
      <w:pPr>
        <w:spacing w:after="0" w:line="94" w:lineRule="exact"/>
        <w:rPr>
          <w:sz w:val="20"/>
          <w:szCs w:val="20"/>
          <w:color w:val="auto"/>
        </w:rPr>
      </w:pPr>
    </w:p>
    <w:p>
      <w:pPr>
        <w:jc w:val="both"/>
        <w:ind w:left="980" w:right="20" w:hanging="213"/>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Marietta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55" w:lineRule="exact"/>
        <w:rPr>
          <w:rFonts w:ascii="Times New Roman" w:cs="Times New Roman" w:eastAsia="Times New Roman" w:hAnsi="Times New Roman"/>
          <w:sz w:val="18"/>
          <w:szCs w:val="18"/>
          <w:color w:val="auto"/>
        </w:rPr>
      </w:pPr>
    </w:p>
    <w:p>
      <w:pPr>
        <w:jc w:val="both"/>
        <w:ind w:left="980" w:hanging="213"/>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Martin Marietta, among other things.</w:t>
      </w:r>
    </w:p>
    <w:p>
      <w:pPr>
        <w:spacing w:after="0" w:line="55"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meets privately with each of management, representatives of Martin Marietta’s independent auditors, and Martin Marietta’s internal audit department.</w:t>
      </w:r>
    </w:p>
    <w:p>
      <w:pPr>
        <w:spacing w:after="0" w:line="38" w:lineRule="exact"/>
        <w:rPr>
          <w:rFonts w:ascii="Times New Roman" w:cs="Times New Roman" w:eastAsia="Times New Roman" w:hAnsi="Times New Roman"/>
          <w:sz w:val="18"/>
          <w:szCs w:val="18"/>
          <w:color w:val="auto"/>
        </w:rPr>
      </w:pPr>
    </w:p>
    <w:p>
      <w:pPr>
        <w:ind w:left="980" w:hanging="213"/>
        <w:spacing w:after="0" w:line="275"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Audit Committee do not receive any consulting or advisory fees or other compensation from Martin Marietta, other than Directors fees.</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Audit Committee have no affiliation with Martin Marietta other than as a Director of Martin Marietta.</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060"/>
          </w:cols>
          <w:pgMar w:left="440" w:top="463" w:right="399" w:bottom="1440" w:gutter="0" w:footer="0" w:header="0"/>
        </w:sectPr>
      </w:pPr>
    </w:p>
    <w:bookmarkStart w:id="22" w:name="page23"/>
    <w:bookmarkEnd w:id="22"/>
    <w:p>
      <w:pPr>
        <w:ind w:left="980" w:right="20" w:hanging="213"/>
        <w:spacing w:after="0" w:line="275"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39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5139055"/>
                    </a:xfrm>
                    <a:prstGeom prst="rect">
                      <a:avLst/>
                    </a:prstGeom>
                    <a:noFill/>
                  </pic:spPr>
                </pic:pic>
              </a:graphicData>
            </a:graphic>
          </wp:anchor>
        </w:drawing>
        <w:t>The Board of Directors has determined that the Audit Committee includes at least one member who is an audit committee financial expert as defined in SEC rules.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left="980" w:hanging="213"/>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its members are subject to self-assessments of their performance and the Board’s performance.</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access to members of Martin Marietta’s management team and, as necessary and appropriate, to independent advisors.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the Board evaluates the performance of the Chief Executive Officer.</w:t>
      </w:r>
    </w:p>
    <w:p>
      <w:pPr>
        <w:spacing w:after="0" w:line="90" w:lineRule="exact"/>
        <w:rPr>
          <w:rFonts w:ascii="Times New Roman" w:cs="Times New Roman" w:eastAsia="Times New Roman" w:hAnsi="Times New Roman"/>
          <w:sz w:val="18"/>
          <w:szCs w:val="18"/>
          <w:color w:val="auto"/>
        </w:rPr>
      </w:pPr>
    </w:p>
    <w:p>
      <w:pPr>
        <w:jc w:val="both"/>
        <w:ind w:left="980" w:right="20" w:hanging="213"/>
        <w:spacing w:after="0" w:line="26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Martin Marietta’s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are Martin Marietta’s Independent Directors?</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All of Martin Marietta’s Directors are non-employee Directors except Mr. Nye. Mr. Nye was elected to the Board as of January 1, 2010.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130"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 xml:space="preserve">In assessing the independence of its members, the Board has adopted for Martin Marietta a set of </w:t>
      </w:r>
      <w:r>
        <w:rPr>
          <w:rFonts w:ascii="Times New Roman" w:cs="Times New Roman" w:eastAsia="Times New Roman" w:hAnsi="Times New Roman"/>
          <w:sz w:val="18"/>
          <w:szCs w:val="18"/>
          <w:i w:val="1"/>
          <w:iCs w:val="1"/>
          <w:color w:val="auto"/>
        </w:rPr>
        <w:t>Guidelines for Director’s Independence</w:t>
      </w:r>
      <w:r>
        <w:rPr>
          <w:rFonts w:ascii="Times New Roman" w:cs="Times New Roman" w:eastAsia="Times New Roman" w:hAnsi="Times New Roman"/>
          <w:sz w:val="18"/>
          <w:szCs w:val="18"/>
          <w:color w:val="auto"/>
        </w:rPr>
        <w:t xml:space="preserve">. The Guidelines are posted and available for public viewing on Martin Marietta’s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 These Guidelines reflect the rules of the NYSE, applicable requirements of the SEC, and other standards determined by the Board to be important in assessing the independence of Board members. The Board has determined that all members of the Board, except Mr. Zelnak and Mr. Nye, are “independent” under these Guidelines. The Board of Directors has determined that no Director (except Mr. Zelnak and Mr. Nye), or any person or organization with which the Director has any affiliation, has a relationship with Martin Marietta that may interfere with the Director’s independence from Martin Marietta and its management.</w:t>
      </w:r>
    </w:p>
    <w:p>
      <w:pPr>
        <w:spacing w:after="0" w:line="141"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In making this “independence” determination, the Board considered other entities with which the Directors were affiliated and any business Martin Marietta had done with such entities. In that regard, Mr. Vinroot is a member of the law firm of Robinson, Bradshaw &amp; Hinson, P.A. located in Charlotte, North Carolina, which provided certain legal services to Martin Marietta in 2012. Mr. Vinroot did not work on any of the legal matters for Martin Marietta. The amount of fees paid to Robinson, Bradshaw &amp; Hinson, P.A. for such services in 2012 was approximately $51,000, representing less than 0.1% of the firm’s total revenues for the last fiscal year. Accordingly, the Board determined that Mr. Vinroot’s relationship with Martin Marietta, directly and as a partner of Robinson, Bradshaw &amp; Hinson, P.A., was not material for purposes of the independence determination.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 the independent Directors ever meet without management?</w:t>
      </w:r>
    </w:p>
    <w:p>
      <w:pPr>
        <w:spacing w:after="0" w:line="92" w:lineRule="exact"/>
        <w:rPr>
          <w:sz w:val="20"/>
          <w:szCs w:val="20"/>
          <w:color w:val="auto"/>
        </w:rPr>
      </w:pPr>
    </w:p>
    <w:p>
      <w:pPr>
        <w:jc w:val="both"/>
        <w:ind w:firstLine="775"/>
        <w:spacing w:after="0" w:line="342" w:lineRule="auto"/>
        <w:rPr>
          <w:sz w:val="20"/>
          <w:szCs w:val="20"/>
          <w:color w:val="auto"/>
        </w:rPr>
      </w:pPr>
      <w:r>
        <w:rPr>
          <w:rFonts w:ascii="Times New Roman" w:cs="Times New Roman" w:eastAsia="Times New Roman" w:hAnsi="Times New Roman"/>
          <w:sz w:val="16"/>
          <w:szCs w:val="16"/>
          <w:color w:val="auto"/>
        </w:rPr>
        <w:t xml:space="preserve">Martin Marietta’s </w:t>
      </w:r>
      <w:r>
        <w:rPr>
          <w:rFonts w:ascii="Times New Roman" w:cs="Times New Roman" w:eastAsia="Times New Roman" w:hAnsi="Times New Roman"/>
          <w:sz w:val="16"/>
          <w:szCs w:val="16"/>
          <w:i w:val="1"/>
          <w:iCs w:val="1"/>
          <w:color w:val="auto"/>
        </w:rPr>
        <w:t>Corporate Governance Guidelines</w:t>
      </w:r>
      <w:r>
        <w:rPr>
          <w:rFonts w:ascii="Times New Roman" w:cs="Times New Roman" w:eastAsia="Times New Roman" w:hAnsi="Times New Roman"/>
          <w:sz w:val="16"/>
          <w:szCs w:val="16"/>
          <w:color w:val="auto"/>
        </w:rPr>
        <w:t xml:space="preserve"> adopted by the Board provide that at least two Board meetings each year will include an executive session of the non-employee Directors to discuss such topics as they may choose, including a discussion of the performance of Martin Marietta’s</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060"/>
          </w:cols>
          <w:pgMar w:left="440" w:top="463" w:right="399" w:bottom="1440" w:gutter="0" w:footer="0" w:header="0"/>
        </w:sectPr>
      </w:pPr>
    </w:p>
    <w:bookmarkStart w:id="23" w:name="page24"/>
    <w:bookmarkEnd w:id="23"/>
    <w:p>
      <w:pPr>
        <w:jc w:val="both"/>
        <w:ind w:left="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16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916170"/>
                    </a:xfrm>
                    <a:prstGeom prst="rect">
                      <a:avLst/>
                    </a:prstGeom>
                    <a:noFill/>
                  </pic:spPr>
                </pic:pic>
              </a:graphicData>
            </a:graphic>
          </wp:anchor>
        </w:drawing>
        <w:t>Chairman and its Chief Executive Officer. In 2012, Martin Marietta’s non-employee Directors met 4 times in executive session without management, in addition to executive sessions held by committees of the Board. The Chair of the Nominating and Corporate Governance Committee, currently Mr. McDonald, a non-employee Director, presides at these executive sessions of non-employee Directors. In the absence of such Chair, the non-employee Directors would elect from among themselves a chair for such an executive session.</w:t>
      </w:r>
    </w:p>
    <w:p>
      <w:pPr>
        <w:spacing w:after="0" w:line="2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What is the Board’s leadership structure?</w:t>
      </w:r>
    </w:p>
    <w:p>
      <w:pPr>
        <w:spacing w:after="0" w:line="94" w:lineRule="exact"/>
        <w:rPr>
          <w:sz w:val="20"/>
          <w:szCs w:val="20"/>
          <w:color w:val="auto"/>
        </w:rPr>
      </w:pPr>
    </w:p>
    <w:p>
      <w:pPr>
        <w:jc w:val="both"/>
        <w:ind w:left="3" w:firstLine="775"/>
        <w:spacing w:after="0" w:line="254" w:lineRule="auto"/>
        <w:rPr>
          <w:sz w:val="20"/>
          <w:szCs w:val="20"/>
          <w:color w:val="auto"/>
        </w:rPr>
      </w:pPr>
      <w:r>
        <w:rPr>
          <w:rFonts w:ascii="Times New Roman" w:cs="Times New Roman" w:eastAsia="Times New Roman" w:hAnsi="Times New Roman"/>
          <w:sz w:val="18"/>
          <w:szCs w:val="18"/>
          <w:color w:val="auto"/>
        </w:rPr>
        <w:t>The roles of Chairman and Chief Executive Officer have been separate since 2010 to help provide a seamless transition in connection with the succession of Mr. Nye as Chief Executive Officer. We believe our Chief Executive Officer and our Chairman have an excellent working relationship that has allowed Mr. Nye to focus on the challenges Martin Marietta is facing in the current business environment. Martin Marietta also believes that the Board leadership structure wherein the Chairman of the Nominating and Corporate Governance Committee presides at executive sessions of the Board, at which Mr. Nye does not attend unless specifically invited, facilitates communication among the non-employee Directors. We believe Mr. Zelnak’s continuation as Chairman provides strong leadership for our Board, while also positioning our Chief Executive Officer as the leader of Martin Marietta as recognized by our customers, employees and other constituencies.</w:t>
      </w:r>
    </w:p>
    <w:p>
      <w:pPr>
        <w:spacing w:after="0" w:line="2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What is the Board’s role in risk oversight?</w:t>
      </w:r>
    </w:p>
    <w:p>
      <w:pPr>
        <w:spacing w:after="0" w:line="94" w:lineRule="exact"/>
        <w:rPr>
          <w:sz w:val="20"/>
          <w:szCs w:val="20"/>
          <w:color w:val="auto"/>
        </w:rPr>
      </w:pPr>
    </w:p>
    <w:p>
      <w:pPr>
        <w:jc w:val="both"/>
        <w:ind w:left="3" w:firstLine="775"/>
        <w:spacing w:after="0" w:line="255" w:lineRule="auto"/>
        <w:rPr>
          <w:sz w:val="20"/>
          <w:szCs w:val="20"/>
          <w:color w:val="auto"/>
        </w:rPr>
      </w:pPr>
      <w:r>
        <w:rPr>
          <w:rFonts w:ascii="Times New Roman" w:cs="Times New Roman" w:eastAsia="Times New Roman" w:hAnsi="Times New Roman"/>
          <w:sz w:val="18"/>
          <w:szCs w:val="18"/>
          <w:color w:val="auto"/>
        </w:rPr>
        <w:t>Our Board currently has eight independent members and only two non-independent members, the non-executive Chairman and the Chief Executive Officer.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139" w:lineRule="exact"/>
        <w:rPr>
          <w:sz w:val="20"/>
          <w:szCs w:val="20"/>
          <w:color w:val="auto"/>
        </w:rPr>
      </w:pPr>
    </w:p>
    <w:p>
      <w:pPr>
        <w:ind w:left="783"/>
        <w:spacing w:after="0"/>
        <w:rPr>
          <w:sz w:val="20"/>
          <w:szCs w:val="20"/>
          <w:color w:val="auto"/>
        </w:rPr>
      </w:pPr>
      <w:r>
        <w:rPr>
          <w:rFonts w:ascii="Times New Roman" w:cs="Times New Roman" w:eastAsia="Times New Roman" w:hAnsi="Times New Roman"/>
          <w:sz w:val="18"/>
          <w:szCs w:val="18"/>
          <w:color w:val="auto"/>
        </w:rPr>
        <w:t>The Board has overall responsibility for oversight of risk management. The Board believes that an effective risk management system will</w:t>
      </w:r>
    </w:p>
    <w:p>
      <w:pPr>
        <w:spacing w:after="0" w:line="21" w:lineRule="exact"/>
        <w:rPr>
          <w:sz w:val="20"/>
          <w:szCs w:val="20"/>
          <w:color w:val="auto"/>
        </w:rPr>
      </w:pPr>
    </w:p>
    <w:p>
      <w:pPr>
        <w:jc w:val="both"/>
        <w:ind w:left="3" w:hanging="3"/>
        <w:spacing w:after="0" w:line="254" w:lineRule="auto"/>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identify the material risks that Martin Marietta faces, (2) communicate necessary information with respect to material risks to senior executives and, as appropriate, to the Board or relevant Board Committee, (3) determine whether the risk is excessive or appropriate under the circumstances and designed to achieve a legitimate corporate goal, (4) implement risk management responses consistent with Martin Marietta’s risk profile, and (5) integrate risk management into Martin Marietta’s decision-making.</w:t>
      </w:r>
    </w:p>
    <w:p>
      <w:pPr>
        <w:spacing w:after="0" w:line="138" w:lineRule="exact"/>
        <w:rPr>
          <w:sz w:val="20"/>
          <w:szCs w:val="20"/>
          <w:color w:val="auto"/>
        </w:rPr>
      </w:pPr>
    </w:p>
    <w:p>
      <w:pPr>
        <w:jc w:val="both"/>
        <w:ind w:left="3" w:firstLine="775"/>
        <w:spacing w:after="0" w:line="256" w:lineRule="auto"/>
        <w:rPr>
          <w:sz w:val="20"/>
          <w:szCs w:val="20"/>
          <w:color w:val="auto"/>
        </w:rPr>
      </w:pPr>
      <w:r>
        <w:rPr>
          <w:rFonts w:ascii="Times New Roman" w:cs="Times New Roman" w:eastAsia="Times New Roman" w:hAnsi="Times New Roman"/>
          <w:sz w:val="18"/>
          <w:szCs w:val="18"/>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reviews with management regularly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27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063"/>
          </w:cols>
          <w:pgMar w:left="437" w:top="463" w:right="399" w:bottom="1440" w:gutter="0" w:footer="0" w:header="0"/>
        </w:sectPr>
      </w:pPr>
    </w:p>
    <w:bookmarkStart w:id="24" w:name="page25"/>
    <w:bookmarkEnd w:id="24"/>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81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881880"/>
                    </a:xfrm>
                    <a:prstGeom prst="rect">
                      <a:avLst/>
                    </a:prstGeom>
                    <a:noFill/>
                  </pic:spPr>
                </pic:pic>
              </a:graphicData>
            </a:graphic>
          </wp:anchor>
        </w:drawing>
        <w:t>The Board has designated the Audit Committee to take the lead in overseeing risks related to financial reporting, financial statements, internal control environment, internal audit, independent audit,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The Nominating and Corporate Governance Committee oversees aspects of risk related to the composition of the Board and its Committees, Board performance and best practices in corporate governance. The Ethics, Environment, Safety and Health Committee monitors risks in the areas of Martin Marietta’s ethics program, health, safety, and the environment.</w:t>
      </w:r>
    </w:p>
    <w:p>
      <w:pPr>
        <w:spacing w:after="0" w:line="141"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While the Board oversees Martin Marietta’s risk management, the executive officers are responsible for the day-to-day risk management processes. We believe this division of responsibilities is the most effective approach for addressing the risks facing our Corporation and is appropriate whether the positions of Chairman and Chief Executive Officer are separate or held by the same individual.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would interested parties make their concerns known to the independent Directors?</w:t>
      </w:r>
    </w:p>
    <w:p>
      <w:pPr>
        <w:spacing w:after="0" w:line="94"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139"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36"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its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often did the Board meet during 2012?</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Martin Marietta’s Board of Directors held 6 meetings during 2012, five of which were regularly scheduled meetings and one of which was a special meeting. There were also a total of 22 committee meetings in 2012. In addition, management confers frequently with its Directors on an informal basis to discuss Corporation affairs.</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60"/>
          </w:cols>
          <w:pgMar w:left="440" w:top="463"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56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5156200"/>
                    </a:xfrm>
                    <a:prstGeom prst="rect">
                      <a:avLst/>
                    </a:prstGeom>
                    <a:noFill/>
                  </pic:spPr>
                </pic:pic>
              </a:graphicData>
            </a:graphic>
          </wp:anchor>
        </w:drawing>
        <w:t>How many times did Directors attend meetings of the Board and its Committees?</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In 2012, all Directors attended all of the meetings of the Board of Directors. All directors attended all of the meetings of the committees of the Board on which they served (during the periods that they served).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the Directors attend the Annual Meeting?</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Martin Marietta’s Directors are expected to attend Martin Marietta’s Annual Meeting of Shareholders. All Directors attended the 2012 Annual Meeting of Shareholders.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Directors compensated?</w:t>
      </w:r>
    </w:p>
    <w:p>
      <w:pPr>
        <w:spacing w:after="0" w:line="94" w:lineRule="exact"/>
        <w:rPr>
          <w:sz w:val="20"/>
          <w:szCs w:val="20"/>
          <w:color w:val="auto"/>
        </w:rPr>
      </w:pPr>
    </w:p>
    <w:p>
      <w:pPr>
        <w:jc w:val="both"/>
        <w:ind w:firstLine="775"/>
        <w:spacing w:after="0" w:line="310" w:lineRule="auto"/>
        <w:rPr>
          <w:sz w:val="20"/>
          <w:szCs w:val="20"/>
          <w:color w:val="auto"/>
        </w:rPr>
      </w:pPr>
      <w:r>
        <w:rPr>
          <w:rFonts w:ascii="Times New Roman" w:cs="Times New Roman" w:eastAsia="Times New Roman" w:hAnsi="Times New Roman"/>
          <w:sz w:val="16"/>
          <w:szCs w:val="16"/>
          <w:color w:val="auto"/>
        </w:rPr>
        <w:t xml:space="preserve">A table showing the compensation paid by Martin Marietta to the individuals serving as Directors in 2012, other than Mr. Nye, is included in the section of this proxy statement entitled “DIRECTOR COMPENSATION – </w:t>
      </w:r>
      <w:r>
        <w:rPr>
          <w:rFonts w:ascii="Times New Roman" w:cs="Times New Roman" w:eastAsia="Times New Roman" w:hAnsi="Times New Roman"/>
          <w:sz w:val="16"/>
          <w:szCs w:val="16"/>
          <w:i w:val="1"/>
          <w:iCs w:val="1"/>
          <w:color w:val="auto"/>
        </w:rPr>
        <w:t>Director Compensation Table.</w:t>
      </w:r>
      <w:r>
        <w:rPr>
          <w:rFonts w:ascii="Times New Roman" w:cs="Times New Roman" w:eastAsia="Times New Roman" w:hAnsi="Times New Roman"/>
          <w:sz w:val="16"/>
          <w:szCs w:val="16"/>
          <w:color w:val="auto"/>
        </w:rPr>
        <w:t>” Mr. Nye’s compensation as an executive officer of Martin Marietta is shown in the section entitled “EXECUTIVE COMPENSATION” and he received no additional compensation for service as a Director.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Committees has the Board established?</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130" w:lineRule="exact"/>
        <w:rPr>
          <w:sz w:val="20"/>
          <w:szCs w:val="20"/>
          <w:color w:val="auto"/>
        </w:rPr>
      </w:pPr>
    </w:p>
    <w:p>
      <w:pPr>
        <w:jc w:val="both"/>
        <w:ind w:firstLine="775"/>
        <w:spacing w:after="0" w:line="293"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Audit Committee</w:t>
      </w:r>
      <w:r>
        <w:rPr>
          <w:rFonts w:ascii="Times New Roman" w:cs="Times New Roman" w:eastAsia="Times New Roman" w:hAnsi="Times New Roman"/>
          <w:sz w:val="16"/>
          <w:szCs w:val="16"/>
          <w:color w:val="auto"/>
        </w:rPr>
        <w:t>, which is composed entirely of non-employee, independent Directors, held 8 meetings during 2012. The Audit Committee meets periodically and separately in executive sessions with management, the independent auditors, and Martin Marietta’s internal auditors to review the activities of each. The Audit Committee possesses and may exercise the powers of the Board of Directors relating to accounting, auditing, and financial reporting matters of Martin Marietta,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Martin Marietta’s independent auditors. Among other duties, the Audit Committee:</w:t>
      </w:r>
    </w:p>
    <w:p>
      <w:pPr>
        <w:spacing w:after="0" w:line="32" w:lineRule="exact"/>
        <w:rPr>
          <w:sz w:val="20"/>
          <w:szCs w:val="20"/>
          <w:color w:val="auto"/>
        </w:rPr>
      </w:pPr>
    </w:p>
    <w:p>
      <w:pPr>
        <w:ind w:left="980" w:hanging="213"/>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the independent auditors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pre-approves all audit and non-audit services provided to Martin Marietta by the independent auditors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independence of the independent auditors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work to be performed by the independent auditors</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to be paid to the independent auditors</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accounting and reporting principles used by Martin Marietta</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060"/>
          </w:cols>
          <w:pgMar w:left="440" w:top="459" w:right="399" w:bottom="1440" w:gutter="0" w:footer="0" w:header="0"/>
        </w:sectPr>
      </w:pPr>
    </w:p>
    <w:bookmarkStart w:id="26" w:name="page27"/>
    <w:bookmarkEnd w:id="26"/>
    <w:p>
      <w:pPr>
        <w:ind w:left="1420" w:hanging="437"/>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policies and procedures concerning audits, accounting, and financial controls</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to improve existing practices</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the audit and the reports of the independent auditors</w:t>
      </w:r>
    </w:p>
    <w:p>
      <w:pPr>
        <w:spacing w:after="0" w:line="90"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Martin Marietta’s annual audited financial statements and quarterly financial statements with management and the independent auditors</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discusses management’s assessment of the effectiveness of Martin Marietta’s system of internal control over financial reporting</w:t>
      </w:r>
    </w:p>
    <w:p>
      <w:pPr>
        <w:spacing w:after="0" w:line="113" w:lineRule="exact"/>
        <w:rPr>
          <w:rFonts w:ascii="Times New Roman" w:cs="Times New Roman" w:eastAsia="Times New Roman" w:hAnsi="Times New Roman"/>
          <w:sz w:val="16"/>
          <w:szCs w:val="16"/>
          <w:color w:val="auto"/>
        </w:rPr>
      </w:pPr>
    </w:p>
    <w:p>
      <w:pPr>
        <w:ind w:left="980" w:right="20" w:hanging="213"/>
        <w:spacing w:after="0" w:line="275"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Martin Marietta’s earnings press releases, as well as financial information and earnings guidance provided to analysts and rating agencies</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matters related to risk assessment and risk management and how the process is handled by management</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allegations, if ever made, of possible financial fraud or other financial improprieties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clear hiring policies for employees or former employees of the independent auditors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qualifications and the plan and scope of work of the corporate internal audit function</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an audit committee report as required by the SEC to be in this proxy statement</w:t>
      </w:r>
    </w:p>
    <w:p>
      <w:pPr>
        <w:spacing w:after="0" w:line="171"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Times New Roman" w:cs="Times New Roman" w:eastAsia="Times New Roman" w:hAnsi="Times New Roman"/>
          <w:sz w:val="18"/>
          <w:szCs w:val="18"/>
          <w:i w:val="1"/>
          <w:iCs w:val="1"/>
          <w:color w:val="auto"/>
        </w:rPr>
        <w:t>Guidelines for Director’s Independence</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Ethics, Environment, Safety and Health Committee</w:t>
      </w:r>
      <w:r>
        <w:rPr>
          <w:rFonts w:ascii="Times New Roman" w:cs="Times New Roman" w:eastAsia="Times New Roman" w:hAnsi="Times New Roman"/>
          <w:sz w:val="18"/>
          <w:szCs w:val="18"/>
          <w:color w:val="auto"/>
        </w:rPr>
        <w:t xml:space="preserve"> held 2 meetings during 2012. It monitors compliance with Martin Marietta’s </w:t>
      </w:r>
      <w:r>
        <w:rPr>
          <w:rFonts w:ascii="Times New Roman" w:cs="Times New Roman" w:eastAsia="Times New Roman" w:hAnsi="Times New Roman"/>
          <w:sz w:val="18"/>
          <w:szCs w:val="18"/>
          <w:i w:val="1"/>
          <w:iCs w:val="1"/>
          <w:color w:val="auto"/>
        </w:rPr>
        <w:t>Code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Ethics and Standards of Conduct </w:t>
      </w:r>
      <w:r>
        <w:rPr>
          <w:rFonts w:ascii="Times New Roman" w:cs="Times New Roman" w:eastAsia="Times New Roman" w:hAnsi="Times New Roman"/>
          <w:sz w:val="18"/>
          <w:szCs w:val="18"/>
          <w:color w:val="auto"/>
        </w:rPr>
        <w:t>and reviews all matters presented to it by the Corporate Ethics Officer concerning the ethical practices of Martin Marietta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Directors, officers, and employees, including conflicts or potential conflicts of interest between Martin Marietta and any of its Directors, officers, and employees. The Committee also reviews and monitors the adequacy of Martin Marietta’s policies and procedures and organizational structure for ensuring compliance with environmental laws and regulations, and matters relating to health and safety. The Committee’s current members are Directors Vinroot (Chair), Menaker, Perez, Quillen, and Rediker.</w:t>
      </w:r>
    </w:p>
    <w:p>
      <w:pPr>
        <w:spacing w:after="0" w:line="139" w:lineRule="exact"/>
        <w:rPr>
          <w:sz w:val="20"/>
          <w:szCs w:val="20"/>
          <w:color w:val="auto"/>
        </w:rPr>
      </w:pPr>
    </w:p>
    <w:p>
      <w:pPr>
        <w:jc w:val="both"/>
        <w:ind w:firstLine="775"/>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Executive Committee</w:t>
      </w:r>
      <w:r>
        <w:rPr>
          <w:rFonts w:ascii="Times New Roman" w:cs="Times New Roman" w:eastAsia="Times New Roman" w:hAnsi="Times New Roman"/>
          <w:sz w:val="18"/>
          <w:szCs w:val="18"/>
          <w:color w:val="auto"/>
        </w:rPr>
        <w:t xml:space="preserve"> held no meetings during 2012.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by statute, the Articles of Incorporation or Bylaws reserved to the full Board. The Committee’s current members are Directors Zelnak (Chair), McDonald, and Menaker.</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060"/>
          </w:cols>
          <w:pgMar w:left="440" w:top="463" w:right="399" w:bottom="1440" w:gutter="0" w:footer="0" w:header="0"/>
        </w:sectPr>
      </w:pPr>
    </w:p>
    <w:bookmarkStart w:id="27" w:name="page28"/>
    <w:bookmarkEnd w:id="27"/>
    <w:p>
      <w:pPr>
        <w:jc w:val="both"/>
        <w:ind w:firstLine="775"/>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41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641850"/>
                    </a:xfrm>
                    <a:prstGeom prst="rect">
                      <a:avLst/>
                    </a:prstGeom>
                    <a:noFill/>
                  </pic:spPr>
                </pic:pic>
              </a:graphicData>
            </a:graphic>
          </wp:anchor>
        </w:drawing>
        <w:t xml:space="preserve">The </w:t>
      </w:r>
      <w:r>
        <w:rPr>
          <w:rFonts w:ascii="Times New Roman" w:cs="Times New Roman" w:eastAsia="Times New Roman" w:hAnsi="Times New Roman"/>
          <w:sz w:val="18"/>
          <w:szCs w:val="18"/>
          <w:b w:val="1"/>
          <w:bCs w:val="1"/>
          <w:color w:val="auto"/>
        </w:rPr>
        <w:t>Finance Committee</w:t>
      </w:r>
      <w:r>
        <w:rPr>
          <w:rFonts w:ascii="Times New Roman" w:cs="Times New Roman" w:eastAsia="Times New Roman" w:hAnsi="Times New Roman"/>
          <w:sz w:val="18"/>
          <w:szCs w:val="18"/>
          <w:color w:val="auto"/>
        </w:rPr>
        <w:t xml:space="preserve"> held 5 meetings during 2012. It has been delegated general oversight powers related to the management of the financial affairs of Martin Marietta,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and Rediker.</w:t>
      </w:r>
    </w:p>
    <w:p>
      <w:pPr>
        <w:spacing w:after="0" w:line="134"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Management Development and Compensation Committee</w:t>
      </w:r>
      <w:r>
        <w:rPr>
          <w:rFonts w:ascii="Times New Roman" w:cs="Times New Roman" w:eastAsia="Times New Roman" w:hAnsi="Times New Roman"/>
          <w:sz w:val="18"/>
          <w:szCs w:val="18"/>
          <w:color w:val="auto"/>
        </w:rPr>
        <w:t xml:space="preserve"> held 5 meetings during 2012.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possesses and may exercise the powers of the Board of Directors relating to management development and compensation matters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60" w:lineRule="exact"/>
        <w:rPr>
          <w:sz w:val="20"/>
          <w:szCs w:val="20"/>
          <w:color w:val="auto"/>
        </w:rPr>
      </w:pPr>
    </w:p>
    <w:p>
      <w:pPr>
        <w:ind w:left="980" w:hanging="213"/>
        <w:spacing w:after="0" w:line="275"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overall strategy with respect to compensation for officers and management to enable Martin Marietta to attract and retain qualified employees</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executive succession and management development plans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the Board’s responsibilities relating to compensation of Martin Marietta’s directors and elected officers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Martin Marietta’s equity and other compensation plans, as amended from time to time</w:t>
      </w:r>
    </w:p>
    <w:p>
      <w:pPr>
        <w:spacing w:after="0" w:line="90" w:lineRule="exact"/>
        <w:rPr>
          <w:rFonts w:ascii="Times New Roman" w:cs="Times New Roman" w:eastAsia="Times New Roman" w:hAnsi="Times New Roman"/>
          <w:sz w:val="18"/>
          <w:szCs w:val="18"/>
          <w:color w:val="auto"/>
        </w:rPr>
      </w:pPr>
    </w:p>
    <w:p>
      <w:pPr>
        <w:ind w:left="980" w:hanging="213"/>
        <w:spacing w:after="0" w:line="275"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the Compensation Discussion and Analysis and produce a compensation committee report as required by the SEC to be included in this proxy statement</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of Martin Marietta’s Benefit Plan Committee, which administers Martin Marietta’s defined benefit and contribution plans</w:t>
      </w:r>
    </w:p>
    <w:p>
      <w:pPr>
        <w:spacing w:after="0" w:line="1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Committee has the power, in its sole discretion, to determine the compensation and benefits to be paid for all elected officers and employees.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also approves and administers the grants of stock options and any other equity-based awards that may be granted by Martin Marietta.</w:t>
      </w:r>
    </w:p>
    <w:p>
      <w:pPr>
        <w:spacing w:after="0" w:line="159"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The Committee reviews and approves Martin Marietta’s goals and objectives for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060"/>
          </w:cols>
          <w:pgMar w:left="440" w:top="461" w:right="399" w:bottom="1440" w:gutter="0" w:footer="0" w:header="0"/>
        </w:sectPr>
      </w:pPr>
    </w:p>
    <w:bookmarkStart w:id="28" w:name="page29"/>
    <w:bookmarkEnd w:id="28"/>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30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830445"/>
                    </a:xfrm>
                    <a:prstGeom prst="rect">
                      <a:avLst/>
                    </a:prstGeom>
                    <a:noFill/>
                  </pic:spPr>
                </pic:pic>
              </a:graphicData>
            </a:graphic>
          </wp:anchor>
        </w:drawing>
        <w:t>under its charter, including to the Chair of the Committee, as it deems appropriate. The Committee also reviews with management at least annually plans for the orderly development and succession of executive management of Martin Marietta. The Committee’s current members are Directors Cole (Chair), McDonald, Menaker and Quillen.</w:t>
      </w:r>
    </w:p>
    <w:p>
      <w:pPr>
        <w:spacing w:after="0" w:line="130" w:lineRule="exact"/>
        <w:rPr>
          <w:sz w:val="20"/>
          <w:szCs w:val="20"/>
          <w:color w:val="auto"/>
        </w:rPr>
      </w:pPr>
    </w:p>
    <w:p>
      <w:pPr>
        <w:jc w:val="both"/>
        <w:ind w:firstLine="775"/>
        <w:spacing w:after="0" w:line="302"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Nominating and Corporate Governance Committee</w:t>
      </w:r>
      <w:r>
        <w:rPr>
          <w:rFonts w:ascii="Times New Roman" w:cs="Times New Roman" w:eastAsia="Times New Roman" w:hAnsi="Times New Roman"/>
          <w:sz w:val="16"/>
          <w:szCs w:val="16"/>
          <w:color w:val="auto"/>
        </w:rPr>
        <w:t xml:space="preserve"> held 2 meetings in 2012. The Committee is composed entirely of non-employee, independent Directors, as required by the rules of the NYSE. The Committee possesses and may exercise the powers of the Board of Directors relating to the process of governance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21" w:lineRule="exact"/>
        <w:rPr>
          <w:sz w:val="20"/>
          <w:szCs w:val="20"/>
          <w:color w:val="auto"/>
        </w:rPr>
      </w:pPr>
    </w:p>
    <w:p>
      <w:pPr>
        <w:ind w:left="980" w:hanging="213"/>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identification and selection of qualified Board and Committee members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director nominees for the next annual meeting of shareholders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development and implementation of a set of corporate governance principles applicable to Martin Marietta</w:t>
      </w:r>
    </w:p>
    <w:p>
      <w:pPr>
        <w:spacing w:after="0" w:line="171" w:lineRule="exact"/>
        <w:rPr>
          <w:sz w:val="20"/>
          <w:szCs w:val="20"/>
          <w:color w:val="auto"/>
        </w:rPr>
      </w:pPr>
    </w:p>
    <w:p>
      <w:pPr>
        <w:jc w:val="both"/>
        <w:ind w:firstLine="775"/>
        <w:spacing w:after="0" w:line="339" w:lineRule="auto"/>
        <w:rPr>
          <w:sz w:val="20"/>
          <w:szCs w:val="20"/>
          <w:color w:val="auto"/>
        </w:rPr>
      </w:pPr>
      <w:r>
        <w:rPr>
          <w:rFonts w:ascii="Times New Roman" w:cs="Times New Roman" w:eastAsia="Times New Roman" w:hAnsi="Times New Roman"/>
          <w:sz w:val="16"/>
          <w:szCs w:val="16"/>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72" w:lineRule="exact"/>
        <w:rPr>
          <w:sz w:val="20"/>
          <w:szCs w:val="20"/>
          <w:color w:val="auto"/>
        </w:rPr>
      </w:pPr>
    </w:p>
    <w:p>
      <w:pPr>
        <w:jc w:val="both"/>
        <w:ind w:firstLine="775"/>
        <w:spacing w:after="0" w:line="259" w:lineRule="auto"/>
        <w:rPr>
          <w:sz w:val="20"/>
          <w:szCs w:val="20"/>
          <w:color w:val="auto"/>
        </w:rPr>
      </w:pPr>
      <w:r>
        <w:rPr>
          <w:rFonts w:ascii="Times New Roman" w:cs="Times New Roman" w:eastAsia="Times New Roman" w:hAnsi="Times New Roman"/>
          <w:sz w:val="18"/>
          <w:szCs w:val="18"/>
          <w:color w:val="auto"/>
        </w:rPr>
        <w:t xml:space="preserve">Upon the recommendation of this Committee, the Board of Directors has adopted a set of </w:t>
      </w:r>
      <w:r>
        <w:rPr>
          <w:rFonts w:ascii="Times New Roman" w:cs="Times New Roman" w:eastAsia="Times New Roman" w:hAnsi="Times New Roman"/>
          <w:sz w:val="18"/>
          <w:szCs w:val="18"/>
          <w:i w:val="1"/>
          <w:iCs w:val="1"/>
          <w:color w:val="auto"/>
        </w:rPr>
        <w:t>Corporate Governance Guidelines</w:t>
      </w:r>
      <w:r>
        <w:rPr>
          <w:rFonts w:ascii="Times New Roman" w:cs="Times New Roman" w:eastAsia="Times New Roman" w:hAnsi="Times New Roman"/>
          <w:sz w:val="18"/>
          <w:szCs w:val="18"/>
          <w:color w:val="auto"/>
        </w:rPr>
        <w:t xml:space="preserve"> for Martin Marietta. The Guidelines are posted and available for public viewing on Martin Marietta’s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 A copy may also be obtained upon request from Martin Marietta’s Corporate Secretary. Additional information concerning the corporate governance process of Martin Marietta is contained in the section entitled “CORPORATE GOVERNANCE MATTERS”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the Nominating and Corporate Governance Committee consider any Director candidates recommended by shareholders?</w:t>
      </w:r>
    </w:p>
    <w:p>
      <w:pPr>
        <w:spacing w:after="0" w:line="94" w:lineRule="exact"/>
        <w:rPr>
          <w:sz w:val="20"/>
          <w:szCs w:val="20"/>
          <w:color w:val="auto"/>
        </w:rPr>
      </w:pPr>
    </w:p>
    <w:p>
      <w:pPr>
        <w:jc w:val="both"/>
        <w:ind w:firstLine="775"/>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Corporate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Corporate Secretary of Martin Marietta. Since the 2012 annual meeting, Martin Marietta has not made any material changes to the procedures by which shareholders may recommend nominees to Martin Marietta’s Board of Directors. Additional information is contained in the section entitled “SHAREHOLDERS’ PROPOSALS FOR 2014 ANNUAL MEETING” below.</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60"/>
          </w:cols>
          <w:pgMar w:left="440" w:top="463"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58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658995"/>
                    </a:xfrm>
                    <a:prstGeom prst="rect">
                      <a:avLst/>
                    </a:prstGeom>
                    <a:noFill/>
                  </pic:spPr>
                </pic:pic>
              </a:graphicData>
            </a:graphic>
          </wp:anchor>
        </w:drawing>
        <w:t>How does the Board select nominees for the Board?</w:t>
      </w:r>
    </w:p>
    <w:p>
      <w:pPr>
        <w:spacing w:after="0" w:line="94" w:lineRule="exact"/>
        <w:rPr>
          <w:sz w:val="20"/>
          <w:szCs w:val="20"/>
          <w:color w:val="auto"/>
        </w:rPr>
      </w:pPr>
    </w:p>
    <w:p>
      <w:pPr>
        <w:jc w:val="both"/>
        <w:ind w:firstLine="775"/>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43"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 xml:space="preserve">In evaluating any potential candidate, the Nominating and Corporate Governance Committee considers the extent to which the candidate has the personal characteristics and core competencies outlined in the </w:t>
      </w:r>
      <w:r>
        <w:rPr>
          <w:rFonts w:ascii="Times New Roman" w:cs="Times New Roman" w:eastAsia="Times New Roman" w:hAnsi="Times New Roman"/>
          <w:sz w:val="18"/>
          <w:szCs w:val="18"/>
          <w:i w:val="1"/>
          <w:iCs w:val="1"/>
          <w:color w:val="auto"/>
        </w:rPr>
        <w:t>Guidelines for Potential New Board Members</w:t>
      </w:r>
      <w:r>
        <w:rPr>
          <w:rFonts w:ascii="Times New Roman" w:cs="Times New Roman" w:eastAsia="Times New Roman" w:hAnsi="Times New Roman"/>
          <w:sz w:val="18"/>
          <w:szCs w:val="18"/>
          <w:color w:val="auto"/>
        </w:rPr>
        <w:t xml:space="preserve"> adopted by the Committee, and takes into account all other factors it considers appropriate. A copy of these Guidelines is attached to this proxy statement as Appendix A.</w:t>
      </w:r>
    </w:p>
    <w:p>
      <w:pPr>
        <w:spacing w:after="0" w:line="132" w:lineRule="exact"/>
        <w:rPr>
          <w:sz w:val="20"/>
          <w:szCs w:val="20"/>
          <w:color w:val="auto"/>
        </w:rPr>
      </w:pPr>
    </w:p>
    <w:p>
      <w:pPr>
        <w:jc w:val="both"/>
        <w:ind w:firstLine="775"/>
        <w:spacing w:after="0" w:line="290" w:lineRule="auto"/>
        <w:rPr>
          <w:sz w:val="20"/>
          <w:szCs w:val="20"/>
          <w:color w:val="auto"/>
        </w:rPr>
      </w:pPr>
      <w:r>
        <w:rPr>
          <w:rFonts w:ascii="Times New Roman" w:cs="Times New Roman" w:eastAsia="Times New Roman" w:hAnsi="Times New Roman"/>
          <w:sz w:val="16"/>
          <w:szCs w:val="16"/>
          <w:color w:val="auto"/>
        </w:rPr>
        <w:t>The Board of Directors, acting through the Committee, is responsible for presenting for shareholder consideration a group of Board candidates that, taken together, have the experience, qualifications, attributes and skills appropriate for functioning effectively as a Board and providing oversight to Martin Marietta. The Committee looks for certain characteristics common to all Board members, including integrity, strong professional reputation, mature business judgment, record of achievement, constructive and collegial personal attributes, and the ability and commitment to devote sufficient time and energy to Board service. In addition, the Committee seeks to include on the Board a complementary mix of individuals with diverse backgrounds and skills reflecting the broad set of challenges that the Board confronts. These individual qualities include matters such as experience in the mining or manufacturing industry, technical experience in financial or accounting matters, experience gained in situations comparable to Martin Marietta’s which has grown through acquisitions, leadership experience, public company Board membership or executive officer experience, and relevant geographical experience.</w:t>
      </w:r>
    </w:p>
    <w:p>
      <w:pPr>
        <w:spacing w:after="0" w:line="112"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 xml:space="preserve">Although the Committee does not have a formal policy regarding Board diversity, matters of diversity (including diversity in professional experience, geographic background reflecting Martin Marietta’s geographic base, education, ethnic background and gender) are included in the many characteristics considered by the Committee in evaluating nominees for election as directors as reflected in Martin Marietta’s </w:t>
      </w:r>
      <w:r>
        <w:rPr>
          <w:rFonts w:ascii="Times New Roman" w:cs="Times New Roman" w:eastAsia="Times New Roman" w:hAnsi="Times New Roman"/>
          <w:sz w:val="18"/>
          <w:szCs w:val="18"/>
          <w:i w:val="1"/>
          <w:iCs w:val="1"/>
          <w:color w:val="auto"/>
        </w:rPr>
        <w:t>Guidelines for Potential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Members</w:t>
      </w:r>
      <w:r>
        <w:rPr>
          <w:rFonts w:ascii="Times New Roman" w:cs="Times New Roman" w:eastAsia="Times New Roman" w:hAnsi="Times New Roman"/>
          <w:sz w:val="18"/>
          <w:szCs w:val="18"/>
          <w:color w:val="auto"/>
        </w:rPr>
        <w:t>. The Committee considers all candidates in the context of the qualifications enumerated above, as well as their complementary experiences,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backgrounds and skills, in an effort to maintain a strong and effective Board of Directors. The Nominating and Corporate Governance Committee also assesses, through discussions at Committee and Board of Directors meetings, the effectiveness of its efforts with respect to diversity and consideration of its </w:t>
      </w:r>
      <w:r>
        <w:rPr>
          <w:rFonts w:ascii="Times New Roman" w:cs="Times New Roman" w:eastAsia="Times New Roman" w:hAnsi="Times New Roman"/>
          <w:sz w:val="18"/>
          <w:szCs w:val="18"/>
          <w:i w:val="1"/>
          <w:iCs w:val="1"/>
          <w:color w:val="auto"/>
        </w:rPr>
        <w:t xml:space="preserve">Guidelines for Potential New Board Members </w:t>
      </w:r>
      <w:r>
        <w:rPr>
          <w:rFonts w:ascii="Times New Roman" w:cs="Times New Roman" w:eastAsia="Times New Roman" w:hAnsi="Times New Roman"/>
          <w:sz w:val="18"/>
          <w:szCs w:val="18"/>
          <w:color w:val="auto"/>
        </w:rPr>
        <w:t>when it periodically reviews the overall composition of the Board and as part of its self-evaluation process.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these</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60"/>
          </w:cols>
          <w:pgMar w:left="440" w:top="459" w:right="399" w:bottom="1440" w:gutter="0" w:footer="0" w:header="0"/>
        </w:sectPr>
      </w:pPr>
    </w:p>
    <w:bookmarkStart w:id="30" w:name="page31"/>
    <w:bookmarkEnd w:id="30"/>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qualities, the Committee has considered the special characteristics outlined in the Directors’ biographies on pages 8-14 of this Proxy Statement, which has led the Committee to conclude that the current Board members, including the nominees for election, have the appropriate characteristics to serve as members of the Board of Directors.</w:t>
      </w:r>
    </w:p>
    <w:p>
      <w:pPr>
        <w:spacing w:after="0" w:line="132"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Each nominee approved by the Nominating and Corporate Governance Committee and recommended for election at the 2013 Annual Meeting is a current Director standing for re-election. The Committee received no additional recommendations for Director nominees for consideration at the annual meeting.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 the Board Committees have charters? How can shareholders obtain them?</w:t>
      </w:r>
    </w:p>
    <w:p>
      <w:pPr>
        <w:spacing w:after="0" w:line="94"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Martin Marietta’s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 xml:space="preserve">, along with copies of Martin Marietta’s </w:t>
      </w:r>
      <w:r>
        <w:rPr>
          <w:rFonts w:ascii="Times New Roman" w:cs="Times New Roman" w:eastAsia="Times New Roman" w:hAnsi="Times New Roman"/>
          <w:sz w:val="18"/>
          <w:szCs w:val="18"/>
          <w:i w:val="1"/>
          <w:iCs w:val="1"/>
          <w:color w:val="auto"/>
        </w:rPr>
        <w:t>Corporate Governance Guidelines, Code of Ethics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Standards of Conduct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Guidelines for Director’s Independence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transactions with persons related to Martin Marietta reviewed?</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w:t>
      </w:r>
    </w:p>
    <w:p>
      <w:pPr>
        <w:spacing w:after="0" w:line="130"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 xml:space="preserve">Each director, executive officer, and nominee for director of Martin Marietta receives and agrees to abide by Martin Marietta’s </w:t>
      </w:r>
      <w:r>
        <w:rPr>
          <w:rFonts w:ascii="Times New Roman" w:cs="Times New Roman" w:eastAsia="Times New Roman" w:hAnsi="Times New Roman"/>
          <w:sz w:val="18"/>
          <w:szCs w:val="18"/>
          <w:i w:val="1"/>
          <w:iCs w:val="1"/>
          <w:color w:val="auto"/>
        </w:rPr>
        <w:t>Code of Ethics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 of Conduct</w:t>
      </w:r>
      <w:r>
        <w:rPr>
          <w:rFonts w:ascii="Times New Roman" w:cs="Times New Roman" w:eastAsia="Times New Roman" w:hAnsi="Times New Roman"/>
          <w:sz w:val="18"/>
          <w:szCs w:val="18"/>
          <w:color w:val="auto"/>
        </w:rPr>
        <w:t>. Martin Marietta considers that any transaction in which Martin Marietta participates and in which any related person of Martin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Marietta has a direct or indirect material interest will be subject to Martin Marietta’s </w:t>
      </w:r>
      <w:r>
        <w:rPr>
          <w:rFonts w:ascii="Times New Roman" w:cs="Times New Roman" w:eastAsia="Times New Roman" w:hAnsi="Times New Roman"/>
          <w:sz w:val="18"/>
          <w:szCs w:val="18"/>
          <w:i w:val="1"/>
          <w:iCs w:val="1"/>
          <w:color w:val="auto"/>
        </w:rPr>
        <w:t>Code of Ethics and Standards of Conduct</w:t>
      </w:r>
      <w:r>
        <w:rPr>
          <w:rFonts w:ascii="Times New Roman" w:cs="Times New Roman" w:eastAsia="Times New Roman" w:hAnsi="Times New Roman"/>
          <w:sz w:val="18"/>
          <w:szCs w:val="18"/>
          <w:color w:val="auto"/>
        </w:rPr>
        <w:t xml:space="preserve"> and subject to review, approval or ratification, as appropriate under the circumstances, by Martin Marietta under the standards enumerated in Martin Marietta’s </w:t>
      </w:r>
      <w:r>
        <w:rPr>
          <w:rFonts w:ascii="Times New Roman" w:cs="Times New Roman" w:eastAsia="Times New Roman" w:hAnsi="Times New Roman"/>
          <w:sz w:val="18"/>
          <w:szCs w:val="18"/>
          <w:i w:val="1"/>
          <w:iCs w:val="1"/>
          <w:color w:val="auto"/>
        </w:rPr>
        <w:t>Code of Ethics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Standards of Conduct. </w:t>
      </w:r>
      <w:r>
        <w:rPr>
          <w:rFonts w:ascii="Times New Roman" w:cs="Times New Roman" w:eastAsia="Times New Roman" w:hAnsi="Times New Roman"/>
          <w:sz w:val="18"/>
          <w:szCs w:val="18"/>
          <w:color w:val="auto"/>
        </w:rPr>
        <w:t>If a proposed transaction is one in which a Director of Martin Marietta has an actual or potential conflict of interest, it will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review by the Chairman of the Board of Directors and the Chairman of the Nominating and Corporate Governance Committee.</w:t>
      </w:r>
    </w:p>
    <w:p>
      <w:pPr>
        <w:spacing w:after="0" w:line="139" w:lineRule="exact"/>
        <w:rPr>
          <w:sz w:val="20"/>
          <w:szCs w:val="20"/>
          <w:color w:val="auto"/>
        </w:rPr>
      </w:pPr>
    </w:p>
    <w:p>
      <w:pPr>
        <w:jc w:val="both"/>
        <w:ind w:firstLine="775"/>
        <w:spacing w:after="0" w:line="264" w:lineRule="auto"/>
        <w:rPr>
          <w:sz w:val="20"/>
          <w:szCs w:val="20"/>
          <w:color w:val="auto"/>
        </w:rPr>
      </w:pPr>
      <w:r>
        <w:rPr>
          <w:rFonts w:ascii="Times New Roman" w:cs="Times New Roman" w:eastAsia="Times New Roman" w:hAnsi="Times New Roman"/>
          <w:sz w:val="18"/>
          <w:szCs w:val="18"/>
          <w:color w:val="auto"/>
        </w:rPr>
        <w:t xml:space="preserve">Any waivers of the </w:t>
      </w:r>
      <w:r>
        <w:rPr>
          <w:rFonts w:ascii="Times New Roman" w:cs="Times New Roman" w:eastAsia="Times New Roman" w:hAnsi="Times New Roman"/>
          <w:sz w:val="18"/>
          <w:szCs w:val="18"/>
          <w:i w:val="1"/>
          <w:iCs w:val="1"/>
          <w:color w:val="auto"/>
        </w:rPr>
        <w:t>Code of Ethics and Standards of Conduct</w:t>
      </w:r>
      <w:r>
        <w:rPr>
          <w:rFonts w:ascii="Times New Roman" w:cs="Times New Roman" w:eastAsia="Times New Roman" w:hAnsi="Times New Roman"/>
          <w:sz w:val="18"/>
          <w:szCs w:val="18"/>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Times New Roman" w:cs="Times New Roman" w:eastAsia="Times New Roman" w:hAnsi="Times New Roman"/>
          <w:sz w:val="18"/>
          <w:szCs w:val="18"/>
          <w:i w:val="1"/>
          <w:iCs w:val="1"/>
          <w:color w:val="auto"/>
        </w:rPr>
        <w:t>Code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Ethics and Standards of Conduct </w:t>
      </w:r>
      <w:r>
        <w:rPr>
          <w:rFonts w:ascii="Times New Roman" w:cs="Times New Roman" w:eastAsia="Times New Roman" w:hAnsi="Times New Roman"/>
          <w:sz w:val="18"/>
          <w:szCs w:val="18"/>
          <w:color w:val="auto"/>
        </w:rPr>
        <w:t>will be promptly disclosed to Martin Marietta’s shareholders.</w:t>
      </w:r>
    </w:p>
    <w:p>
      <w:pPr>
        <w:spacing w:after="0" w:line="129" w:lineRule="exact"/>
        <w:rPr>
          <w:sz w:val="20"/>
          <w:szCs w:val="20"/>
          <w:color w:val="auto"/>
        </w:rPr>
      </w:pPr>
    </w:p>
    <w:p>
      <w:pPr>
        <w:jc w:val="both"/>
        <w:ind w:firstLine="775"/>
        <w:spacing w:after="0" w:line="339" w:lineRule="auto"/>
        <w:rPr>
          <w:sz w:val="20"/>
          <w:szCs w:val="20"/>
          <w:color w:val="auto"/>
        </w:rPr>
      </w:pPr>
      <w:r>
        <w:rPr>
          <w:rFonts w:ascii="Times New Roman" w:cs="Times New Roman" w:eastAsia="Times New Roman" w:hAnsi="Times New Roman"/>
          <w:sz w:val="16"/>
          <w:szCs w:val="16"/>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060"/>
          </w:cols>
          <w:pgMar w:left="440" w:top="463" w:right="3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53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5053330"/>
                    </a:xfrm>
                    <a:prstGeom prst="rect">
                      <a:avLst/>
                    </a:prstGeom>
                    <a:noFill/>
                  </pic:spPr>
                </pic:pic>
              </a:graphicData>
            </a:graphic>
          </wp:anchor>
        </w:drawing>
        <w:t>PROPOSAL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MARTIN MARIETTA’S AMENDED ARTICLES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 TO IMPLEMENT A MAJORITY VOTING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FOR DIRECTOR ELECTIONS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(Item 2 on Proxy Card)</w:t>
      </w:r>
    </w:p>
    <w:p>
      <w:pPr>
        <w:spacing w:after="0" w:line="159"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The Board of Directors has approved, and recommends that shareholders approve, amendments to Article 5 of the Corporation’s Amended Articles of Incorporation (the “Articles of Incorporation”) to implement a majority vote standard for uncontested elections of Directors.</w:t>
      </w:r>
    </w:p>
    <w:p>
      <w:pPr>
        <w:spacing w:after="0" w:line="120"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The North Carolina Business Corporation Act provides that, unless otherwise specified in a company’s articles of incorporation, a director is elected by a plurality of the votes cast by the shares entitled to vote in the election at a meeting at which a quorum is present. Currently, Martin Marietta’s Articles of Incorporation provide that Directors are elected by a plurality vote in contested and uncontested elections. The Board of Directors believes this change in the standard for electing directors in uncontested elections (which under North Carolina law can only be effected by amending Martin Marietta’s Articles of Incorporation) is in the best interests of Martin Marietta and its shareholders. Under the proposed majority voting standard, in order for a director to be elected in an uncontested election, the number of votes cast “for” the election of the director must exceed the number of votes cast “against” that director’s election. A plurality voting standard will continue to apply in contested elections.</w:t>
      </w:r>
    </w:p>
    <w:p>
      <w:pPr>
        <w:spacing w:after="0" w:line="141"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The proposed amendments also include authority for the Board of Directors to address the possibility of a “holdover” director. Under North Carolina law, if an incumbent director is not re-elected at an annual meeting of shareholders, then, even though his or her term has expired, the incumbent director continues to serve in office as a holdover director until his or her successor is elected or until there is a decrease in the number of directors. North Carolina law further provides that if the shareholders fail to elect the full authorized number of directors, a board of directors may fill the vacancy by electing a successor. Accordingly, the proposed amendments to Martin Marietta’s Articles of Incorporation provide that if a director fails to receive the required majority vote, the Board of Directors may decrease the number of directors, fill any vacancy, or take other appropriate action.</w:t>
      </w:r>
    </w:p>
    <w:p>
      <w:pPr>
        <w:spacing w:after="0" w:line="139"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 xml:space="preserve">Under North Carolina law, amendments to the Articles of Incorporation to provide for majority voting in uncontested director elections must be approved by the shareholders. The amendments will be approved by the shareholders if more votes are cast at the annual meeting in favor of approving the proposed amendments than are cast against the proposal. The text of the proposed amendments to Article 5 of the Corporation’s Articles of Incorporation is set forth in the attached </w:t>
      </w:r>
      <w:r>
        <w:rPr>
          <w:rFonts w:ascii="Times New Roman" w:cs="Times New Roman" w:eastAsia="Times New Roman" w:hAnsi="Times New Roman"/>
          <w:sz w:val="18"/>
          <w:szCs w:val="18"/>
          <w:i w:val="1"/>
          <w:iCs w:val="1"/>
          <w:color w:val="auto"/>
        </w:rPr>
        <w:t>Appendix C</w:t>
      </w:r>
      <w:r>
        <w:rPr>
          <w:rFonts w:ascii="Times New Roman" w:cs="Times New Roman" w:eastAsia="Times New Roman" w:hAnsi="Times New Roman"/>
          <w:sz w:val="18"/>
          <w:szCs w:val="18"/>
          <w:color w:val="auto"/>
        </w:rPr>
        <w:t xml:space="preserve"> to this proxy statement. </w:t>
      </w:r>
      <w:r>
        <w:rPr>
          <w:rFonts w:ascii="Times New Roman" w:cs="Times New Roman" w:eastAsia="Times New Roman" w:hAnsi="Times New Roman"/>
          <w:sz w:val="18"/>
          <w:szCs w:val="18"/>
          <w:i w:val="1"/>
          <w:iCs w:val="1"/>
          <w:color w:val="auto"/>
        </w:rPr>
        <w:t>Appendix C</w:t>
      </w:r>
      <w:r>
        <w:rPr>
          <w:rFonts w:ascii="Times New Roman" w:cs="Times New Roman" w:eastAsia="Times New Roman" w:hAnsi="Times New Roman"/>
          <w:sz w:val="18"/>
          <w:szCs w:val="18"/>
          <w:color w:val="auto"/>
        </w:rPr>
        <w:t xml:space="preserve"> is incorporated herein by reference and shareholders are encouraged to read </w:t>
      </w:r>
      <w:r>
        <w:rPr>
          <w:rFonts w:ascii="Times New Roman" w:cs="Times New Roman" w:eastAsia="Times New Roman" w:hAnsi="Times New Roman"/>
          <w:sz w:val="18"/>
          <w:szCs w:val="18"/>
          <w:i w:val="1"/>
          <w:iCs w:val="1"/>
          <w:color w:val="auto"/>
        </w:rPr>
        <w:t xml:space="preserve">Appendix C </w:t>
      </w:r>
      <w:r>
        <w:rPr>
          <w:rFonts w:ascii="Times New Roman" w:cs="Times New Roman" w:eastAsia="Times New Roman" w:hAnsi="Times New Roman"/>
          <w:sz w:val="18"/>
          <w:szCs w:val="18"/>
          <w:color w:val="auto"/>
        </w:rPr>
        <w:t>in its entirety.</w:t>
      </w:r>
    </w:p>
    <w:p>
      <w:pPr>
        <w:spacing w:after="0" w:line="139"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If approved, the amendments will become effective upon the filing of Articles of Amendment to Martin Marietta’s Articles of Incorporation with the Secretary of State of North Carolina, which Martin Marietta would intend to do promptly after the annual meeting. The new majority voting standard would then be applicable to the election of directors at the 2014 annual meeting of shareholders.</w:t>
      </w:r>
    </w:p>
    <w:p>
      <w:pPr>
        <w:spacing w:after="0" w:line="132"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Martin Marietta’s Board of Directors has determined that the proposal to amend the Articles of Incorporation to provide for majority voting in uncontested director elections is in Martin Marietta’s</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60"/>
          </w:cols>
          <w:pgMar w:left="440" w:top="461" w:right="399" w:bottom="1440" w:gutter="0" w:footer="0" w:header="0"/>
        </w:sectPr>
      </w:pPr>
    </w:p>
    <w:bookmarkStart w:id="32" w:name="page33"/>
    <w:bookmarkEnd w:id="32"/>
    <w:p>
      <w:pPr>
        <w:jc w:val="both"/>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98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98315"/>
                    </a:xfrm>
                    <a:prstGeom prst="rect">
                      <a:avLst/>
                    </a:prstGeom>
                    <a:noFill/>
                  </pic:spPr>
                </pic:pic>
              </a:graphicData>
            </a:graphic>
          </wp:anchor>
        </w:drawing>
        <w:t>and our shareholders’ best interests. Accordingly, Martin Marietta’s Board of Directors has approved these amendments and recommends that the shareholders approve these amendments by voting “FOR” this proposal.</w:t>
      </w:r>
    </w:p>
    <w:p>
      <w:pPr>
        <w:spacing w:after="0" w:line="197" w:lineRule="exact"/>
        <w:rPr>
          <w:sz w:val="20"/>
          <w:szCs w:val="20"/>
          <w:color w:val="auto"/>
        </w:rPr>
      </w:pPr>
    </w:p>
    <w:p>
      <w:pPr>
        <w:jc w:val="center"/>
        <w:spacing w:after="0" w:line="345" w:lineRule="auto"/>
        <w:rPr>
          <w:sz w:val="20"/>
          <w:szCs w:val="20"/>
          <w:color w:val="auto"/>
        </w:rPr>
      </w:pPr>
      <w:r>
        <w:rPr>
          <w:rFonts w:ascii="Times New Roman" w:cs="Times New Roman" w:eastAsia="Times New Roman" w:hAnsi="Times New Roman"/>
          <w:sz w:val="16"/>
          <w:szCs w:val="16"/>
          <w:b w:val="1"/>
          <w:bCs w:val="1"/>
          <w:color w:val="auto"/>
        </w:rPr>
        <w:t xml:space="preserve">THE BOARD UNANIMOUSLY RECOMMENDS A VOTE </w:t>
      </w:r>
      <w:r>
        <w:rPr>
          <w:rFonts w:ascii="Times New Roman" w:cs="Times New Roman" w:eastAsia="Times New Roman" w:hAnsi="Times New Roman"/>
          <w:sz w:val="16"/>
          <w:szCs w:val="16"/>
          <w:b w:val="1"/>
          <w:bCs w:val="1"/>
          <w:i w:val="1"/>
          <w:iCs w:val="1"/>
          <w:u w:val="single" w:color="auto"/>
          <w:color w:val="auto"/>
        </w:rPr>
        <w:t>“FOR”</w:t>
      </w:r>
      <w:r>
        <w:rPr>
          <w:rFonts w:ascii="Times New Roman" w:cs="Times New Roman" w:eastAsia="Times New Roman" w:hAnsi="Times New Roman"/>
          <w:sz w:val="16"/>
          <w:szCs w:val="16"/>
          <w:b w:val="1"/>
          <w:bCs w:val="1"/>
          <w:color w:val="auto"/>
        </w:rPr>
        <w:t xml:space="preserve"> THE PROPOSAL TO AMEND THE CORPORATION’S ARTICLES OF INCORPORATION TO IMPLEMENT A MAJORITY VOTING STANDARD IN UNCONTESTED DIRECTOR ELECTIONS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(Item 3 on Proxy Card)</w:t>
      </w:r>
    </w:p>
    <w:p>
      <w:pPr>
        <w:spacing w:after="0" w:line="159"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The Board of Directors recommends that the shareholders ratify the appointment of Ernst &amp; Young LLP, an independent registered public accounting firm, to audit the consolidated financial statements of Martin Marietta and the effectiveness of Martin Marietta’s internal control over financial reporting for the 2013 fiscal year.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39"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Ernst &amp; Young LLP served as Martin Marietta’s independent auditors for 2012 and audited the consolidated financial statements of Martin Marietta for the year ended December 31, 2012 and the effectiveness of Martin Marietta’s internal control over financial reporting as of December 31, 2012. In connection with the audit of Martin Marietta’s 2012 financial statements, Martin Marietta entered into an engagement letter with Ernst &amp; Young LLP that sets forth the terms by which Ernst &amp; Young LLP would perform audit services for Martin Marietta. Ernst &amp; Young LLP required that the audit engagement agreement be subject to alternative dispute resolution procedures and an exclusion of punitive damages.</w:t>
      </w:r>
    </w:p>
    <w:p>
      <w:pPr>
        <w:spacing w:after="0" w:line="139"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Audit Committee is solely responsible for retaining or terminating Martin Marietta’s independent auditors in 2013. Representatives of Ernst &amp; Young LLP are expected to attend the annual meeting, will have the opportunity to make a statement if they so desire, and will be available to respond to questions from shareholders.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RATIFICATION OF THE SELECTION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ERNST &amp; YOUNG LLP AS INDEPENDENT AUDITORS.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60"/>
          </w:cols>
          <w:pgMar w:left="440" w:top="463"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4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5584825"/>
                    </a:xfrm>
                    <a:prstGeom prst="rect">
                      <a:avLst/>
                    </a:prstGeom>
                    <a:noFill/>
                  </pic:spPr>
                </pic:pic>
              </a:graphicData>
            </a:graphic>
          </wp:anchor>
        </w:drawing>
        <w:t>Summary of Fees</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aggregate fees billed for professional services rendered to Martin Marietta by Ernst &amp; Young LLP in 2012 and 2011. A description of these various fees and services follows the table.</w:t>
      </w:r>
    </w:p>
    <w:p>
      <w:pPr>
        <w:spacing w:after="0" w:line="155" w:lineRule="exact"/>
        <w:rPr>
          <w:sz w:val="20"/>
          <w:szCs w:val="20"/>
          <w:color w:val="auto"/>
        </w:rPr>
      </w:pPr>
    </w:p>
    <w:tbl>
      <w:tblPr>
        <w:tblLayout w:type="fixed"/>
        <w:tblInd w:w="450" w:type="dxa"/>
        <w:tblCellMar>
          <w:top w:w="0" w:type="dxa"/>
          <w:left w:w="0" w:type="dxa"/>
          <w:bottom w:w="0" w:type="dxa"/>
          <w:right w:w="0" w:type="dxa"/>
        </w:tblCellMar>
      </w:tblPr>
      <w:tr>
        <w:trPr>
          <w:trHeight w:val="302"/>
        </w:trPr>
        <w:tc>
          <w:tcPr>
            <w:tcW w:w="7080" w:type="dxa"/>
            <w:vAlign w:val="bottom"/>
            <w:tcBorders>
              <w:top w:val="single" w:sz="8" w:color="auto"/>
              <w:left w:val="single" w:sz="8" w:color="auto"/>
              <w:bottom w:val="single" w:sz="8" w:color="E0E0E0"/>
            </w:tcBorders>
            <w:shd w:val="clear" w:color="auto" w:fill="E0E0E0"/>
          </w:tcPr>
          <w:p>
            <w:pPr>
              <w:spacing w:after="0"/>
              <w:rPr>
                <w:sz w:val="24"/>
                <w:szCs w:val="24"/>
                <w:color w:val="auto"/>
              </w:rPr>
            </w:pPr>
          </w:p>
        </w:tc>
        <w:tc>
          <w:tcPr>
            <w:tcW w:w="600" w:type="dxa"/>
            <w:vAlign w:val="bottom"/>
            <w:tcBorders>
              <w:top w:val="single" w:sz="8" w:color="auto"/>
              <w:bottom w:val="single" w:sz="8" w:color="E0E0E0"/>
            </w:tcBorders>
            <w:shd w:val="clear" w:color="auto" w:fill="E0E0E0"/>
          </w:tcPr>
          <w:p>
            <w:pPr>
              <w:spacing w:after="0"/>
              <w:rPr>
                <w:sz w:val="24"/>
                <w:szCs w:val="24"/>
                <w:color w:val="auto"/>
              </w:rPr>
            </w:pPr>
          </w:p>
        </w:tc>
        <w:tc>
          <w:tcPr>
            <w:tcW w:w="800" w:type="dxa"/>
            <w:vAlign w:val="bottom"/>
            <w:tcBorders>
              <w:top w:val="single" w:sz="8" w:color="auto"/>
              <w:bottom w:val="single" w:sz="8" w:color="auto"/>
            </w:tcBorders>
            <w:shd w:val="clear" w:color="auto" w:fill="E0E0E0"/>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700" w:type="dxa"/>
            <w:vAlign w:val="bottom"/>
            <w:tcBorders>
              <w:top w:val="single" w:sz="8" w:color="auto"/>
              <w:bottom w:val="single" w:sz="8" w:color="E0E0E0"/>
            </w:tcBorders>
            <w:shd w:val="clear" w:color="auto" w:fill="E0E0E0"/>
          </w:tcPr>
          <w:p>
            <w:pPr>
              <w:spacing w:after="0"/>
              <w:rPr>
                <w:sz w:val="24"/>
                <w:szCs w:val="24"/>
                <w:color w:val="auto"/>
              </w:rPr>
            </w:pPr>
          </w:p>
        </w:tc>
        <w:tc>
          <w:tcPr>
            <w:tcW w:w="800" w:type="dxa"/>
            <w:vAlign w:val="bottom"/>
            <w:tcBorders>
              <w:top w:val="single" w:sz="8" w:color="auto"/>
              <w:bottom w:val="single" w:sz="8" w:color="auto"/>
            </w:tcBorders>
            <w:shd w:val="clear" w:color="auto" w:fill="E0E0E0"/>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Borders>
              <w:top w:val="single" w:sz="8" w:color="auto"/>
              <w:bottom w:val="single" w:sz="8" w:color="E0E0E0"/>
              <w:right w:val="single" w:sz="8" w:color="auto"/>
            </w:tcBorders>
            <w:shd w:val="clear" w:color="auto" w:fill="E0E0E0"/>
          </w:tcPr>
          <w:p>
            <w:pPr>
              <w:spacing w:after="0"/>
              <w:rPr>
                <w:sz w:val="24"/>
                <w:szCs w:val="24"/>
                <w:color w:val="auto"/>
              </w:rPr>
            </w:pPr>
          </w:p>
        </w:tc>
      </w:tr>
      <w:tr>
        <w:trPr>
          <w:trHeight w:val="197"/>
        </w:trPr>
        <w:tc>
          <w:tcPr>
            <w:tcW w:w="7080" w:type="dxa"/>
            <w:vAlign w:val="bottom"/>
            <w:tcBorders>
              <w:top w:val="single" w:sz="8" w:color="auto"/>
              <w:left w:val="single" w:sz="8" w:color="auto"/>
            </w:tcBorders>
            <w:shd w:val="clear" w:color="auto" w:fill="E0E0E0"/>
          </w:tcPr>
          <w:p>
            <w:pPr>
              <w:ind w:left="120"/>
              <w:spacing w:after="0" w:line="196" w:lineRule="exact"/>
              <w:rPr>
                <w:sz w:val="20"/>
                <w:szCs w:val="20"/>
                <w:color w:val="auto"/>
              </w:rPr>
            </w:pPr>
            <w:r>
              <w:rPr>
                <w:rFonts w:ascii="Times New Roman" w:cs="Times New Roman" w:eastAsia="Times New Roman" w:hAnsi="Times New Roman"/>
                <w:sz w:val="18"/>
                <w:szCs w:val="18"/>
                <w:color w:val="auto"/>
              </w:rPr>
              <w:t>Audit Fees</w:t>
            </w:r>
          </w:p>
        </w:tc>
        <w:tc>
          <w:tcPr>
            <w:tcW w:w="600" w:type="dxa"/>
            <w:vAlign w:val="bottom"/>
            <w:tcBorders>
              <w:top w:val="single" w:sz="8" w:color="auto"/>
            </w:tcBorders>
            <w:shd w:val="clear" w:color="auto" w:fill="E0E0E0"/>
          </w:tcPr>
          <w:p>
            <w:pPr>
              <w:spacing w:after="0"/>
              <w:rPr>
                <w:sz w:val="17"/>
                <w:szCs w:val="17"/>
                <w:color w:val="auto"/>
              </w:rPr>
            </w:pPr>
          </w:p>
        </w:tc>
        <w:tc>
          <w:tcPr>
            <w:tcW w:w="800" w:type="dxa"/>
            <w:vAlign w:val="bottom"/>
            <w:tcBorders>
              <w:top w:val="single" w:sz="8" w:color="auto"/>
            </w:tcBorders>
            <w:shd w:val="clear" w:color="auto" w:fill="E0E0E0"/>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$1,498,000</w:t>
            </w:r>
          </w:p>
        </w:tc>
        <w:tc>
          <w:tcPr>
            <w:tcW w:w="1500" w:type="dxa"/>
            <w:vAlign w:val="bottom"/>
            <w:tcBorders>
              <w:top w:val="single" w:sz="8" w:color="auto"/>
            </w:tcBorders>
            <w:gridSpan w:val="2"/>
            <w:shd w:val="clear" w:color="auto" w:fill="E0E0E0"/>
          </w:tcPr>
          <w:p>
            <w:pPr>
              <w:jc w:val="right"/>
              <w:spacing w:after="0" w:line="196" w:lineRule="exact"/>
              <w:rPr>
                <w:sz w:val="20"/>
                <w:szCs w:val="20"/>
                <w:color w:val="auto"/>
              </w:rPr>
            </w:pPr>
            <w:r>
              <w:rPr>
                <w:rFonts w:ascii="Times New Roman" w:cs="Times New Roman" w:eastAsia="Times New Roman" w:hAnsi="Times New Roman"/>
                <w:sz w:val="18"/>
                <w:szCs w:val="18"/>
                <w:color w:val="auto"/>
              </w:rPr>
              <w:t>$1,813,000</w:t>
            </w:r>
          </w:p>
        </w:tc>
        <w:tc>
          <w:tcPr>
            <w:tcW w:w="220" w:type="dxa"/>
            <w:vAlign w:val="bottom"/>
            <w:tcBorders>
              <w:top w:val="single" w:sz="8" w:color="auto"/>
              <w:right w:val="single" w:sz="8" w:color="auto"/>
            </w:tcBorders>
            <w:shd w:val="clear" w:color="auto" w:fill="E0E0E0"/>
          </w:tcPr>
          <w:p>
            <w:pPr>
              <w:spacing w:after="0"/>
              <w:rPr>
                <w:sz w:val="17"/>
                <w:szCs w:val="17"/>
                <w:color w:val="auto"/>
              </w:rPr>
            </w:pPr>
          </w:p>
        </w:tc>
      </w:tr>
      <w:tr>
        <w:trPr>
          <w:trHeight w:val="216"/>
        </w:trPr>
        <w:tc>
          <w:tcPr>
            <w:tcW w:w="7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Audit-Related Fees</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220" w:type="dxa"/>
            <w:vAlign w:val="bottom"/>
            <w:tcBorders>
              <w:right w:val="single" w:sz="8" w:color="auto"/>
            </w:tcBorders>
          </w:tcPr>
          <w:p>
            <w:pPr>
              <w:spacing w:after="0"/>
              <w:rPr>
                <w:sz w:val="18"/>
                <w:szCs w:val="18"/>
                <w:color w:val="auto"/>
              </w:rPr>
            </w:pPr>
          </w:p>
        </w:tc>
      </w:tr>
      <w:tr>
        <w:trPr>
          <w:trHeight w:val="216"/>
        </w:trPr>
        <w:tc>
          <w:tcPr>
            <w:tcW w:w="7080" w:type="dxa"/>
            <w:vAlign w:val="bottom"/>
            <w:tcBorders>
              <w:lef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Tax Fees</w:t>
            </w:r>
          </w:p>
        </w:tc>
        <w:tc>
          <w:tcPr>
            <w:tcW w:w="1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259,000</w:t>
            </w:r>
          </w:p>
        </w:tc>
        <w:tc>
          <w:tcPr>
            <w:tcW w:w="15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Borders>
              <w:right w:val="single" w:sz="8" w:color="auto"/>
            </w:tcBorders>
            <w:shd w:val="clear" w:color="auto" w:fill="E0E0E0"/>
          </w:tcPr>
          <w:p>
            <w:pPr>
              <w:spacing w:after="0"/>
              <w:rPr>
                <w:sz w:val="18"/>
                <w:szCs w:val="18"/>
                <w:color w:val="auto"/>
              </w:rPr>
            </w:pPr>
          </w:p>
        </w:tc>
      </w:tr>
      <w:tr>
        <w:trPr>
          <w:trHeight w:val="223"/>
        </w:trPr>
        <w:tc>
          <w:tcPr>
            <w:tcW w:w="7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Other Fees</w:t>
            </w:r>
          </w:p>
        </w:tc>
        <w:tc>
          <w:tcPr>
            <w:tcW w:w="6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19"/>
                <w:szCs w:val="19"/>
                <w:color w:val="auto"/>
              </w:rPr>
            </w:pPr>
          </w:p>
        </w:tc>
      </w:tr>
      <w:tr>
        <w:trPr>
          <w:trHeight w:val="216"/>
        </w:trPr>
        <w:tc>
          <w:tcPr>
            <w:tcW w:w="7080" w:type="dxa"/>
            <w:vAlign w:val="bottom"/>
            <w:tcBorders>
              <w:left w:val="single" w:sz="8" w:color="auto"/>
            </w:tcBorders>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$1,859,000</w:t>
            </w:r>
          </w:p>
        </w:tc>
        <w:tc>
          <w:tcPr>
            <w:tcW w:w="15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$1,985,000</w:t>
            </w:r>
          </w:p>
        </w:tc>
        <w:tc>
          <w:tcPr>
            <w:tcW w:w="220" w:type="dxa"/>
            <w:vAlign w:val="bottom"/>
            <w:tcBorders>
              <w:right w:val="single" w:sz="8" w:color="auto"/>
            </w:tcBorders>
            <w:shd w:val="clear" w:color="auto" w:fill="E0E0E0"/>
          </w:tcPr>
          <w:p>
            <w:pPr>
              <w:spacing w:after="0"/>
              <w:rPr>
                <w:sz w:val="18"/>
                <w:szCs w:val="18"/>
                <w:color w:val="auto"/>
              </w:rPr>
            </w:pPr>
          </w:p>
        </w:tc>
      </w:tr>
      <w:tr>
        <w:trPr>
          <w:trHeight w:val="216"/>
        </w:trPr>
        <w:tc>
          <w:tcPr>
            <w:tcW w:w="70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 of Audit &amp; Audit-Related Fees to Total Fees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Borders>
              <w:bottom w:val="single" w:sz="8" w:color="auto"/>
              <w:right w:val="single" w:sz="8" w:color="auto"/>
            </w:tcBorders>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94"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The aggregate fees billed for professional services rendered by Ernst &amp; Young LLP to Martin Marietta for each of 2012 and 2011 in connection with the annual financial statement audit, the annual internal controls audit, and reviews of Martin Marietta’s financial statements included in the quarterly reports on Form 10-Q were $1,264,000 and $1,483,000, respectively. During 2012 and 2011, Ernst &amp; Young LLP also billed Martin Marietta $234,000 and $330,000, respectively, related to the filing of the S-4 registration statement in connection with a proposed significant business combination that was not consummated.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The aggregate fees billed for professional services rendered by Ernst &amp; Young LLP to Martin Marietta for each of 2012 and 2011 in connection with audit-related services, including subsidiary audits and continuing education, were $102,000.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aggregate fees billed for professional services rendered by Ernst &amp; Young LLP to Martin Marietta for each of 2012 and 2011 in connection with tax advice, including consultation on transfer pricing issues and pending tangible property regulations, and other tax-related activities were $259,000 and $70,000,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There were no other fees billed for other professional services rendered or products provided by Ernst &amp; Young LLP to Martin Marietta for 2012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2011.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The Audit Committee has adopted a policy that requires advance approval of all audit, audit-related, tax services, and other services performed by Ernst &amp; Young LLP. The policy provides for</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060"/>
          </w:cols>
          <w:pgMar w:left="440" w:top="459" w:right="39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8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5087620"/>
                    </a:xfrm>
                    <a:prstGeom prst="rect">
                      <a:avLst/>
                    </a:prstGeom>
                    <a:noFill/>
                  </pic:spPr>
                </pic:pic>
              </a:graphicData>
            </a:graphic>
          </wp:anchor>
        </w:drawing>
        <w:t>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Review</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 COMMITTEE REPORT</w:t>
      </w:r>
    </w:p>
    <w:p>
      <w:pPr>
        <w:spacing w:after="0" w:line="169"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Times New Roman" w:cs="Times New Roman" w:eastAsia="Times New Roman" w:hAnsi="Times New Roman"/>
          <w:sz w:val="18"/>
          <w:szCs w:val="18"/>
          <w:i w:val="1"/>
          <w:iCs w:val="1"/>
          <w:color w:val="auto"/>
        </w:rPr>
        <w:t>Guidelines for Director’s Independence</w:t>
      </w:r>
      <w:r>
        <w:rPr>
          <w:rFonts w:ascii="Times New Roman" w:cs="Times New Roman" w:eastAsia="Times New Roman" w:hAnsi="Times New Roman"/>
          <w:sz w:val="18"/>
          <w:szCs w:val="18"/>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Times New Roman" w:cs="Times New Roman" w:eastAsia="Times New Roman" w:hAnsi="Times New Roman"/>
          <w:sz w:val="18"/>
          <w:szCs w:val="18"/>
          <w:i w:val="1"/>
          <w:iCs w:val="1"/>
          <w:color w:val="auto"/>
        </w:rPr>
        <w:t>Guidelines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Director’s Independence </w:t>
      </w:r>
      <w:r>
        <w:rPr>
          <w:rFonts w:ascii="Times New Roman" w:cs="Times New Roman" w:eastAsia="Times New Roman" w:hAnsi="Times New Roman"/>
          <w:sz w:val="18"/>
          <w:szCs w:val="18"/>
          <w:color w:val="auto"/>
        </w:rPr>
        <w:t>can be viewed on Martin Marietta’s website at</w:t>
      </w:r>
      <w:r>
        <w:rPr>
          <w:rFonts w:ascii="Times New Roman" w:cs="Times New Roman" w:eastAsia="Times New Roman" w:hAnsi="Times New Roman"/>
          <w:sz w:val="18"/>
          <w:szCs w:val="18"/>
          <w:i w:val="1"/>
          <w:iCs w:val="1"/>
          <w:color w:val="auto"/>
        </w:rPr>
        <w:t xml:space="preserve"> www.martinmarietta.com.</w:t>
      </w:r>
    </w:p>
    <w:p>
      <w:pPr>
        <w:spacing w:after="0" w:line="141"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32"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In the discharge of its responsibilities, the Audit Committee has reviewed and discussed with management and the independent auditors Martin Marietta’s audited financial statements for fiscal year 2012. In addition, the Committee has discussed with the independent auditors matters such as the quality (in addition to acceptability), clarity, consistency, and completeness of Martin Marietta’s financial reporting, as required by Statement on Auditing Standards No. 61, as amended and as adopted by the Public Company Accounting Oversight Board.</w:t>
      </w:r>
    </w:p>
    <w:p>
      <w:pPr>
        <w:spacing w:after="0" w:line="136"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Independence</w:t>
      </w:r>
      <w:r>
        <w:rPr>
          <w:rFonts w:ascii="Times New Roman" w:cs="Times New Roman" w:eastAsia="Times New Roman" w:hAnsi="Times New Roman"/>
          <w:sz w:val="18"/>
          <w:szCs w:val="18"/>
          <w:color w:val="auto"/>
        </w:rPr>
        <w:t>, and has discussed with the independent auditors the independent auditors’ independence. The Audit Committee also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060"/>
          </w:cols>
          <w:pgMar w:left="440" w:top="463" w:right="399" w:bottom="1440" w:gutter="0" w:footer="0" w:header="0"/>
        </w:sectPr>
      </w:pPr>
    </w:p>
    <w:bookmarkStart w:id="35" w:name="page36"/>
    <w:bookmarkEnd w:id="35"/>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13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813300"/>
                    </a:xfrm>
                    <a:prstGeom prst="rect">
                      <a:avLst/>
                    </a:prstGeom>
                    <a:noFill/>
                  </pic:spPr>
                </pic:pic>
              </a:graphicData>
            </a:graphic>
          </wp:anchor>
        </w:drawing>
        <w:t>Based on these reviews and discussions, the Audit Committee has recommended to the Board that the audited financial statements be included in Martin Marietta’s 2012 Annual Report on Form 10-K for filing with the Securities and Exchange Commission.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2013</w:t>
      </w:r>
    </w:p>
    <w:p>
      <w:pPr>
        <w:spacing w:after="0" w:line="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xml:space="preserve">David G. Maffucci, </w:t>
      </w:r>
      <w:r>
        <w:rPr>
          <w:rFonts w:ascii="Times New Roman" w:cs="Times New Roman" w:eastAsia="Times New Roman" w:hAnsi="Times New Roman"/>
          <w:sz w:val="18"/>
          <w:szCs w:val="18"/>
          <w:i w:val="1"/>
          <w:iCs w:val="1"/>
          <w:color w:val="auto"/>
        </w:rPr>
        <w:t>Chair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Laree E. Perez</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Dennis L. Rediker</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REPORT</w:t>
      </w:r>
    </w:p>
    <w:p>
      <w:pPr>
        <w:spacing w:after="0" w:line="173"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The Management Development and Compensation Committee has reviewed and discussed with management the Compensation Discussion and Analysis beginning on page 33 of this proxy statement. Based on this review and discussion, the Management Development and Compensation Committee recommended to the Board of Directors that the Compensation Discussion and Analysis be included in Martin Marietta’s Annual Report on Form 10-K and this Proxy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2013</w:t>
      </w:r>
    </w:p>
    <w:p>
      <w:pPr>
        <w:spacing w:after="0" w:line="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MANAGEMENT DEVELOPMENT AND</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7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xml:space="preserve">Sue W. Cole, </w:t>
      </w:r>
      <w:r>
        <w:rPr>
          <w:rFonts w:ascii="Times New Roman" w:cs="Times New Roman" w:eastAsia="Times New Roman" w:hAnsi="Times New Roman"/>
          <w:sz w:val="18"/>
          <w:szCs w:val="18"/>
          <w:i w:val="1"/>
          <w:iCs w:val="1"/>
          <w:color w:val="auto"/>
        </w:rPr>
        <w:t>Chair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William E. McDonald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Michael J. Quillen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IN COMPENSATION DECISIONS</w:t>
      </w:r>
    </w:p>
    <w:p>
      <w:pPr>
        <w:spacing w:after="0" w:line="159"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The members of Martin Marietta’s Management Development and Compensation Committee are Directors Cole, McDonald, Menaker and Quillen, none of whom has ever been an officer or employee of Martin Marietta or any of its subsidiaries. There are no executive officer-Director interlocks where an executive of Martin Marietta serves on the compensation committee of another corporation that has an executive officer serving on Martin Marietta’s Board of Directors.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060"/>
          </w:cols>
          <w:pgMar w:left="440" w:top="463" w:right="3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COMPENSATION DISCUSSION AND ANALYSIS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94" w:lineRule="exact"/>
        <w:rPr>
          <w:sz w:val="20"/>
          <w:szCs w:val="20"/>
          <w:color w:val="auto"/>
        </w:rPr>
      </w:pPr>
    </w:p>
    <w:p>
      <w:pPr>
        <w:jc w:val="both"/>
        <w:ind w:firstLine="775"/>
        <w:spacing w:after="0" w:line="339" w:lineRule="auto"/>
        <w:rPr>
          <w:sz w:val="20"/>
          <w:szCs w:val="20"/>
          <w:color w:val="auto"/>
        </w:rPr>
      </w:pPr>
      <w:r>
        <w:rPr>
          <w:rFonts w:ascii="Times New Roman" w:cs="Times New Roman" w:eastAsia="Times New Roman" w:hAnsi="Times New Roman"/>
          <w:sz w:val="16"/>
          <w:szCs w:val="16"/>
          <w:color w:val="auto"/>
        </w:rPr>
        <w:t>This Executive Summary provides an overview of our performance in 2012, the factors influencing it, and how executive compensation in 2012 was tied to our performance. Our compensation philosophy and programs are described in more detail below in this Compensation Discussion and Analysis.</w:t>
      </w:r>
    </w:p>
    <w:p>
      <w:pPr>
        <w:spacing w:after="0" w:line="74"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Our shareholders expressed their continued support of our executive compensation programs by approving our non-binding advisory vote on executive compensation at our 2012 annual meeting of shareholders. More than 90% of votes cast supported our executive compensation policies and practices. During 2012, we reviewed our programs in conjunction with business results and our shareholder support. Following such review and consideration, we continue to believe that our executive compensation programs are designed to support our company and our business strategies in concert with our compensation philosophy.</w:t>
      </w:r>
    </w:p>
    <w:p>
      <w:pPr>
        <w:spacing w:after="0" w:line="139" w:lineRule="exact"/>
        <w:rPr>
          <w:sz w:val="20"/>
          <w:szCs w:val="20"/>
          <w:color w:val="auto"/>
        </w:rPr>
      </w:pPr>
    </w:p>
    <w:p>
      <w:pPr>
        <w:jc w:val="both"/>
        <w:ind w:firstLine="775"/>
        <w:spacing w:after="0" w:line="290" w:lineRule="auto"/>
        <w:rPr>
          <w:sz w:val="20"/>
          <w:szCs w:val="20"/>
          <w:color w:val="auto"/>
        </w:rPr>
      </w:pPr>
      <w:r>
        <w:rPr>
          <w:rFonts w:ascii="Times New Roman" w:cs="Times New Roman" w:eastAsia="Times New Roman" w:hAnsi="Times New Roman"/>
          <w:sz w:val="16"/>
          <w:szCs w:val="16"/>
          <w:color w:val="auto"/>
        </w:rPr>
        <w:t xml:space="preserve">The economic recession affecting the construction materials industry for several years continued in 2012. Although Martin Marietta experienced volume recovery in certain of its markets as overall aggregates shipments increased 2.6% from 2011 levels, total aggregates shipments of 128.3 million tons represents only 63% of shipments at our peak in 2005. Prior to 2010, the economic recession resulted in unprecedented reductions in aggregates shipments, as evidenced by United States aggregates consumption declining by almost 40% from peak volumes in 2006. Federal highway legislation funding was provided under a series of nine continuing resolutions from October 2009 through September 30, 2012. Effective October 1, 2012, a new federal surface transportation bill, </w:t>
      </w:r>
      <w:r>
        <w:rPr>
          <w:rFonts w:ascii="Times New Roman" w:cs="Times New Roman" w:eastAsia="Times New Roman" w:hAnsi="Times New Roman"/>
          <w:sz w:val="16"/>
          <w:szCs w:val="16"/>
          <w:i w:val="1"/>
          <w:iCs w:val="1"/>
          <w:color w:val="auto"/>
        </w:rPr>
        <w:t>Moving Ahead for Progress in the 21</w:t>
      </w:r>
      <w:r>
        <w:rPr>
          <w:rFonts w:ascii="Times New Roman" w:cs="Times New Roman" w:eastAsia="Times New Roman" w:hAnsi="Times New Roman"/>
          <w:sz w:val="10"/>
          <w:szCs w:val="10"/>
          <w:i w:val="1"/>
          <w:iCs w:val="1"/>
          <w:color w:val="auto"/>
        </w:rPr>
        <w:t>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Century Act</w:t>
      </w:r>
      <w:r>
        <w:rPr>
          <w:rFonts w:ascii="Times New Roman" w:cs="Times New Roman" w:eastAsia="Times New Roman" w:hAnsi="Times New Roman"/>
          <w:sz w:val="16"/>
          <w:szCs w:val="16"/>
          <w:color w:val="auto"/>
        </w:rPr>
        <w:t xml:space="preserve">, or MAP-21, was enacted. This two-year bill, in addition to an expansion of federal credit assistance for nationally or regionally significant surface transportation projects available under </w:t>
      </w:r>
      <w:r>
        <w:rPr>
          <w:rFonts w:ascii="Times New Roman" w:cs="Times New Roman" w:eastAsia="Times New Roman" w:hAnsi="Times New Roman"/>
          <w:sz w:val="16"/>
          <w:szCs w:val="16"/>
          <w:i w:val="1"/>
          <w:iCs w:val="1"/>
          <w:color w:val="auto"/>
        </w:rPr>
        <w:t>Transportation Infrastructure Finance and Innovation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Act </w:t>
      </w:r>
      <w:r>
        <w:rPr>
          <w:rFonts w:ascii="Times New Roman" w:cs="Times New Roman" w:eastAsia="Times New Roman" w:hAnsi="Times New Roman"/>
          <w:sz w:val="16"/>
          <w:szCs w:val="16"/>
          <w:color w:val="auto"/>
        </w:rPr>
        <w:t>(“TIFIA”), led to signs of stability during 2012, but significant growth was impeded by economic and political uncertainty.</w:t>
      </w:r>
    </w:p>
    <w:p>
      <w:pPr>
        <w:spacing w:after="0" w:line="1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Against this background, Martin Marietta continued to execute on its strategic plan while delivering strong performance in 2012:</w:t>
      </w:r>
    </w:p>
    <w:p>
      <w:pPr>
        <w:spacing w:after="0" w:line="90" w:lineRule="exact"/>
        <w:rPr>
          <w:sz w:val="20"/>
          <w:szCs w:val="20"/>
          <w:color w:val="auto"/>
        </w:rPr>
      </w:pPr>
    </w:p>
    <w:p>
      <w:pPr>
        <w:ind w:left="980" w:right="20" w:hanging="213"/>
        <w:spacing w:after="0" w:line="275"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diluted share of $2.29 in 2012 compared with $2.03 in 2011, excluding business development expenses of $0.46 and $0.25 per diluted share in 2012 and 2011, respectively</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shareholders’ equity of 6.0% in 2012</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$1.839 billion, a 21.0% increase, compared with net sales of $1.520 billion in 2011</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Heritage aggregates product line volume growth of 2.9% and pricing increase of 2.5%</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$237.6 million in net sales and $8.1 million in gross profit from Denver, Colorado, operations acquired in December 2011</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financial results by the Specialty Products segment, which provided earnings from operations of $68.5 million</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an annual cash dividend of $1.60 per share to shareholders, which has not been reduced from previous levels</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060"/>
          </w:cols>
          <w:pgMar w:left="440" w:top="461" w:right="399" w:bottom="1440" w:gutter="0" w:footer="0" w:header="0"/>
        </w:sectPr>
      </w:pPr>
    </w:p>
    <w:bookmarkStart w:id="37" w:name="page38"/>
    <w:bookmarkEnd w:id="37"/>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762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5276215"/>
                    </a:xfrm>
                    <a:prstGeom prst="rect">
                      <a:avLst/>
                    </a:prstGeom>
                    <a:noFill/>
                  </pic:spPr>
                </pic:pic>
              </a:graphicData>
            </a:graphic>
          </wp:anchor>
        </w:drawing>
        <w:t>Management was able to achieve these performance results in 2012 by effectively improving Martin Marietta’s cost structure without jeopardizing the long-term value of the business, allowing us to become more profitable as volumes recover. The number of employees has remained at a reduced level since 2008 (even considering the additional approximately 600 employees that were added net in 2011 due to acquisitions) and is nearly identical to the number of employees in 1997. However, we managed nearly three times more assets and produced nearly 40% greater gross profit in 2012 than in 1997, which reflects the greater efficiencies we have been able to successfully achieve in the business in addition to reducing costs. These actions have contributed to the following results:</w:t>
      </w:r>
    </w:p>
    <w:p>
      <w:pPr>
        <w:spacing w:after="0" w:line="58" w:lineRule="exact"/>
        <w:rPr>
          <w:sz w:val="20"/>
          <w:szCs w:val="20"/>
          <w:color w:val="auto"/>
        </w:rPr>
      </w:pPr>
    </w:p>
    <w:p>
      <w:pPr>
        <w:ind w:left="980" w:right="20" w:hanging="213"/>
        <w:spacing w:after="0" w:line="275"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costs were 7.5% of net sales, an improvement of 70 basis points from 2011, which followed declines in the percentage of net sales in each of 2011 and 2010.</w:t>
      </w:r>
    </w:p>
    <w:p>
      <w:pPr>
        <w:spacing w:after="0" w:line="38"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consolidated debt-to-consolidated EBITDA, as provided for in our $600 million credit agreement, was 3.21 times for the trailing twelve months ended December 31, 2012, in compliance with the credit agreement’s limit of 3.75 times.</w:t>
      </w:r>
    </w:p>
    <w:p>
      <w:pPr>
        <w:spacing w:after="0" w:line="38" w:lineRule="exact"/>
        <w:rPr>
          <w:rFonts w:ascii="Times New Roman" w:cs="Times New Roman" w:eastAsia="Times New Roman" w:hAnsi="Times New Roman"/>
          <w:sz w:val="18"/>
          <w:szCs w:val="18"/>
          <w:color w:val="auto"/>
        </w:rPr>
      </w:pPr>
    </w:p>
    <w:p>
      <w:pPr>
        <w:jc w:val="both"/>
        <w:ind w:left="980" w:hanging="213"/>
        <w:spacing w:after="0" w:line="26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$151.0 million were made in 2012, focusing on the preservation of capital while maintaining safe, environmentally-sound operations, along with a continuing investment in land with long-term mineral reserves to serve high-growth markets and expansion of our Specialty Products business.</w:t>
      </w:r>
    </w:p>
    <w:p>
      <w:pPr>
        <w:spacing w:after="0" w:line="132"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strong financial results for 2012 are accompanied by other achievements in 2012 that are reflective of the discipline of our executive management team. Mr. Nye and the other executive officers demonstrated solid execution of our business plan and the promotion of our strategic objectives focusing on long-term growth, which was reflected by the following initiatives:</w:t>
      </w:r>
    </w:p>
    <w:p>
      <w:pPr>
        <w:spacing w:after="0" w:line="51" w:lineRule="exact"/>
        <w:rPr>
          <w:sz w:val="20"/>
          <w:szCs w:val="20"/>
          <w:color w:val="auto"/>
        </w:rPr>
      </w:pPr>
    </w:p>
    <w:p>
      <w:pPr>
        <w:jc w:val="both"/>
        <w:ind w:left="980" w:hanging="213"/>
        <w:spacing w:after="0" w:line="26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new dolomitic lime kiln at the Specialty Products’ Woodville, Ohio facility was completed on budget and ahead of schedule. This kiln is expected to add over 275,000 additional tons of capacity and $22 million to $25 million of annual net sales to the Specialty Products segment. Operation of the kiln started during the fourth quarter of 2012.</w:t>
      </w:r>
    </w:p>
    <w:p>
      <w:pPr>
        <w:spacing w:after="0" w:line="51"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focus on employee safety performance, environmental and other regulatory compliance and a robust ethics program.</w:t>
      </w:r>
    </w:p>
    <w:p>
      <w:pPr>
        <w:spacing w:after="0" w:line="90" w:lineRule="exact"/>
        <w:rPr>
          <w:rFonts w:ascii="Times New Roman" w:cs="Times New Roman" w:eastAsia="Times New Roman" w:hAnsi="Times New Roman"/>
          <w:sz w:val="18"/>
          <w:szCs w:val="18"/>
          <w:color w:val="auto"/>
        </w:rPr>
      </w:pPr>
    </w:p>
    <w:p>
      <w:pPr>
        <w:ind w:left="980" w:hanging="213"/>
        <w:spacing w:after="0" w:line="275"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focus on running our business efficiently and profitably while pursuing a proposed significant business combination that was not consummated.</w:t>
      </w:r>
    </w:p>
    <w:p>
      <w:pPr>
        <w:spacing w:after="0" w:line="120"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The Management Development and Compensation Committee (the “Committee”) reviewed executive compensation in 2012 in light of these factors. The Committee used data from a variety of sources, including its independent compensation consultant, to achieve its goal of attracting and retaining qualified executives who will make decisions that achieve long-term success for Martin Marietta without sacrificing integrity, safety and other important principles. The Committee also was mindful of pay-for-performance objectives and sought to avoid practices that would encourage excessive risk-taking. In furtherance of these goals, the main elements of our compensation program are base salary, annual cash bonus, and long-term equity incentive awards. The Committee took into account a number of factors in determining compensation for 2012, including our financial results, individual performance, competitive data, and other factors, as detailed in the Compensation Discussion and Analysis. In light of these considerations, the Committee made the following compensation decisions for 2012:</w:t>
      </w:r>
    </w:p>
    <w:p>
      <w:pPr>
        <w:spacing w:after="0" w:line="57" w:lineRule="exact"/>
        <w:rPr>
          <w:sz w:val="20"/>
          <w:szCs w:val="20"/>
          <w:color w:val="auto"/>
        </w:rPr>
      </w:pPr>
    </w:p>
    <w:p>
      <w:pPr>
        <w:ind w:left="980" w:hanging="213"/>
        <w:spacing w:after="0" w:line="275"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merit pay increases in the range of 2.5% to 7.4% to our named executive officers, which were lower than historical increases in light of the recessionary economy, despite</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060"/>
          </w:cols>
          <w:pgMar w:left="440" w:top="463" w:right="399" w:bottom="1440" w:gutter="0" w:footer="0" w:header="0"/>
        </w:sectPr>
      </w:pPr>
    </w:p>
    <w:bookmarkStart w:id="38" w:name="page39"/>
    <w:bookmarkEnd w:id="38"/>
    <w:p>
      <w:pPr>
        <w:ind w:left="98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3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5130165"/>
                    </a:xfrm>
                    <a:prstGeom prst="rect">
                      <a:avLst/>
                    </a:prstGeom>
                    <a:noFill/>
                  </pic:spPr>
                </pic:pic>
              </a:graphicData>
            </a:graphic>
          </wp:anchor>
        </w:drawing>
        <w:t xml:space="preserve">strong satisfaction of individual performance goals. Mr. Nye was awarded </w:t>
      </w:r>
      <w:r>
        <w:rPr>
          <w:rFonts w:ascii="Times New Roman" w:cs="Times New Roman" w:eastAsia="Times New Roman" w:hAnsi="Times New Roman"/>
          <w:sz w:val="18"/>
          <w:szCs w:val="18"/>
          <w:i w:val="1"/>
          <w:iCs w:val="1"/>
          <w:color w:val="auto"/>
        </w:rPr>
        <w:t>a merit pay increase of 3.03%.</w:t>
      </w:r>
      <w:r>
        <w:rPr>
          <w:rFonts w:ascii="Times New Roman" w:cs="Times New Roman" w:eastAsia="Times New Roman" w:hAnsi="Times New Roman"/>
          <w:sz w:val="18"/>
          <w:szCs w:val="18"/>
          <w:color w:val="auto"/>
        </w:rPr>
        <w:t xml:space="preserve"> The Committee received data indicating that Mr. Nye’s base salary was at or below median for executives in comparable positions.</w:t>
      </w:r>
    </w:p>
    <w:p>
      <w:pPr>
        <w:spacing w:after="0" w:line="37" w:lineRule="exact"/>
        <w:rPr>
          <w:sz w:val="20"/>
          <w:szCs w:val="20"/>
          <w:color w:val="auto"/>
        </w:rPr>
      </w:pPr>
    </w:p>
    <w:p>
      <w:pPr>
        <w:jc w:val="both"/>
        <w:ind w:left="980" w:hanging="213"/>
        <w:spacing w:after="0" w:line="26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Approved cash bonus payouts in the range of 66% to 76% of target to the named executive officers for 2012, consistent with the achievement of the performance metrics at or above that level. Mr. Nye’s </w:t>
      </w:r>
      <w:r>
        <w:rPr>
          <w:rFonts w:ascii="Times New Roman" w:cs="Times New Roman" w:eastAsia="Times New Roman" w:hAnsi="Times New Roman"/>
          <w:sz w:val="18"/>
          <w:szCs w:val="18"/>
          <w:i w:val="1"/>
          <w:iCs w:val="1"/>
          <w:color w:val="auto"/>
        </w:rPr>
        <w:t>cash bonus in 2012 was approximately 71% of base salary</w:t>
      </w:r>
      <w:r>
        <w:rPr>
          <w:rFonts w:ascii="Times New Roman" w:cs="Times New Roman" w:eastAsia="Times New Roman" w:hAnsi="Times New Roman"/>
          <w:sz w:val="18"/>
          <w:szCs w:val="18"/>
          <w:color w:val="auto"/>
        </w:rPr>
        <w:t>, although he does not have a target.</w:t>
      </w:r>
    </w:p>
    <w:p>
      <w:pPr>
        <w:spacing w:after="0" w:line="49" w:lineRule="exact"/>
        <w:rPr>
          <w:rFonts w:ascii="Times New Roman" w:cs="Times New Roman" w:eastAsia="Times New Roman" w:hAnsi="Times New Roman"/>
          <w:sz w:val="18"/>
          <w:szCs w:val="18"/>
          <w:color w:val="auto"/>
        </w:rPr>
      </w:pPr>
    </w:p>
    <w:p>
      <w:pPr>
        <w:ind w:left="980" w:hanging="213"/>
        <w:spacing w:after="0" w:line="277"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Granted performance-based long-term equity incentives to our continuing named executive officers in 2012 at </w:t>
      </w:r>
      <w:r>
        <w:rPr>
          <w:rFonts w:ascii="Times New Roman" w:cs="Times New Roman" w:eastAsia="Times New Roman" w:hAnsi="Times New Roman"/>
          <w:sz w:val="18"/>
          <w:szCs w:val="18"/>
          <w:i w:val="1"/>
          <w:iCs w:val="1"/>
          <w:color w:val="auto"/>
        </w:rPr>
        <w:t>50% of target</w:t>
      </w:r>
      <w:r>
        <w:rPr>
          <w:rFonts w:ascii="Times New Roman" w:cs="Times New Roman" w:eastAsia="Times New Roman" w:hAnsi="Times New Roman"/>
          <w:sz w:val="18"/>
          <w:szCs w:val="18"/>
          <w:color w:val="auto"/>
        </w:rPr>
        <w:t xml:space="preserve"> for the performance-based LTIP Awards (discussed on pages 45 to 47).</w:t>
      </w:r>
    </w:p>
    <w:p>
      <w:pPr>
        <w:spacing w:after="0" w:line="118"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pay-for-performance component of compensation in 2012 consisting of annual and long-term compensation, which comprises most of the compensation in 2012 for the named executive officers, are shown below with respect to (1) Mr. Nye and (2) all the named executive officers other than Mr. Nye.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We believe that our executive compensation program is reasonable, competitive, and strongly focused on pay-for-performance. The compensation of our named executive officers varies depending upon the achievement of pre-established performance goals, both corporate and individual. The majority of the target compensation opportunities for our named executive officers in 2012 were performance-based. Through equity incentives and mandatory investment of a portion of the annual bonus award in common stock units through the Incentive Stock Plan (discussed on page 45), we also align the interests of our executives with those of our shareholders and Martin Marietta’s long-term interests, and also help retain executives over time. Our executive compensation policies have enabled us to attract and retain talented and experienced senior executives. We believe that the compensation of our named executive officers in 2012 was consistent with Martin Marietta’s performance in 2012 and appropriate to align it with Martin Marietta’s growth in future years.</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060"/>
          </w:cols>
          <w:pgMar w:left="440" w:top="46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Compensation Philosophy and Objectives</w:t>
      </w:r>
    </w:p>
    <w:p>
      <w:pPr>
        <w:spacing w:after="0" w:line="94" w:lineRule="exact"/>
        <w:rPr>
          <w:sz w:val="20"/>
          <w:szCs w:val="20"/>
          <w:color w:val="auto"/>
        </w:rPr>
      </w:pPr>
    </w:p>
    <w:p>
      <w:pPr>
        <w:jc w:val="both"/>
        <w:ind w:firstLine="775"/>
        <w:spacing w:after="0" w:line="288" w:lineRule="auto"/>
        <w:rPr>
          <w:sz w:val="20"/>
          <w:szCs w:val="20"/>
          <w:color w:val="auto"/>
        </w:rPr>
      </w:pPr>
      <w:r>
        <w:rPr>
          <w:rFonts w:ascii="Times New Roman" w:cs="Times New Roman" w:eastAsia="Times New Roman" w:hAnsi="Times New Roman"/>
          <w:sz w:val="16"/>
          <w:szCs w:val="16"/>
          <w:color w:val="auto"/>
        </w:rPr>
        <w:t>We believe that our employees are Martin Marietta’s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2012,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Martin Marietta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Committee considers the following objectives in setting executive compensation:</w:t>
      </w:r>
    </w:p>
    <w:p>
      <w:pPr>
        <w:spacing w:after="0" w:line="90" w:lineRule="exact"/>
        <w:rPr>
          <w:sz w:val="20"/>
          <w:szCs w:val="20"/>
          <w:color w:val="auto"/>
        </w:rPr>
      </w:pPr>
    </w:p>
    <w:p>
      <w:pPr>
        <w:ind w:left="980" w:hanging="213"/>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knowledgeable and experienced senior executives.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achieve superior results on both annual and long-term bases to build long-term value for shareholders.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performance that exceeds established performance goals consistent with our strategic goals and upholding integrity.</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individual objectives with company objectives without encouraging excessive risk-taking.</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ownership mentality and align the long-term financial interest of our executives with those of our shareholders.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competitive with our peers.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reward systems that are measurable and easily understood by our managers and shareholders.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the Management Development and Compensation Committee</w:t>
      </w:r>
    </w:p>
    <w:p>
      <w:pPr>
        <w:spacing w:after="0" w:line="94"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 York Stock Exchange rules, and the Committee operates pursuant to a written charter, a copy of which can be viewed on Martin Marietta’s website at </w:t>
      </w:r>
      <w:r>
        <w:rPr>
          <w:rFonts w:ascii="Times New Roman" w:cs="Times New Roman" w:eastAsia="Times New Roman" w:hAnsi="Times New Roman"/>
          <w:sz w:val="18"/>
          <w:szCs w:val="18"/>
          <w:i w:val="1"/>
          <w:iCs w:val="1"/>
          <w:color w:val="auto"/>
        </w:rPr>
        <w:t>www.martinmarietta.com</w:t>
      </w:r>
      <w:r>
        <w:rPr>
          <w:rFonts w:ascii="Times New Roman" w:cs="Times New Roman" w:eastAsia="Times New Roman" w:hAnsi="Times New Roman"/>
          <w:sz w:val="18"/>
          <w:szCs w:val="18"/>
          <w:color w:val="auto"/>
        </w:rPr>
        <w:t>.</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060"/>
          </w:cols>
          <w:pgMar w:left="440" w:top="459" w:right="399" w:bottom="1440" w:gutter="0" w:footer="0" w:header="0"/>
        </w:sectPr>
      </w:pPr>
    </w:p>
    <w:bookmarkStart w:id="40" w:name="page41"/>
    <w:bookmarkEnd w:id="40"/>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44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744720"/>
                    </a:xfrm>
                    <a:prstGeom prst="rect">
                      <a:avLst/>
                    </a:prstGeom>
                    <a:noFill/>
                  </pic:spPr>
                </pic:pic>
              </a:graphicData>
            </a:graphic>
          </wp:anchor>
        </w:drawing>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input from the Senior Vice President—Human Resources, with respect to salary adjustments and annual cash and equity awards.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Martin Marietta and any executive officer of Martin Marietta, including the Chief Executive Officer.</w:t>
      </w:r>
    </w:p>
    <w:p>
      <w:pPr>
        <w:spacing w:after="0" w:line="141" w:lineRule="exact"/>
        <w:rPr>
          <w:sz w:val="20"/>
          <w:szCs w:val="20"/>
          <w:color w:val="auto"/>
        </w:rPr>
      </w:pPr>
    </w:p>
    <w:p>
      <w:pPr>
        <w:jc w:val="both"/>
        <w:ind w:firstLine="775"/>
        <w:spacing w:after="0" w:line="287" w:lineRule="auto"/>
        <w:rPr>
          <w:sz w:val="20"/>
          <w:szCs w:val="20"/>
          <w:color w:val="auto"/>
        </w:rPr>
      </w:pPr>
      <w:r>
        <w:rPr>
          <w:rFonts w:ascii="Times New Roman" w:cs="Times New Roman" w:eastAsia="Times New Roman" w:hAnsi="Times New Roman"/>
          <w:sz w:val="16"/>
          <w:szCs w:val="16"/>
          <w:color w:val="auto"/>
        </w:rPr>
        <w:t>The Committee uses a mix of annual and long-term compensation to provide a total compensation structure that is designed to motivate executives to achieve the business goals set by Martin Marietta and reward Martin Marietta’s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 Officer (except for his own compensation) and information provided by independent compensation consultants. In 2012, in light of Martin Marietta’s positive performance despite the lengthy economic recession, the Committee reevaluated its compensation philosophy to ensure that it appropriately compensated its executive officers based on Martin Marietta’s performance but also allowed Martin Marietta to attract and retain excellent leaders. In the Committee’s view, this was especially important given the decreased bonus and long-term equity grants being made due to Martin Marietta’s lower operating performance despite significant efforts being made by executive officers that will better position the Company for growth when the economy improves. In this regard, the Committee reaffirmed its philosophy of looking at total compensation, with long-term equity targets at or about median, although actual pay would be below median.</w:t>
      </w:r>
    </w:p>
    <w:p>
      <w:pPr>
        <w:spacing w:after="0" w:line="335" w:lineRule="exact"/>
        <w:rPr>
          <w:sz w:val="20"/>
          <w:szCs w:val="20"/>
          <w:color w:val="auto"/>
        </w:rPr>
      </w:pPr>
    </w:p>
    <w:p>
      <w:pPr>
        <w:jc w:val="both"/>
        <w:ind w:firstLine="775"/>
        <w:spacing w:after="0" w:line="289" w:lineRule="auto"/>
        <w:rPr>
          <w:sz w:val="20"/>
          <w:szCs w:val="20"/>
          <w:color w:val="auto"/>
        </w:rPr>
      </w:pPr>
      <w:r>
        <w:rPr>
          <w:rFonts w:ascii="Times New Roman" w:cs="Times New Roman" w:eastAsia="Times New Roman" w:hAnsi="Times New Roman"/>
          <w:sz w:val="16"/>
          <w:szCs w:val="16"/>
          <w:color w:val="auto"/>
        </w:rPr>
        <w:t>The Committee in 2012 was advised by Towers Watson &amp; Co. pursuant to an engagement as the Committee’s independent compensation consultant to assist it in reviewing Martin Marietta’s executive compensation program to ensure that the program is consistent with the Board’s philosophy and to provide valuable information and insight as to market pay practices. Towers Watson conducted an extensive review and benchmarking study of Martin Marietta’s compensation program in 2007. In addition, it reviews and provides comments on management’s annual competitive analysis of each component of compensation and total compensation for the Chief Executive Officer and executive officers of Martin Marietta. Towers Watson provides the Committee with relevant market data and alternatives to consider when making compensation decisions for the Chief Executive Officer. Towers Watson also provides feedback to management on proxy information and published compensation surveys, which are then used by the Chief Executive Officer in making recommendations to the Committee with respect to compensation for executive officers other than the Chief Executive Officer. The Committee and/or the Committee Chairman from time to time in 2012 met with Towers Watson in private sessions without management present.</w:t>
      </w:r>
    </w:p>
    <w:p>
      <w:pPr>
        <w:spacing w:after="0" w:line="33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The Committee assessed and discussed the performance and independence of its executive compensation consultant in 2012 and whether the work performed by the executive compensation</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060"/>
          </w:cols>
          <w:pgMar w:left="440" w:top="463" w:right="399" w:bottom="1440" w:gutter="0" w:footer="0" w:header="0"/>
        </w:sectPr>
      </w:pPr>
    </w:p>
    <w:bookmarkStart w:id="41" w:name="page42"/>
    <w:bookmarkEnd w:id="41"/>
    <w:p>
      <w:pPr>
        <w:jc w:val="both"/>
        <w:spacing w:after="0" w:line="28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93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693285"/>
                    </a:xfrm>
                    <a:prstGeom prst="rect">
                      <a:avLst/>
                    </a:prstGeom>
                    <a:noFill/>
                  </pic:spPr>
                </pic:pic>
              </a:graphicData>
            </a:graphic>
          </wp:anchor>
        </w:drawing>
        <w:t>consultants at Towers Watson raised a conflict of interest that would prevent Towers Watson from independently advising the Committee. As part of this assessment, the Committee considered the extent of other business that Towers Watson performed for Martin Marietta and reviewed the safeguards that were in place to ensure the independence of the advice they received. The Committee also considered that Towers Watson provides other services to Martin Marietta, the amount of fees received by Towers Watson from Martin Marietta as a percentage of its total revenue, Towers Watson’s policies and procedures that are designed to prevent conflicts of interest, no personal or business relationship of the compensation consultant with a member of the Committee, no Martin Marietta stock owned by the compensation consultant, and no business or personal relationship between our executive officers and Towers Watson or the compensation consultant. The Committee considered that Towers Watson performed actuarial, retirement plan, welfare plan and benefits consulting services for Martin Marietta from a different office and individuals than those who provided compensation advice to the Committee. Martin Marietta paid $676,779 to Towers Watson for such other business in 2012. The engagement of Towers Watson (then Towers Perrin) for these other services was recommended by management, and approved by the Board of Directors, in 1995. The Committee had engaged Watson Wyatt for compensation consultant advice in 1995, and continued with the same group of compensation consultants from time to time. After the merger of Towers Perrin and Watson Wyatt in 2010, Martin Marietta used both groups of Towers Watson, namely the compensation consultants from the former Watson Wyatt firm and the actuarial, retirement plan, welfare plan and benefits consulting services from the former Towers Perrin firm. In contrast to the actuarial, retirement plan, welfare plan and benefits consulting services, Towers Watson’s fees to Martin Marietta for executive compensation services in 2012 were $160,454. The total fees Towers Watson received from Martin Marietta were less than 0.05% of its total revenue. The Committee also reviewed Towers Watson’s protocols and policies with regard to ensuring the objectivity of its consulting on compensation, including rigorous peer reviews by qualified reviewers who do not regularly perform work for Martin Marietta, a comprehensive Code of Conduct and Ethics that addresses issues relating to conflicts of interest, periodic compliance reviews, the compensation consultants who advise Martin Marietta on the compensation of executive officers and directors may not serve in broader relationship-management roles for us, individuals who are not part of the executive compensation consulting team (other than designated quality reviewers) are precluded from involvement in the development of recommendations regarding the compensation of Martin Marietta’s executive officers and directors, and the compensation paid to Towers Watson executive compensation consultants is not directly tied to the fees paid, or to the expansion of the fees paid, by that client. Based on these considerations, the Committee determined that adequate safeguards were in place to assure that the engagement of Towers Watson to provide actuarial, retirement plan, welfare plan and benefits consulting services would not cause Towers Watson to be unduly influenced by management and that Towers Watson provided objective and independent executive compensation advice to the Committee.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Risk-Taking</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We believe our executive pay is reasonable and provides appropriate incentives to our executives to achieve our financial and strategic goals without encouraging them to take excessive risks in their business decisions. Compensation program features that mitigate against risks include the following:</w:t>
      </w:r>
    </w:p>
    <w:p>
      <w:pPr>
        <w:spacing w:after="0" w:line="51" w:lineRule="exact"/>
        <w:rPr>
          <w:sz w:val="20"/>
          <w:szCs w:val="20"/>
          <w:color w:val="auto"/>
        </w:rPr>
      </w:pPr>
    </w:p>
    <w:p>
      <w:pPr>
        <w:ind w:left="980" w:hanging="213"/>
        <w:spacing w:after="0" w:line="275"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bonus plan does not provide payment for poor individual or corporate performance, regardless of whether the failure to achieve target was outside management’s control.</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060"/>
          </w:cols>
          <w:pgMar w:left="440" w:top="463" w:right="399" w:bottom="1440" w:gutter="0" w:footer="0" w:header="0"/>
        </w:sectPr>
      </w:pPr>
    </w:p>
    <w:bookmarkStart w:id="42" w:name="page43"/>
    <w:bookmarkEnd w:id="42"/>
    <w:p>
      <w:pPr>
        <w:ind w:left="980" w:hanging="213"/>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64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864735"/>
                    </a:xfrm>
                    <a:prstGeom prst="rect">
                      <a:avLst/>
                    </a:prstGeom>
                    <a:noFill/>
                  </pic:spPr>
                </pic:pic>
              </a:graphicData>
            </a:graphic>
          </wp:anchor>
        </w:drawing>
        <w:t>There is a cap on the annual bonus, even for spectacular performance.</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caps on the long-term equity awards, even if the required performance-related criteria are exceeded.</w:t>
      </w:r>
    </w:p>
    <w:p>
      <w:pPr>
        <w:spacing w:after="0" w:line="90"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named executive officers’ compensation is long-term, with equity grants vesting over three to five years, depending on the plan.</w:t>
      </w:r>
    </w:p>
    <w:p>
      <w:pPr>
        <w:spacing w:after="0" w:line="38" w:lineRule="exact"/>
        <w:rPr>
          <w:rFonts w:ascii="Times New Roman" w:cs="Times New Roman" w:eastAsia="Times New Roman" w:hAnsi="Times New Roman"/>
          <w:sz w:val="18"/>
          <w:szCs w:val="18"/>
          <w:color w:val="auto"/>
        </w:rPr>
      </w:pPr>
    </w:p>
    <w:p>
      <w:pPr>
        <w:ind w:left="980" w:hanging="213"/>
        <w:spacing w:after="0" w:line="275"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is not based on highly-leveraged short-term incentives that encourage high risk investments at the expense of long-term value.</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to executive officers is based on specific performance measures that balance long-term growth and returns.</w:t>
      </w:r>
    </w:p>
    <w:p>
      <w:pPr>
        <w:spacing w:after="0" w:line="90" w:lineRule="exact"/>
        <w:rPr>
          <w:rFonts w:ascii="Times New Roman" w:cs="Times New Roman" w:eastAsia="Times New Roman" w:hAnsi="Times New Roman"/>
          <w:sz w:val="18"/>
          <w:szCs w:val="18"/>
          <w:color w:val="auto"/>
        </w:rPr>
      </w:pPr>
    </w:p>
    <w:p>
      <w:pPr>
        <w:ind w:left="980" w:hanging="213"/>
        <w:spacing w:after="0" w:line="275"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uses benchmarking data and the advice of its independent compensation consultant to keep compensation in line with typical market practices and appropriate to Martin Marietta’s needs.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Benchmarking Information</w:t>
      </w:r>
    </w:p>
    <w:p>
      <w:pPr>
        <w:spacing w:after="0" w:line="94" w:lineRule="exact"/>
        <w:rPr>
          <w:sz w:val="20"/>
          <w:szCs w:val="20"/>
          <w:color w:val="auto"/>
        </w:rPr>
      </w:pPr>
    </w:p>
    <w:p>
      <w:pPr>
        <w:jc w:val="both"/>
        <w:ind w:firstLine="775"/>
        <w:spacing w:after="0" w:line="252" w:lineRule="auto"/>
        <w:rPr>
          <w:sz w:val="20"/>
          <w:szCs w:val="20"/>
          <w:color w:val="auto"/>
        </w:rPr>
      </w:pPr>
      <w:r>
        <w:rPr>
          <w:rFonts w:ascii="Times New Roman" w:cs="Times New Roman" w:eastAsia="Times New Roman" w:hAnsi="Times New Roman"/>
          <w:sz w:val="18"/>
          <w:szCs w:val="18"/>
          <w:color w:val="auto"/>
        </w:rPr>
        <w:t>The Committee reviews compensation information drawn from various sources, including proxy statements of a peer group of the following companies that we selected primarily from the Standard and Poor’s 1500 Basic Materials Index with other companies added to the group, that are in the aggregates, cement, natural resources and specialty chemical industries based on similarities in revenue and business characteristics: Albermarle Corporation, Alpha Natural Resources, Inc., Amcol International Corporation, Arch Coal, Inc., FMC Corporation, Georgia Gulf Corporation, Granite Construction Inc., Kansas City Southern, Louisiana- Pacific Corporation, Packaging Corporation of America, Patriot Coal Corporation, Universal Forest Products Inc., The Valspar Corporation and Vulcan Materials Company (the “Compensation Peer Group”). The Committee reviews these peer companies annually to ensure that the companies included in the group are comparable to Martin Marietta as to size and mix, and other factors (such as removing companies that have undergone bankruptcy or other significant financial issues). The Compensation Peer Group was used by the Committee for data related to base, bonus and long-term incentive compensation because of the Committee’s view that it competes for executive officers and employees from companies that are represented by this group. In 2012 the Committee used a different peer group for comparisons related to performance based on its view that investors consider the performance of these public companies when deciding to make an investment in the construction materials sector. This peer group consists of Cemex, S.A.B. de C.V., CRH PLC, Heidelberger Druckmaschinen AG/Heidelberg USA, Holcim Ltd., Lafarge S.A. and Vulcan Materials Company (the “Performance Peer Group”).</w:t>
      </w:r>
    </w:p>
    <w:p>
      <w:pPr>
        <w:spacing w:after="0" w:line="146"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Because the information in the proxy statements or other reports of these companies generally does not provide precise comparisons by position to our executive officers, the Committee also takes into consideration published independent compensation surveys of companies with revenue in the range of $1.5 billion to $2.0 billion as to median levels for each executive officer. As to the Chief Executive Officer’s compensation, the Committee reviews compensation information derived from both the Compensation Peer Group described above and the published surveys described in the preceding sentence, as well as the advice of Towers Watson. The Committee considered this benchmarking information in November 2011 in setting Mr. Nye’s base salary and for the other components of his 2012 compensation.</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060"/>
          </w:cols>
          <w:pgMar w:left="440" w:top="463" w:right="399" w:bottom="1440" w:gutter="0" w:footer="0" w:header="0"/>
        </w:sectPr>
      </w:pPr>
    </w:p>
    <w:bookmarkStart w:id="43" w:name="page44"/>
    <w:bookmarkEnd w:id="43"/>
    <w:p>
      <w:pPr>
        <w:jc w:val="both"/>
        <w:ind w:firstLine="775"/>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99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899025"/>
                    </a:xfrm>
                    <a:prstGeom prst="rect">
                      <a:avLst/>
                    </a:prstGeom>
                    <a:noFill/>
                  </pic:spPr>
                </pic:pic>
              </a:graphicData>
            </a:graphic>
          </wp:anchor>
        </w:drawing>
        <w:t>In general, the Committee compares annual base salaries to the median compensation levels or the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executive officers performing similar job functions at the companies in both the peer group survey and the published surveys described above that were reviewed. The same peer group survey was used to consider compensation for the Chief Executive Officer, the Chief Financial Officer and the executive officers responsible for operations. The published surveys described above are used to consider compensation for the Chief Executive Officer and all the named executive officers. The Committee also reviews a range of market pay for similarly-situated executive officers. It also compares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seeks to give each executive officer the opportunity to earn more than the median of the total compensation paid to executive officers performing similar job functions at the peer companies for outstanding performance, which can be difficult to achieve. The Committee uses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147"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Structure and Awards for 2012</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The Committee periodically reviews the components of Martin Marietta’s executive compensation program to ensure that pay levels are competitive and that incentive opportunities are effective in attracting and retaining talented employees. Consistent with the Committee’s approach in prior years, the 2012 executive compensation program was based on the following principles:</w:t>
      </w:r>
    </w:p>
    <w:p>
      <w:pPr>
        <w:spacing w:after="0" w:line="51" w:lineRule="exact"/>
        <w:rPr>
          <w:sz w:val="20"/>
          <w:szCs w:val="20"/>
          <w:color w:val="auto"/>
        </w:rPr>
      </w:pPr>
    </w:p>
    <w:p>
      <w:pPr>
        <w:ind w:left="980" w:hanging="213"/>
        <w:spacing w:after="0" w:line="275"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that provide a base level of compensation targeted to the median level of salaries paid to officers in comparable companies with perceived comparable responsibilities, adjusted for each individual to reflect the factors discussed above.</w:t>
      </w:r>
    </w:p>
    <w:p>
      <w:pPr>
        <w:spacing w:after="0" w:line="38" w:lineRule="exact"/>
        <w:rPr>
          <w:rFonts w:ascii="Times New Roman" w:cs="Times New Roman" w:eastAsia="Times New Roman" w:hAnsi="Times New Roman"/>
          <w:sz w:val="18"/>
          <w:szCs w:val="18"/>
          <w:color w:val="auto"/>
        </w:rPr>
      </w:pPr>
    </w:p>
    <w:p>
      <w:pPr>
        <w:ind w:left="980" w:hanging="213"/>
        <w:spacing w:after="0" w:line="275"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that reward recipients if they achieve or exceed performance results against established targeted corporate and personal goals.</w:t>
      </w:r>
    </w:p>
    <w:p>
      <w:pPr>
        <w:spacing w:after="0" w:line="38"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awards that encourage stock ownership and reward future stock price appreciation by permitting the recipients to purchase stock at a discount with cash from bonus awards.</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060"/>
          </w:cols>
          <w:pgMar w:left="440" w:top="463" w:right="399" w:bottom="1440" w:gutter="0" w:footer="0" w:header="0"/>
        </w:sectPr>
      </w:pPr>
    </w:p>
    <w:bookmarkStart w:id="44" w:name="page45"/>
    <w:bookmarkEnd w:id="44"/>
    <w:p>
      <w:pPr>
        <w:ind w:left="980" w:right="20" w:hanging="213"/>
        <w:spacing w:after="0" w:line="275"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0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5104765"/>
                    </a:xfrm>
                    <a:prstGeom prst="rect">
                      <a:avLst/>
                    </a:prstGeom>
                    <a:noFill/>
                  </pic:spPr>
                </pic:pic>
              </a:graphicData>
            </a:graphic>
          </wp:anchor>
        </w:drawing>
        <w:t>Long-term equity compensation that links officers’ rewards directly to the return realized by Martin Marietta’s shareholders. This component includes both stock options and restricted stock awards, both of which are based on Martin Marietta’s performance.</w:t>
      </w:r>
    </w:p>
    <w:p>
      <w:pPr>
        <w:spacing w:after="0" w:line="38"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other benefits that are designed to attract and retain employees. The level of retirement payments reward employees who remain with Martin Marietta for longer periods of employment.</w:t>
      </w:r>
    </w:p>
    <w:p>
      <w:pPr>
        <w:spacing w:after="0" w:line="120" w:lineRule="exact"/>
        <w:rPr>
          <w:sz w:val="20"/>
          <w:szCs w:val="20"/>
          <w:color w:val="auto"/>
        </w:rPr>
      </w:pPr>
    </w:p>
    <w:p>
      <w:pPr>
        <w:jc w:val="both"/>
        <w:ind w:firstLine="775"/>
        <w:spacing w:after="0" w:line="296" w:lineRule="auto"/>
        <w:rPr>
          <w:sz w:val="20"/>
          <w:szCs w:val="20"/>
          <w:color w:val="auto"/>
        </w:rPr>
      </w:pPr>
      <w:r>
        <w:rPr>
          <w:rFonts w:ascii="Times New Roman" w:cs="Times New Roman" w:eastAsia="Times New Roman" w:hAnsi="Times New Roman"/>
          <w:sz w:val="16"/>
          <w:szCs w:val="16"/>
          <w:color w:val="auto"/>
        </w:rPr>
        <w:t>When setting total compensation for each of the named executive officers, the Committee reviewed in 2012 tally sheets that showed the executive’s total current compensation, including equity and non-equity based compensation. In establishing specific award levels in 2012,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94" w:lineRule="exact"/>
        <w:rPr>
          <w:sz w:val="20"/>
          <w:szCs w:val="20"/>
          <w:color w:val="auto"/>
        </w:rPr>
      </w:pPr>
    </w:p>
    <w:p>
      <w:pPr>
        <w:jc w:val="both"/>
        <w:ind w:firstLine="775"/>
        <w:spacing w:after="0" w:line="253" w:lineRule="auto"/>
        <w:rPr>
          <w:sz w:val="20"/>
          <w:szCs w:val="20"/>
          <w:color w:val="auto"/>
        </w:rPr>
      </w:pPr>
      <w:r>
        <w:rPr>
          <w:rFonts w:ascii="Times New Roman" w:cs="Times New Roman" w:eastAsia="Times New Roman" w:hAnsi="Times New Roman"/>
          <w:sz w:val="18"/>
          <w:szCs w:val="18"/>
          <w:color w:val="auto"/>
        </w:rPr>
        <w:t>Martin Marietta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Martin Marietta, and (2) changes in median 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2012, an increase in the range of 2.5% to 3.26% from 2011 base salaries was awarded to each executive officer, other than Mr. Nye and Mr. Vaio, in furtherance of executive management’s efforts to manage costs. The 2012 increase was lower than previous base salary increases given to the executive officers. Mr. Vaio received a salary increase of 7.37% in 2012 in light of his expanded responsibilities related to the recently-acquired Colorado business. Base salary in 2012 for executive officers other than Mr. Nye was at approximately the median range of the compensation peer group in 2012.</w:t>
      </w:r>
    </w:p>
    <w:p>
      <w:pPr>
        <w:spacing w:after="0" w:line="141"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In assessing the Chief Executive Officer’s base salary for 2012, the Committee approved a base salary of $850,000 for Mr. Nye in November 2011. This 3.03% increase was awarded based on his excellent achievements as Chief Executive Officer since 2010 in a challenging economic environment. The Committee also considered the increase in the number of managers reporting directly to Mr. Nye as a result of management reorganization. In addition, the Committee considered whether this increase would further its objective in aligning Mr. Nye’s compensation with the interests of the company’s shareholders. The Committee reviewed base salary data and total compensation data for chief executive officers in the compensation studies described above. It also considered the advice of Towers Watson. Mr. Nye’s base salary and annual incentive bonus compensation for 2012 were below the median range of peers in the Compensation Peer Group.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 Compensation</w:t>
      </w:r>
    </w:p>
    <w:p>
      <w:pPr>
        <w:spacing w:after="0" w:line="94"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We award annual cash bonuses based on corporate performance objectives and the achievement of individualized targeted goals. This furthers Martin Marietta’s compensation philosophy in that it</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060"/>
          </w:cols>
          <w:pgMar w:left="440" w:top="463" w:right="399" w:bottom="1440" w:gutter="0" w:footer="0" w:header="0"/>
        </w:sectPr>
      </w:pPr>
    </w:p>
    <w:bookmarkStart w:id="45" w:name="page46"/>
    <w:bookmarkEnd w:id="45"/>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38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538345"/>
                    </a:xfrm>
                    <a:prstGeom prst="rect">
                      <a:avLst/>
                    </a:prstGeom>
                    <a:noFill/>
                  </pic:spPr>
                </pic:pic>
              </a:graphicData>
            </a:graphic>
          </wp:anchor>
        </w:drawing>
        <w:t>encourages superior performance and rewards the achievement of Martin Marietta’s annual goals. In 2012, under Martin Marietta’s Executive Incentive Plan, the amount of bonus that an executive could receive was based upon a percentage of that executive’s base salary. In 2012, all of the executive officers participated in the plan, except for Mr. Nye, for whom bonus compensation was awarded outside of the plan.</w:t>
      </w:r>
    </w:p>
    <w:p>
      <w:pPr>
        <w:spacing w:after="0" w:line="132"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 xml:space="preserve">In determining awards granted under the plan, the Committee first reviews the achievements of Martin Marietta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Martin Marietta’s </w:t>
      </w:r>
      <w:r>
        <w:rPr>
          <w:rFonts w:ascii="Times New Roman" w:cs="Times New Roman" w:eastAsia="Times New Roman" w:hAnsi="Times New Roman"/>
          <w:sz w:val="18"/>
          <w:szCs w:val="18"/>
          <w:i w:val="1"/>
          <w:iCs w:val="1"/>
          <w:color w:val="auto"/>
        </w:rPr>
        <w:t>Code of Ethics and Standards of Conduct</w:t>
      </w:r>
      <w:r>
        <w:rPr>
          <w:rFonts w:ascii="Times New Roman" w:cs="Times New Roman" w:eastAsia="Times New Roman" w:hAnsi="Times New Roman"/>
          <w:sz w:val="18"/>
          <w:szCs w:val="18"/>
          <w:color w:val="auto"/>
        </w:rPr>
        <w:t>, safety, customer satisfaction, and product quality.</w:t>
      </w:r>
    </w:p>
    <w:p>
      <w:pPr>
        <w:spacing w:after="0" w:line="136"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The amount awarded to each executive officer is based upon the Committee’s general review of each individual’s achievement of individualized targeted goals, including standard objective measures of financial performance such as earnings, cash flow, and other key sales and production metrics for Martin Marietta as a whole and for individual business units, and subjective measures, such as the individual’s overall contribution to Martin Marietta,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For 2012, the target bonus level set for each of the named executive officers was a percentage of such officer’s base salary: 80% for Ms. Lloyd and Mr. Vaio and 70% for Ms. Bar and Mr. McCunniff, and 60% for Ms. Guzzo. The maximum is 150% of target commensurate with performance at that “stretch” level. There is no threshold since there is no guaranteed bonus if the performance goals are not met.</w:t>
      </w:r>
    </w:p>
    <w:p>
      <w:pPr>
        <w:spacing w:after="0" w:line="138"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The objective goals vary by the position of the executive officer. They are established at the beginning of each plan year and are based upon Martin Marietta’s Long Range Operating Plan, which is set at the end of the previous year. For executives in corporate staff positions, 50% of the determination is made with respect to Martin Marietta’s performance and 50% is based on the individual’s performance against established objectives. For named executive officers with operating unit responsibility, 40% of the determination is made with respect to the operating unit’s performance, 25% is based on Martin Marietta’s performance and 35% is based on the individual’s performance against established objectives.</w:t>
      </w:r>
    </w:p>
    <w:p>
      <w:pPr>
        <w:spacing w:after="0" w:line="139"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The individualized target goals are tailored for each executive, his or her specific areas of responsibility and the then-current and longer term goals of Martin Marietta. In addition, achievement of the goals typically is in part dependent on conditions outside the control of each of the named executive officer. For example, we have a strong focus on safety in our business. Regardless of the achievement of other targets, incentive awards are reduced for all employees in the event of any workplace fatality in Martin Marietta. Similarly, our business may be adversely affected by hurricanes or other weather-related conditions, which could have the result of impeding the achievement of certain performance-based goals.</w:t>
      </w:r>
    </w:p>
    <w:p>
      <w:pPr>
        <w:spacing w:after="0" w:line="139"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Although there is substantial uncertainty with respect to achieving the target levels at the time the goals are set and communicated, our named executive officers have a reasonable expectation of</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060"/>
          </w:cols>
          <w:pgMar w:left="440" w:top="463" w:right="399" w:bottom="1440" w:gutter="0" w:footer="0" w:header="0"/>
        </w:sectPr>
      </w:pPr>
    </w:p>
    <w:bookmarkStart w:id="46" w:name="page47"/>
    <w:bookmarkEnd w:id="46"/>
    <w:p>
      <w:pPr>
        <w:jc w:val="both"/>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04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504690"/>
                    </a:xfrm>
                    <a:prstGeom prst="rect">
                      <a:avLst/>
                    </a:prstGeom>
                    <a:noFill/>
                  </pic:spPr>
                </pic:pic>
              </a:graphicData>
            </a:graphic>
          </wp:anchor>
        </w:drawing>
        <w:t>receiving a cash incentive award at a level that is near their target level. However, the “stretch” levels remain extremely difficult to obtain and the maximum cash award level has not been achieved in prior periods.</w:t>
      </w:r>
    </w:p>
    <w:p>
      <w:pPr>
        <w:spacing w:after="0" w:line="120"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The bonus level for 2012 for the named executive officers was in the range of 66% to 75.5% of target as a result of Martin Marietta’s lower financial performance in 2012 than historical levels even though the named executive officers achieved near their target levels on the individualized personal goals. The factors that the Committee took into account in determining Martin Marietta’s performance in 2012 included a detailed assessment of Martin Marietta’s overall financial performance and each segment’s financial performance, Martin Marietta’s continuing successful cost management and automation initiatives in a challenging economic environment, a safety performance improvement of 6.5% in total case incident rate over the prior year’s record low rate, outstanding environmental and regulatory compliance results, continuing achievement of excellent management of working capital, and the successful organic and inorganic growth of Martin Marietta.</w:t>
      </w:r>
    </w:p>
    <w:p>
      <w:pPr>
        <w:spacing w:after="0" w:line="141" w:lineRule="exact"/>
        <w:rPr>
          <w:sz w:val="20"/>
          <w:szCs w:val="20"/>
          <w:color w:val="auto"/>
        </w:rPr>
      </w:pPr>
    </w:p>
    <w:p>
      <w:pPr>
        <w:jc w:val="both"/>
        <w:ind w:firstLine="775"/>
        <w:spacing w:after="0" w:line="289" w:lineRule="auto"/>
        <w:rPr>
          <w:sz w:val="20"/>
          <w:szCs w:val="20"/>
          <w:color w:val="auto"/>
        </w:rPr>
      </w:pPr>
      <w:r>
        <w:rPr>
          <w:rFonts w:ascii="Times New Roman" w:cs="Times New Roman" w:eastAsia="Times New Roman" w:hAnsi="Times New Roman"/>
          <w:sz w:val="16"/>
          <w:szCs w:val="16"/>
          <w:color w:val="auto"/>
        </w:rPr>
        <w:t>The Chief Executive Officer does not participate in Martin Marietta’s Executive Incentive Plan and his bonus, if any, is determined at the discretion of the Committee. Generally, his bonus level is approximately 100% of his base salary although there is no specific target for the Chief Executive Officer’s bonus. The Committee did not attempt to set Mr. Nye’s 2012 bonus in any particular relationship to peer compensation survey data. The Committee awarded him an annual incentive bonus of $600,000 for 2012, which was 70.6% of his base salary, after considering many diverse factors, including the advice of Towers Watson. Consistent with its compensation philosophy that focuses on long-term performance, the Committee considers whether there are factors in addition to quantitative ones that should be taken into account in establishing the overall level of Mr. Nye’s compensation. In this regard, the Committee considered accomplishments that benefit shareholders in the longer term. In subjectively determining the amount of Mr. Nye’s bonus for 2012, the Committee took into account the same type of objective performance measures and qualitative measures, such as the effectiveness and quality of Mr. Nye’s leadership of Martin Marietta, as it would typically consider for executive officers who receive awards under the plan.</w:t>
      </w:r>
    </w:p>
    <w:p>
      <w:pPr>
        <w:spacing w:after="0" w:line="11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achievements were considered by the Committee in determining Mr. Nye’s 2012 bonus:</w:t>
      </w:r>
    </w:p>
    <w:p>
      <w:pPr>
        <w:spacing w:after="0" w:line="90" w:lineRule="exact"/>
        <w:rPr>
          <w:sz w:val="20"/>
          <w:szCs w:val="20"/>
          <w:color w:val="auto"/>
        </w:rPr>
      </w:pPr>
    </w:p>
    <w:p>
      <w:pPr>
        <w:ind w:left="980" w:hanging="213"/>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returns in 2012 of 27.58% that outpaced the S&amp;P 500 return of 15.99% and the S&amp;P 500 Materials return of 15.20%.</w:t>
      </w:r>
    </w:p>
    <w:p>
      <w:pPr>
        <w:spacing w:after="0" w:line="90"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of $1.839 billion in 2012 that exceeded 2011 sales by $319 million or 21%, including a $238 million contribution from the newly-acquired Colorado business resulting from the integration of that division.</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in 2012 that exceeded market expectations, reporting:</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diluted share of $1.83 in 2012 compared with $1.78 in 2011</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diluted share of $2.29, an increase of $.26 per share, or 13% over 2011</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attributable to Martin Marietta of $105.7 million, an increase of 13% over 2011</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060"/>
          </w:cols>
          <w:pgMar w:left="440" w:top="463" w:right="399" w:bottom="1440" w:gutter="0" w:footer="0" w:header="0"/>
        </w:sectPr>
      </w:pPr>
    </w:p>
    <w:bookmarkStart w:id="47" w:name="page48"/>
    <w:bookmarkEnd w:id="47"/>
    <w:p>
      <w:pPr>
        <w:ind w:left="980" w:hanging="21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24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624705"/>
                    </a:xfrm>
                    <a:prstGeom prst="rect">
                      <a:avLst/>
                    </a:prstGeom>
                    <a:noFill/>
                  </pic:spPr>
                </pic:pic>
              </a:graphicData>
            </a:graphic>
          </wp:anchor>
        </w:drawing>
        <w:t>Specialty Products record earnings from operations of $68.5 million compared with $66.3 million in 2011.</w:t>
      </w:r>
    </w:p>
    <w:p>
      <w:pPr>
        <w:spacing w:after="0" w:line="90" w:lineRule="exact"/>
        <w:rPr>
          <w:rFonts w:ascii="Times New Roman" w:cs="Times New Roman" w:eastAsia="Times New Roman" w:hAnsi="Times New Roman"/>
          <w:sz w:val="18"/>
          <w:szCs w:val="18"/>
          <w:color w:val="auto"/>
        </w:rPr>
      </w:pPr>
    </w:p>
    <w:p>
      <w:pPr>
        <w:ind w:left="980" w:hanging="213"/>
        <w:spacing w:after="0" w:line="275"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the capital project to construct a new kiln at the Specialty Products’ Woodville, Ohio facility, which was accomplished on budget and ahead of schedule.</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stringent focus on controlling costs and improving efficiencies, which differentiated us from others in the industry, as reflected by:</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productivity increase of 5.6%, as measured by tons produced by per working man hour</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in 2012 of 17.7%</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7.5% of net sales in 2012, down 70 basis points from 2011</w:t>
      </w:r>
    </w:p>
    <w:p>
      <w:pPr>
        <w:spacing w:after="0" w:line="90" w:lineRule="exact"/>
        <w:rPr>
          <w:rFonts w:ascii="Times New Roman" w:cs="Times New Roman" w:eastAsia="Times New Roman" w:hAnsi="Times New Roman"/>
          <w:sz w:val="18"/>
          <w:szCs w:val="18"/>
          <w:color w:val="auto"/>
        </w:rPr>
      </w:pPr>
    </w:p>
    <w:p>
      <w:pPr>
        <w:ind w:left="1420" w:hanging="437"/>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 million in cash was generated from our operations, representing 12% of net sales in 2012</w:t>
      </w:r>
    </w:p>
    <w:p>
      <w:pPr>
        <w:spacing w:after="0" w:line="90" w:lineRule="exact"/>
        <w:rPr>
          <w:rFonts w:ascii="Times New Roman" w:cs="Times New Roman" w:eastAsia="Times New Roman" w:hAnsi="Times New Roman"/>
          <w:sz w:val="18"/>
          <w:szCs w:val="18"/>
          <w:color w:val="auto"/>
        </w:rPr>
      </w:pPr>
    </w:p>
    <w:p>
      <w:pPr>
        <w:ind w:left="1420" w:hanging="437"/>
        <w:spacing w:after="0" w:line="275"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reorganization of the management structure, which allowed us to realign our divisional composition and is expected to reduce ongoing annual overhead costs by approximately $3.1 million</w:t>
      </w:r>
    </w:p>
    <w:p>
      <w:pPr>
        <w:spacing w:after="0" w:line="38"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excellent regulatory performance, including further safety performance improvement in total injury incidence rates.</w:t>
      </w:r>
    </w:p>
    <w:p>
      <w:pPr>
        <w:spacing w:after="0" w:line="90"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of sufficient cash flow to continue paying dividends to shareholders at the unreduced annual rate of $1.60 per share.</w:t>
      </w:r>
    </w:p>
    <w:p>
      <w:pPr>
        <w:spacing w:after="0" w:line="90" w:lineRule="exact"/>
        <w:rPr>
          <w:rFonts w:ascii="Times New Roman" w:cs="Times New Roman" w:eastAsia="Times New Roman" w:hAnsi="Times New Roman"/>
          <w:sz w:val="18"/>
          <w:szCs w:val="18"/>
          <w:color w:val="auto"/>
        </w:rPr>
      </w:pPr>
    </w:p>
    <w:p>
      <w:pPr>
        <w:jc w:val="both"/>
        <w:ind w:left="980" w:hanging="213"/>
        <w:spacing w:after="0" w:line="310" w:lineRule="auto"/>
        <w:tabs>
          <w:tab w:leader="none" w:pos="9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Excellent balance sheet management that allowed Martin Marietta to consider marketplace opportunities, pay its debt obligations as they matured, maintain the annual cash dividend of $1.60 per share to shareholders, and reduce outstanding debt by $13 million, thereby achieving a year-end debt-to-EBITDA ratio of 3.2 times, in compliance with the 3.75 ratio provided for in the company’s senior credit agreement.</w:t>
      </w:r>
    </w:p>
    <w:p>
      <w:pPr>
        <w:spacing w:after="0" w:line="16" w:lineRule="exact"/>
        <w:rPr>
          <w:rFonts w:ascii="Times New Roman" w:cs="Times New Roman" w:eastAsia="Times New Roman" w:hAnsi="Times New Roman"/>
          <w:sz w:val="16"/>
          <w:szCs w:val="16"/>
          <w:color w:val="auto"/>
        </w:rPr>
      </w:pPr>
    </w:p>
    <w:p>
      <w:pPr>
        <w:jc w:val="both"/>
        <w:ind w:left="980" w:hanging="213"/>
        <w:spacing w:after="0" w:line="26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innovative use of Martin Marietta’s information systems to achieve new and improved applications to enhance customer service and further management’s ability to analyze and manage the business. Martin Marietta was the only company in its industry to be selected (now for the 11</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straight year) to the </w:t>
      </w:r>
      <w:r>
        <w:rPr>
          <w:rFonts w:ascii="Times New Roman" w:cs="Times New Roman" w:eastAsia="Times New Roman" w:hAnsi="Times New Roman"/>
          <w:sz w:val="18"/>
          <w:szCs w:val="18"/>
          <w:i w:val="1"/>
          <w:iCs w:val="1"/>
          <w:color w:val="auto"/>
        </w:rPr>
        <w:t>Information Week 500.</w:t>
      </w:r>
    </w:p>
    <w:p>
      <w:pPr>
        <w:spacing w:after="0" w:line="51" w:lineRule="exact"/>
        <w:rPr>
          <w:rFonts w:ascii="Times New Roman" w:cs="Times New Roman" w:eastAsia="Times New Roman" w:hAnsi="Times New Roman"/>
          <w:sz w:val="18"/>
          <w:szCs w:val="18"/>
          <w:color w:val="auto"/>
        </w:rPr>
      </w:pPr>
    </w:p>
    <w:p>
      <w:pPr>
        <w:ind w:left="980" w:hanging="21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deficiencies or material weaknesses in the design or operation of Martin Marietta’s internal control over financial reporting.</w:t>
      </w:r>
    </w:p>
    <w:p>
      <w:pPr>
        <w:spacing w:after="0" w:line="90" w:lineRule="exact"/>
        <w:rPr>
          <w:rFonts w:ascii="Times New Roman" w:cs="Times New Roman" w:eastAsia="Times New Roman" w:hAnsi="Times New Roman"/>
          <w:sz w:val="18"/>
          <w:szCs w:val="18"/>
          <w:color w:val="auto"/>
        </w:rPr>
      </w:pPr>
    </w:p>
    <w:p>
      <w:pPr>
        <w:ind w:left="980" w:right="20" w:hanging="213"/>
        <w:spacing w:after="0" w:line="275"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made to propose a significant business combination that was not consummated, including the response from the company’s shareholders.</w:t>
      </w:r>
    </w:p>
    <w:p>
      <w:pPr>
        <w:spacing w:after="0" w:line="120" w:lineRule="exact"/>
        <w:rPr>
          <w:sz w:val="20"/>
          <w:szCs w:val="20"/>
          <w:color w:val="auto"/>
        </w:rPr>
      </w:pPr>
    </w:p>
    <w:p>
      <w:pPr>
        <w:ind w:firstLine="775"/>
        <w:spacing w:after="0" w:line="275" w:lineRule="auto"/>
        <w:rPr>
          <w:sz w:val="20"/>
          <w:szCs w:val="20"/>
          <w:color w:val="auto"/>
        </w:rPr>
      </w:pPr>
      <w:r>
        <w:rPr>
          <w:rFonts w:ascii="Times New Roman" w:cs="Times New Roman" w:eastAsia="Times New Roman" w:hAnsi="Times New Roman"/>
          <w:sz w:val="18"/>
          <w:szCs w:val="18"/>
          <w:color w:val="auto"/>
        </w:rPr>
        <w:t>The Committee also considered the performance of Martin Marietta as compared to its peers and bonuses awarded to executives in comparable positions in the compensation studies discussed above, as well as the bonuses awarded to the other named executives in 2012.</w:t>
      </w:r>
    </w:p>
    <w:p>
      <w:pPr>
        <w:spacing w:after="0" w:line="120" w:lineRule="exact"/>
        <w:rPr>
          <w:sz w:val="20"/>
          <w:szCs w:val="20"/>
          <w:color w:val="auto"/>
        </w:rPr>
      </w:pPr>
    </w:p>
    <w:p>
      <w:pPr>
        <w:ind w:firstLine="775"/>
        <w:spacing w:after="0" w:line="275" w:lineRule="auto"/>
        <w:rPr>
          <w:sz w:val="20"/>
          <w:szCs w:val="20"/>
          <w:color w:val="auto"/>
        </w:rPr>
      </w:pPr>
      <w:r>
        <w:rPr>
          <w:rFonts w:ascii="Times New Roman" w:cs="Times New Roman" w:eastAsia="Times New Roman" w:hAnsi="Times New Roman"/>
          <w:sz w:val="18"/>
          <w:szCs w:val="18"/>
          <w:color w:val="auto"/>
        </w:rPr>
        <w:t>Because a subjective analysis of performance criteria was used in determining the bonus compensation paid under the Executive Incentive Plan and the bonus compensation paid to Mr. Nye,</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060"/>
          </w:cols>
          <w:pgMar w:left="440" w:top="463" w:right="399" w:bottom="1440" w:gutter="0" w:footer="0" w:header="0"/>
        </w:sectPr>
      </w:pPr>
    </w:p>
    <w:bookmarkStart w:id="48" w:name="page49"/>
    <w:bookmarkEnd w:id="48"/>
    <w:p>
      <w:pPr>
        <w:jc w:val="both"/>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790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779010"/>
                    </a:xfrm>
                    <a:prstGeom prst="rect">
                      <a:avLst/>
                    </a:prstGeom>
                    <a:noFill/>
                  </pic:spPr>
                </pic:pic>
              </a:graphicData>
            </a:graphic>
          </wp:anchor>
        </w:drawing>
        <w:t>the bonus compensation does not qualify for the performance-based exception to the $1,000,000 limit on deductibility of executive officer compensation under Section 162(m) of the Internal Revenue Code of 1986.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Purchase Awards</w:t>
      </w:r>
    </w:p>
    <w:p>
      <w:pPr>
        <w:spacing w:after="0" w:line="94"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Martin Marietta’s common stock on the date the amount of the bonus is determined. Participation in the plan is elective, except that all senior officers of Martin Marietta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 If an executive officer voluntarily terminates employment before the units vest in three years, the stock units are forfeited and the executive officer receives a cash payment equal to the lesser of the cash that was invested or the fair value of the share units on the day of termination.</w:t>
      </w:r>
    </w:p>
    <w:p>
      <w:pPr>
        <w:spacing w:after="0" w:line="138"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94"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Martin Marietta’s long-term compensation in 2012 consisted of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in the Performance Peer Group and the Committee has designed the awards to give the participants an opportunity to exceed the median level with high performance. Accordingly, these components of the executive compensation program encourage participants to focus on the long-term performance of Martin Marietta and provide an opportunity for executive officers to increase their stake in Martin Marietta. The long-term incentive compensation program delivers more value to executive officers if the value of Martin Marietta’s stock increases.</w:t>
      </w:r>
    </w:p>
    <w:p>
      <w:pPr>
        <w:spacing w:after="0" w:line="138"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u w:val="single" w:color="auto"/>
          <w:color w:val="auto"/>
        </w:rPr>
        <w:t>LTIP Awards.</w:t>
      </w:r>
      <w:r>
        <w:rPr>
          <w:rFonts w:ascii="Times New Roman" w:cs="Times New Roman" w:eastAsia="Times New Roman" w:hAnsi="Times New Roman"/>
          <w:sz w:val="18"/>
          <w:szCs w:val="18"/>
          <w:color w:val="auto"/>
        </w:rPr>
        <w:t xml:space="preserve"> Martin Marietta’s long-term incentive program (LTIP Awards) consists of (1) granting a mix of options and restricted stock units and (2) basing the amount of the award on the performance of Martin Marietta. The Committee believes that the mix provides better incentives to executive officers than either options or restricted stock units alone. Stock options link the compensation provided to the named executive officers with gains realized by the shareholders and therefore serve to confer on recipients an ownership interest in Martin Marietta. These awards also</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060"/>
          </w:cols>
          <w:pgMar w:left="440" w:top="463" w:right="39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84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984750"/>
                    </a:xfrm>
                    <a:prstGeom prst="rect">
                      <a:avLst/>
                    </a:prstGeom>
                    <a:noFill/>
                  </pic:spPr>
                </pic:pic>
              </a:graphicData>
            </a:graphic>
          </wp:anchor>
        </w:drawing>
        <w:t>assist Martin Marietta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139"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color w:val="auto"/>
        </w:rPr>
        <w:t>For each named executive officer, other than the Chief Executive Officer, the Committee derived a target dollar value for this component of compensation based on a review of equity award data in the compensation studies described above and input from Towers Watson. The target is increased each year by an amount equal to the average percentage increase in base pay for salaried employees and relevant subjective considerations, such as a promotion or expanded responsibilities. The maximum award (200%) is a stretch goal based on the Committee’s subjective determination that such level of shareholder value created by Martin Marietta is outstanding, and for 2012 would be achieved when Martin Marietta’s return on invested capital is at least 6% higher than the weighted average cost of capital.</w:t>
      </w:r>
    </w:p>
    <w:p>
      <w:pPr>
        <w:spacing w:after="0" w:line="139" w:lineRule="exact"/>
        <w:rPr>
          <w:sz w:val="20"/>
          <w:szCs w:val="20"/>
          <w:color w:val="auto"/>
        </w:rPr>
      </w:pPr>
    </w:p>
    <w:p>
      <w:pPr>
        <w:jc w:val="both"/>
        <w:ind w:firstLine="775"/>
        <w:spacing w:after="0" w:line="253" w:lineRule="auto"/>
        <w:rPr>
          <w:sz w:val="20"/>
          <w:szCs w:val="20"/>
          <w:color w:val="auto"/>
        </w:rPr>
      </w:pPr>
      <w:r>
        <w:rPr>
          <w:rFonts w:ascii="Times New Roman" w:cs="Times New Roman" w:eastAsia="Times New Roman" w:hAnsi="Times New Roman"/>
          <w:sz w:val="18"/>
          <w:szCs w:val="18"/>
          <w:color w:val="auto"/>
        </w:rPr>
        <w:t>In 2012, the Committee considered Martin Marietta’s performance in light of the severe nature and duration of the recession. The Committee considered Martin Marietta’s profitability, financial position, growth, regulatory and compliance results, other financial data and other factors relating to the performance of Martin Marietta and its competitors, including share price performance, operating performance, margin performance, the continued unreduced payment of dividends to shareholders, outstanding cost management, strong capital structure, excellent cash flow results, achievement of a world class safety record, and other factors. It reaffirmed its compensation philosophy of utilizing long-term awards to incentivize executive officers, recognize superior job performance under the extenuating circumstances of the current recession, and retain talented managers. It also considered the significantly lower level of annual bonuses paid starting in 2009, the grant of LTIP awards at 50% of target in 2011, and the elimination of certain performance-based restricted stock unit awards to the executive officers granted in previous years as part of Martin Marietta’s compensation program. The Committee considered advice from Towers Watson that an award based on these metrics was appropriate to reward performance that the Committee viewed as extraordinary during the harsh economic climate.</w:t>
      </w:r>
    </w:p>
    <w:p>
      <w:pPr>
        <w:spacing w:after="0" w:line="141"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In light of these considerations, awards were granted in 2012 at 50% of each officer’s target. One-third of the dollar value was then converted to stock options and two-thirds of the dollar value was converted to restricted stock units using the closing price on the date of grant. The one-third stock 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139"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In 2012, the Committee awarded Mr. Nye 16,317 options and 8,159 shares of restricted stock units that are subject to vesting, which the Committee believes will align this portion of Mr. Nye’s compensation directly with Martin Marietta’s performance over the long term. In exercising its discretion for Mr. Nye, the Committee generally follows the same procedures as are followed in determining the amount of annual bonus compensation discussed above. The Committee determined the dollar value for this component of Mr. Nye’s compensation by starting with the median level of long-term compensation identified in the</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060"/>
          </w:cols>
          <w:pgMar w:left="440" w:top="463" w:right="399" w:bottom="1440" w:gutter="0" w:footer="0" w:header="0"/>
        </w:sectPr>
      </w:pPr>
    </w:p>
    <w:bookmarkStart w:id="50" w:name="page51"/>
    <w:bookmarkEnd w:id="50"/>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compensation studies reviewed. The Committee then adjusted the amount as it deemed appropriate based on its subjective determination of the Chief Executive Officer’s performance. The dollar value was converted to a mix of one-third stock options and two-thirds restricted stock units, as are the long-term stock option and restricted stock unit awards for the other named executive officers. The award granted was 50% of the target for Mr. Nye.</w:t>
      </w:r>
    </w:p>
    <w:p>
      <w:pPr>
        <w:spacing w:after="0" w:line="132" w:lineRule="exact"/>
        <w:rPr>
          <w:sz w:val="20"/>
          <w:szCs w:val="20"/>
          <w:color w:val="auto"/>
        </w:rPr>
      </w:pPr>
    </w:p>
    <w:p>
      <w:pPr>
        <w:jc w:val="both"/>
        <w:ind w:firstLine="775"/>
        <w:spacing w:after="0" w:line="291" w:lineRule="auto"/>
        <w:rPr>
          <w:sz w:val="20"/>
          <w:szCs w:val="20"/>
          <w:color w:val="auto"/>
        </w:rPr>
      </w:pPr>
      <w:r>
        <w:rPr>
          <w:rFonts w:ascii="Times New Roman" w:cs="Times New Roman" w:eastAsia="Times New Roman" w:hAnsi="Times New Roman"/>
          <w:sz w:val="16"/>
          <w:szCs w:val="16"/>
          <w:color w:val="auto"/>
        </w:rPr>
        <w:t>The stock options granted in 2012 vest ratably over 4 years and the restricted stock units vest on the third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Martin Marietta.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113" w:lineRule="exact"/>
        <w:rPr>
          <w:sz w:val="20"/>
          <w:szCs w:val="20"/>
          <w:color w:val="auto"/>
        </w:rPr>
      </w:pPr>
    </w:p>
    <w:p>
      <w:pPr>
        <w:jc w:val="both"/>
        <w:ind w:firstLine="775"/>
        <w:spacing w:after="0" w:line="253" w:lineRule="auto"/>
        <w:rPr>
          <w:sz w:val="20"/>
          <w:szCs w:val="20"/>
          <w:color w:val="auto"/>
        </w:rPr>
      </w:pPr>
      <w:r>
        <w:rPr>
          <w:rFonts w:ascii="Times New Roman" w:cs="Times New Roman" w:eastAsia="Times New Roman" w:hAnsi="Times New Roman"/>
          <w:sz w:val="18"/>
          <w:szCs w:val="18"/>
          <w:u w:val="single" w:color="auto"/>
          <w:color w:val="auto"/>
        </w:rPr>
        <w:t>Stock-Based Awards Generally.</w:t>
      </w:r>
      <w:r>
        <w:rPr>
          <w:rFonts w:ascii="Times New Roman" w:cs="Times New Roman" w:eastAsia="Times New Roman" w:hAnsi="Times New Roman"/>
          <w:sz w:val="18"/>
          <w:szCs w:val="18"/>
          <w:color w:val="auto"/>
        </w:rPr>
        <w:t xml:space="preserve"> All stock purchase awards under our Incentive Stock Plan and restricted stock unit awards described above are granted at the Committee’s regularly scheduled meetings in January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is equal to, and the number of restricted stock units is based on, the New York Stock Exchange closing price of Martin Marietta’s common stock on the date of the grant. The Committee has never granted stock options with an exercise price that is less than the closing price of Martin Marietta’s common stock on the grant date nor has it granted options that are priced on a date other than the date the Committee took action to make such grants. The Committee’s schedule is determined several months in advance and the proximity of any awards to earnings announcements or other market events is coincidental.</w:t>
      </w:r>
    </w:p>
    <w:p>
      <w:pPr>
        <w:spacing w:after="0" w:line="1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All of Martin Marietta’s equity-based award plans have been approved by shareholders.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Guidelines</w:t>
      </w:r>
    </w:p>
    <w:p>
      <w:pPr>
        <w:spacing w:after="0" w:line="94"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Martin Marietta generally requires that executive officers, other than the Chief Executive Officer, invest a minimum of 20%, and that the Chief Executive Officer invest a minimum of 35%, of each year’s cash bonus award in common stock units of Martin Marietta that are purchased at a 20% discount to the price on the date of grant through the Incentive Stock Plan, which awards vest generally after three years of additional employment with Martin Marietta. In addition, a significant portion of the executive compensation program is in the form of equity awards that vest over various periods. There is no required holding period beyond the vesting period. Martin Marietta does not have formal ownership guidelines for the named executive officers. The Committee believes that the equity components of the compensation program appropriately align the interests of executive officers with the interests of our shareholders, as more fully described above.</w:t>
      </w: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060"/>
          </w:cols>
          <w:pgMar w:left="440" w:top="463"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93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5293360"/>
                    </a:xfrm>
                    <a:prstGeom prst="rect">
                      <a:avLst/>
                    </a:prstGeom>
                    <a:noFill/>
                  </pic:spPr>
                </pic:pic>
              </a:graphicData>
            </a:graphic>
          </wp:anchor>
        </w:drawing>
        <w:t>Perquisites</w:t>
      </w:r>
    </w:p>
    <w:p>
      <w:pPr>
        <w:spacing w:after="0" w:line="94"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Martin Marietta provides named executive officers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136"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The perquisites provided in 2012 to the named executive officers included personal use of leased automobiles and, for some executive officers, personal use of Martin Marietta’s plane. Martin Marietta also provides to executive officers and other employees certain other fringe benefits such as tuition reimbursement, airline club dues, professional society dues, and food and recreational fees incidental to official company functions. Martin Marietta did not provide country club or dinner club memberships to its executive officers in 2012.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and Other Benefits</w:t>
      </w:r>
    </w:p>
    <w:p>
      <w:pPr>
        <w:spacing w:after="0" w:line="94"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 Additional information regarding these benefits is under the heading Pension Benefits Table on page 58 and the accompanying narrative.</w:t>
      </w:r>
    </w:p>
    <w:p>
      <w:pPr>
        <w:spacing w:after="0" w:line="141"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xml:space="preserve"> We have a defined benefit 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58" w:lineRule="exact"/>
        <w:rPr>
          <w:sz w:val="20"/>
          <w:szCs w:val="20"/>
          <w:color w:val="auto"/>
        </w:rPr>
      </w:pPr>
    </w:p>
    <w:p>
      <w:pPr>
        <w:ind w:left="1300" w:right="20" w:hanging="533"/>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1.165% of the participant’s final average eligible pay up to social security covered compensation, multiplied by the participant’s credited years of service up to 35 years;</w:t>
      </w:r>
    </w:p>
    <w:p>
      <w:pPr>
        <w:spacing w:after="0" w:line="38" w:lineRule="exact"/>
        <w:rPr>
          <w:rFonts w:ascii="Times New Roman" w:cs="Times New Roman" w:eastAsia="Times New Roman" w:hAnsi="Times New Roman"/>
          <w:sz w:val="18"/>
          <w:szCs w:val="18"/>
          <w:color w:val="auto"/>
        </w:rPr>
      </w:pPr>
    </w:p>
    <w:p>
      <w:pPr>
        <w:ind w:left="1300" w:hanging="533"/>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of the participant’s final average eligible pay in excess of social security covered compensation, multiplied by the participant’s credited years of service up to 35 years;</w:t>
      </w:r>
    </w:p>
    <w:p>
      <w:pPr>
        <w:spacing w:after="0" w:line="38" w:lineRule="exact"/>
        <w:rPr>
          <w:rFonts w:ascii="Times New Roman" w:cs="Times New Roman" w:eastAsia="Times New Roman" w:hAnsi="Times New Roman"/>
          <w:sz w:val="18"/>
          <w:szCs w:val="18"/>
          <w:color w:val="auto"/>
        </w:rPr>
      </w:pPr>
    </w:p>
    <w:p>
      <w:pPr>
        <w:ind w:left="1300" w:hanging="533"/>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of the participant’s final average eligible pay multiplied by the participant’s credited years of service in excess of 35 years.</w:t>
      </w:r>
    </w:p>
    <w:p>
      <w:pPr>
        <w:spacing w:after="0" w:line="171"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u w:val="single" w:color="auto"/>
          <w:color w:val="auto"/>
        </w:rPr>
        <w:t>Supplemental Excess Retirement Plan.</w:t>
      </w:r>
      <w:r>
        <w:rPr>
          <w:rFonts w:ascii="Times New Roman" w:cs="Times New Roman" w:eastAsia="Times New Roman" w:hAnsi="Times New Roman"/>
          <w:sz w:val="18"/>
          <w:szCs w:val="18"/>
          <w:color w:val="auto"/>
        </w:rPr>
        <w:t xml:space="preserve"> We also have a nonqualified 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060"/>
          </w:cols>
          <w:pgMar w:left="440" w:top="459" w:right="399" w:bottom="1440" w:gutter="0" w:footer="0" w:header="0"/>
        </w:sectPr>
      </w:pPr>
    </w:p>
    <w:bookmarkStart w:id="52" w:name="page53"/>
    <w:bookmarkEnd w:id="52"/>
    <w:p>
      <w:pPr>
        <w:jc w:val="both"/>
        <w:ind w:firstLine="775"/>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790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779010"/>
                    </a:xfrm>
                    <a:prstGeom prst="rect">
                      <a:avLst/>
                    </a:prstGeom>
                    <a:noFill/>
                  </pic:spPr>
                </pic:pic>
              </a:graphicData>
            </a:graphic>
          </wp:anchor>
        </w:drawing>
        <w:t>Performance Sharing Plan.</w:t>
      </w:r>
      <w:r>
        <w:rPr>
          <w:rFonts w:ascii="Times New Roman" w:cs="Times New Roman" w:eastAsia="Times New Roman" w:hAnsi="Times New Roman"/>
          <w:sz w:val="18"/>
          <w:szCs w:val="18"/>
          <w:color w:val="auto"/>
        </w:rPr>
        <w:t xml:space="preserve"> The Performance Sharing Plan is a tax-qualified defined contribution retirement savings plan pursuant to which all salaried employees in the United States, including the named executive officers, are eligible to contribute up to 25% or the limit prescribed by the Internal Revenue Service on a ROTH individual retirement account or a before-tax basis and up to an additional 17% on an after-tax basis not to exceed a total of 25%. We match 50% of the first 7% of pay that is contributed by employees to the Performance Sharing Plan up to Internal Revenue Service limitations. All contributions as well as any matching contributions are fully vested upon contribution.</w:t>
      </w:r>
    </w:p>
    <w:p>
      <w:pPr>
        <w:spacing w:after="0" w:line="139"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u w:val="single" w:color="auto"/>
          <w:color w:val="auto"/>
        </w:rPr>
        <w:t>Retiree Medical.</w:t>
      </w:r>
      <w:r>
        <w:rPr>
          <w:rFonts w:ascii="Times New Roman" w:cs="Times New Roman" w:eastAsia="Times New Roman" w:hAnsi="Times New Roman"/>
          <w:sz w:val="18"/>
          <w:szCs w:val="18"/>
          <w:color w:val="auto"/>
        </w:rPr>
        <w:t xml:space="preserve"> Eligible salaried employees who commenced 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is not eligible for retiree medical benefits as he commenced employment with Martin Marietta in 2006.</w:t>
      </w:r>
    </w:p>
    <w:p>
      <w:pPr>
        <w:spacing w:after="0" w:line="139"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u w:val="single" w:color="auto"/>
          <w:color w:val="auto"/>
        </w:rPr>
        <w:t>Medical Insurance.</w:t>
      </w:r>
      <w:r>
        <w:rPr>
          <w:rFonts w:ascii="Times New Roman" w:cs="Times New Roman" w:eastAsia="Times New Roman" w:hAnsi="Times New Roman"/>
          <w:sz w:val="18"/>
          <w:szCs w:val="18"/>
          <w:color w:val="auto"/>
        </w:rPr>
        <w:t xml:space="preserve"> Martin Marietta provides an opportunity to all of its salaried employees in the United States and the employees’ immediate family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32"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u w:val="single" w:color="auto"/>
          <w:color w:val="auto"/>
        </w:rPr>
        <w:t>Life and Disability Insurance.</w:t>
      </w:r>
      <w:r>
        <w:rPr>
          <w:rFonts w:ascii="Times New Roman" w:cs="Times New Roman" w:eastAsia="Times New Roman" w:hAnsi="Times New Roman"/>
          <w:sz w:val="18"/>
          <w:szCs w:val="18"/>
          <w:color w:val="auto"/>
        </w:rPr>
        <w:t xml:space="preserve"> Martin Marietta provides to all of its 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month base salary in the event of death of any active salaried employee.</w:t>
      </w:r>
    </w:p>
    <w:p>
      <w:pPr>
        <w:spacing w:after="0" w:line="136"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u w:val="single" w:color="auto"/>
          <w:color w:val="auto"/>
        </w:rPr>
        <w:t>Housing Allowance and Relocation Costs.</w:t>
      </w:r>
      <w:r>
        <w:rPr>
          <w:rFonts w:ascii="Times New Roman" w:cs="Times New Roman" w:eastAsia="Times New Roman" w:hAnsi="Times New Roman"/>
          <w:sz w:val="18"/>
          <w:szCs w:val="18"/>
          <w:color w:val="auto"/>
        </w:rPr>
        <w:t xml:space="preserve"> Martin Marietta provides relocation benefits, including a housing allowance, to certain employees upon their employment with Martin Marietta or in conjunction with a job relocation or promotion.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94"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Martin Marietta has entered into an Employment Protection Agreement with each of the named executive officers that provides for certain payments and benefits upon a qualifying termination of employment following a change of control. Martin Marietta’s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Martin Marietta, including the named executive officers. The Employment Protection Agreement is described on pages 59 to 60 of this Proxy Statement.</w:t>
      </w: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060"/>
          </w:cols>
          <w:pgMar w:left="440" w:top="463" w:right="399" w:bottom="1440" w:gutter="0" w:footer="0" w:header="0"/>
        </w:sectPr>
      </w:pPr>
    </w:p>
    <w:bookmarkStart w:id="53" w:name="page54"/>
    <w:bookmarkEnd w:id="53"/>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95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595370"/>
                    </a:xfrm>
                    <a:prstGeom prst="rect">
                      <a:avLst/>
                    </a:prstGeom>
                    <a:noFill/>
                  </pic:spPr>
                </pic:pic>
              </a:graphicData>
            </a:graphic>
          </wp:anchor>
        </w:drawing>
        <w:t>In addition, Martin Marietta’s Amended and Restated Stock-Based Award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Implications</w:t>
      </w:r>
    </w:p>
    <w:p>
      <w:pPr>
        <w:spacing w:after="0" w:line="94"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8"/>
          <w:szCs w:val="18"/>
          <w:color w:val="auto"/>
        </w:rPr>
        <w:t>Section 162(m) of the Internal Revenue Code of 1986 makes certain compensation to the named executives in excess of $1 million non-deductible to Martin Marietta unless it is based on objectively determined performance criteria pursuant to a plan approved by shareholders. One of the named executive officers received annual compensation exceeding $1 million in 2012 that is not deductible pursuant to Section 162(m).</w:t>
      </w:r>
    </w:p>
    <w:p>
      <w:pPr>
        <w:spacing w:after="0" w:line="132"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Martin Marietta’s general compensation policies and objectives that are currently in place best serves shareholder interests.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Compensation</w:t>
      </w:r>
    </w:p>
    <w:p>
      <w:pPr>
        <w:spacing w:after="0" w:line="94"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tables show annual and long-term compensation, for services in all capacities to Martin Marietta, earned by the Chief Executive Officer, the Chief Financial Officer, three other executive officers serving as such on December 31, 2012, and a former executive officer who resigned during 2012, which we refer to collectively as the “named executive officers.” These tables and the accompanying narratives should be read in conjunction with the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section of this proxy statement, which provides a detailed overview of the methods used by Martin Marietta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compensate its officers, including the named executive officers.</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060"/>
          </w:cols>
          <w:pgMar w:left="440" w:top="463" w:right="399" w:bottom="1440" w:gutter="0" w:footer="0" w:header="0"/>
        </w:sectPr>
      </w:pPr>
    </w:p>
    <w:bookmarkStart w:id="54" w:name="page55"/>
    <w:bookmarkEnd w:id="54"/>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25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6125210"/>
                    </a:xfrm>
                    <a:prstGeom prst="rect">
                      <a:avLst/>
                    </a:prstGeom>
                    <a:noFill/>
                  </pic:spPr>
                </pic:pic>
              </a:graphicData>
            </a:graphic>
          </wp:anchor>
        </w:drawing>
        <w:t>Summary Compensation Table</w:t>
      </w:r>
    </w:p>
    <w:p>
      <w:pPr>
        <w:spacing w:after="0" w:line="94" w:lineRule="exact"/>
        <w:rPr>
          <w:sz w:val="20"/>
          <w:szCs w:val="20"/>
          <w:color w:val="auto"/>
        </w:rPr>
      </w:pPr>
    </w:p>
    <w:p>
      <w:pPr>
        <w:ind w:left="783"/>
        <w:spacing w:after="0"/>
        <w:rPr>
          <w:sz w:val="20"/>
          <w:szCs w:val="20"/>
          <w:color w:val="auto"/>
        </w:rPr>
      </w:pPr>
      <w:r>
        <w:rPr>
          <w:rFonts w:ascii="Times New Roman" w:cs="Times New Roman" w:eastAsia="Times New Roman" w:hAnsi="Times New Roman"/>
          <w:sz w:val="18"/>
          <w:szCs w:val="18"/>
          <w:color w:val="auto"/>
        </w:rPr>
        <w:t>The table below summarizes the total compensation paid or earned by each of the named executive officers for the fiscal years set forth below.</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Martin Marietta has not entered into any employment agreements with any of the named executive officers.</w:t>
      </w:r>
    </w:p>
    <w:p>
      <w:pPr>
        <w:spacing w:after="0" w:line="23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8" w:lineRule="exact"/>
        <w:rPr>
          <w:sz w:val="20"/>
          <w:szCs w:val="20"/>
          <w:color w:val="auto"/>
        </w:rPr>
      </w:pPr>
    </w:p>
    <w:tbl>
      <w:tblPr>
        <w:tblLayout w:type="fixed"/>
        <w:tblInd w:w="13" w:type="dxa"/>
        <w:tblCellMar>
          <w:top w:w="0" w:type="dxa"/>
          <w:left w:w="0" w:type="dxa"/>
          <w:bottom w:w="0" w:type="dxa"/>
          <w:right w:w="0" w:type="dxa"/>
        </w:tblCellMar>
      </w:tblPr>
      <w:tr>
        <w:trPr>
          <w:trHeight w:val="145"/>
        </w:trPr>
        <w:tc>
          <w:tcPr>
            <w:tcW w:w="720" w:type="dxa"/>
            <w:vAlign w:val="bottom"/>
            <w:tcBorders>
              <w:top w:val="single" w:sz="8" w:color="auto"/>
              <w:left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1140" w:type="dxa"/>
            <w:vAlign w:val="bottom"/>
            <w:tcBorders>
              <w:top w:val="single" w:sz="8" w:color="auto"/>
            </w:tcBorders>
            <w:shd w:val="clear" w:color="auto" w:fill="E0E0E0"/>
          </w:tcPr>
          <w:p>
            <w:pPr>
              <w:spacing w:after="0"/>
              <w:rPr>
                <w:sz w:val="12"/>
                <w:szCs w:val="12"/>
                <w:color w:val="auto"/>
              </w:rPr>
            </w:pPr>
          </w:p>
        </w:tc>
        <w:tc>
          <w:tcPr>
            <w:tcW w:w="580" w:type="dxa"/>
            <w:vAlign w:val="bottom"/>
            <w:tcBorders>
              <w:top w:val="single" w:sz="8" w:color="auto"/>
            </w:tcBorders>
            <w:shd w:val="clear" w:color="auto" w:fill="E0E0E0"/>
          </w:tcPr>
          <w:p>
            <w:pPr>
              <w:spacing w:after="0"/>
              <w:rPr>
                <w:sz w:val="12"/>
                <w:szCs w:val="12"/>
                <w:color w:val="auto"/>
              </w:rPr>
            </w:pPr>
          </w:p>
        </w:tc>
        <w:tc>
          <w:tcPr>
            <w:tcW w:w="700" w:type="dxa"/>
            <w:vAlign w:val="bottom"/>
            <w:tcBorders>
              <w:top w:val="single" w:sz="8" w:color="auto"/>
            </w:tcBorders>
            <w:shd w:val="clear" w:color="auto" w:fill="E0E0E0"/>
          </w:tcPr>
          <w:p>
            <w:pPr>
              <w:spacing w:after="0"/>
              <w:rPr>
                <w:sz w:val="12"/>
                <w:szCs w:val="12"/>
                <w:color w:val="auto"/>
              </w:rPr>
            </w:pPr>
          </w:p>
        </w:tc>
        <w:tc>
          <w:tcPr>
            <w:tcW w:w="860" w:type="dxa"/>
            <w:vAlign w:val="bottom"/>
            <w:tcBorders>
              <w:top w:val="single" w:sz="8" w:color="auto"/>
            </w:tcBorders>
            <w:shd w:val="clear" w:color="auto" w:fill="E0E0E0"/>
          </w:tcPr>
          <w:p>
            <w:pPr>
              <w:spacing w:after="0"/>
              <w:rPr>
                <w:sz w:val="12"/>
                <w:szCs w:val="12"/>
                <w:color w:val="auto"/>
              </w:rPr>
            </w:pPr>
          </w:p>
        </w:tc>
        <w:tc>
          <w:tcPr>
            <w:tcW w:w="860" w:type="dxa"/>
            <w:vAlign w:val="bottom"/>
            <w:tcBorders>
              <w:top w:val="single" w:sz="8" w:color="auto"/>
            </w:tcBorders>
            <w:shd w:val="clear" w:color="auto" w:fill="E0E0E0"/>
          </w:tcPr>
          <w:p>
            <w:pPr>
              <w:spacing w:after="0"/>
              <w:rPr>
                <w:sz w:val="12"/>
                <w:szCs w:val="12"/>
                <w:color w:val="auto"/>
              </w:rPr>
            </w:pPr>
          </w:p>
        </w:tc>
        <w:tc>
          <w:tcPr>
            <w:tcW w:w="860" w:type="dxa"/>
            <w:vAlign w:val="bottom"/>
            <w:tcBorders>
              <w:top w:val="single" w:sz="8" w:color="auto"/>
            </w:tcBorders>
            <w:shd w:val="clear" w:color="auto" w:fill="E0E0E0"/>
          </w:tcPr>
          <w:p>
            <w:pPr>
              <w:spacing w:after="0"/>
              <w:rPr>
                <w:sz w:val="12"/>
                <w:szCs w:val="12"/>
                <w:color w:val="auto"/>
              </w:rPr>
            </w:pPr>
          </w:p>
        </w:tc>
        <w:tc>
          <w:tcPr>
            <w:tcW w:w="840" w:type="dxa"/>
            <w:vAlign w:val="bottom"/>
            <w:tcBorders>
              <w:top w:val="single" w:sz="8" w:color="auto"/>
            </w:tcBorders>
            <w:shd w:val="clear" w:color="auto" w:fill="E0E0E0"/>
          </w:tcPr>
          <w:p>
            <w:pPr>
              <w:spacing w:after="0"/>
              <w:rPr>
                <w:sz w:val="12"/>
                <w:szCs w:val="12"/>
                <w:color w:val="auto"/>
              </w:rPr>
            </w:pPr>
          </w:p>
        </w:tc>
        <w:tc>
          <w:tcPr>
            <w:tcW w:w="1020" w:type="dxa"/>
            <w:vAlign w:val="bottom"/>
            <w:tcBorders>
              <w:top w:val="single" w:sz="8" w:color="auto"/>
            </w:tcBorders>
            <w:shd w:val="clear" w:color="auto" w:fill="E0E0E0"/>
          </w:tcPr>
          <w:p>
            <w:pPr>
              <w:spacing w:after="0"/>
              <w:rPr>
                <w:sz w:val="12"/>
                <w:szCs w:val="12"/>
                <w:color w:val="auto"/>
              </w:rPr>
            </w:pPr>
          </w:p>
        </w:tc>
        <w:tc>
          <w:tcPr>
            <w:tcW w:w="1020" w:type="dxa"/>
            <w:vAlign w:val="bottom"/>
            <w:tcBorders>
              <w:top w:val="single" w:sz="8" w:color="auto"/>
            </w:tcBorders>
            <w:shd w:val="clear" w:color="auto" w:fill="E0E0E0"/>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1060" w:type="dxa"/>
            <w:vAlign w:val="bottom"/>
            <w:tcBorders>
              <w:top w:val="single" w:sz="8" w:color="auto"/>
            </w:tcBorders>
            <w:shd w:val="clear" w:color="auto" w:fill="E0E0E0"/>
          </w:tcPr>
          <w:p>
            <w:pPr>
              <w:spacing w:after="0"/>
              <w:rPr>
                <w:sz w:val="12"/>
                <w:szCs w:val="12"/>
                <w:color w:val="auto"/>
              </w:rPr>
            </w:pPr>
          </w:p>
        </w:tc>
        <w:tc>
          <w:tcPr>
            <w:tcW w:w="104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left w:val="single" w:sz="8" w:color="auto"/>
            </w:tcBorders>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Pension Value</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left w:val="single" w:sz="8" w:color="auto"/>
            </w:tcBorders>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and Non-</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left w:val="single" w:sz="8" w:color="auto"/>
            </w:tcBorders>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Qualified</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left w:val="single" w:sz="8" w:color="auto"/>
            </w:tcBorders>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Non-Equity</w:t>
            </w: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left w:val="single" w:sz="8" w:color="auto"/>
            </w:tcBorders>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84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6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20" w:type="dxa"/>
            <w:vAlign w:val="bottom"/>
            <w:tcBorders>
              <w:left w:val="single" w:sz="8" w:color="auto"/>
            </w:tcBorders>
            <w:gridSpan w:val="4"/>
            <w:vMerge w:val="restart"/>
            <w:shd w:val="clear" w:color="auto" w:fill="E0E0E0"/>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6"/>
              </w:rPr>
              <w:t>Name and Principal Position</w:t>
            </w:r>
          </w:p>
        </w:tc>
        <w:tc>
          <w:tcPr>
            <w:tcW w:w="700" w:type="dxa"/>
            <w:vAlign w:val="bottom"/>
            <w:shd w:val="clear" w:color="auto" w:fill="E0E0E0"/>
          </w:tcPr>
          <w:p>
            <w:pPr>
              <w:spacing w:after="0"/>
              <w:rPr>
                <w:sz w:val="12"/>
                <w:szCs w:val="12"/>
                <w:color w:val="auto"/>
              </w:rPr>
            </w:pPr>
          </w:p>
        </w:tc>
        <w:tc>
          <w:tcPr>
            <w:tcW w:w="860" w:type="dxa"/>
            <w:vAlign w:val="bottom"/>
            <w:shd w:val="clear" w:color="auto" w:fill="E0E0E0"/>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Bonus</w:t>
            </w:r>
          </w:p>
        </w:tc>
        <w:tc>
          <w:tcPr>
            <w:tcW w:w="86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84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2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2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06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40" w:type="dxa"/>
            <w:vAlign w:val="bottom"/>
            <w:tcBorders>
              <w:right w:val="single" w:sz="8" w:color="auto"/>
            </w:tcBorders>
            <w:shd w:val="clear" w:color="auto" w:fill="E0E0E0"/>
          </w:tcPr>
          <w:p>
            <w:pPr>
              <w:jc w:val="center"/>
              <w:ind w:right="76"/>
              <w:spacing w:after="0" w:line="13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49"/>
        </w:trPr>
        <w:tc>
          <w:tcPr>
            <w:tcW w:w="2820" w:type="dxa"/>
            <w:vAlign w:val="bottom"/>
            <w:tcBorders>
              <w:left w:val="single" w:sz="8" w:color="auto"/>
            </w:tcBorders>
            <w:gridSpan w:val="4"/>
            <w:vMerge w:val="continue"/>
            <w:shd w:val="clear" w:color="auto" w:fill="E0E0E0"/>
          </w:tcPr>
          <w:p>
            <w:pPr>
              <w:spacing w:after="0"/>
              <w:rPr>
                <w:sz w:val="12"/>
                <w:szCs w:val="12"/>
                <w:color w:val="auto"/>
              </w:rPr>
            </w:pPr>
          </w:p>
        </w:tc>
        <w:tc>
          <w:tcPr>
            <w:tcW w:w="700" w:type="dxa"/>
            <w:vAlign w:val="bottom"/>
            <w:shd w:val="clear" w:color="auto" w:fill="E0E0E0"/>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shd w:val="clear" w:color="auto" w:fill="E0E0E0"/>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1</w:t>
            </w:r>
          </w:p>
        </w:tc>
        <w:tc>
          <w:tcPr>
            <w:tcW w:w="86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2</w:t>
            </w:r>
          </w:p>
        </w:tc>
        <w:tc>
          <w:tcPr>
            <w:tcW w:w="84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3</w:t>
            </w: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4</w:t>
            </w:r>
          </w:p>
        </w:tc>
        <w:tc>
          <w:tcPr>
            <w:tcW w:w="106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5</w:t>
            </w:r>
          </w:p>
        </w:tc>
        <w:tc>
          <w:tcPr>
            <w:tcW w:w="1040" w:type="dxa"/>
            <w:vAlign w:val="bottom"/>
            <w:tcBorders>
              <w:right w:val="single" w:sz="8" w:color="auto"/>
            </w:tcBorders>
            <w:shd w:val="clear" w:color="auto" w:fill="E0E0E0"/>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4"/>
        </w:trPr>
        <w:tc>
          <w:tcPr>
            <w:tcW w:w="720" w:type="dxa"/>
            <w:vAlign w:val="bottom"/>
            <w:tcBorders>
              <w:left w:val="single" w:sz="8" w:color="auto"/>
              <w:bottom w:val="single" w:sz="8" w:color="E0E0E0"/>
            </w:tcBorders>
            <w:shd w:val="clear" w:color="auto" w:fill="E0E0E0"/>
          </w:tcPr>
          <w:p>
            <w:pPr>
              <w:spacing w:after="0"/>
              <w:rPr>
                <w:sz w:val="16"/>
                <w:szCs w:val="16"/>
                <w:color w:val="auto"/>
              </w:rPr>
            </w:pPr>
          </w:p>
        </w:tc>
        <w:tc>
          <w:tcPr>
            <w:tcW w:w="380" w:type="dxa"/>
            <w:vAlign w:val="bottom"/>
            <w:tcBorders>
              <w:bottom w:val="single" w:sz="8" w:color="auto"/>
            </w:tcBorders>
            <w:shd w:val="clear" w:color="auto" w:fill="E0E0E0"/>
          </w:tcPr>
          <w:p>
            <w:pPr>
              <w:spacing w:after="0"/>
              <w:rPr>
                <w:sz w:val="16"/>
                <w:szCs w:val="16"/>
                <w:color w:val="auto"/>
              </w:rPr>
            </w:pPr>
          </w:p>
        </w:tc>
        <w:tc>
          <w:tcPr>
            <w:tcW w:w="1140" w:type="dxa"/>
            <w:vAlign w:val="bottom"/>
            <w:tcBorders>
              <w:bottom w:val="single" w:sz="8" w:color="auto"/>
            </w:tcBorders>
            <w:shd w:val="clear" w:color="auto" w:fill="E0E0E0"/>
          </w:tcPr>
          <w:p>
            <w:pPr>
              <w:jc w:val="center"/>
              <w:ind w:right="312"/>
              <w:spacing w:after="0" w:line="12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58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tcBorders>
              <w:bottom w:val="single" w:sz="8" w:color="E0E0E0"/>
            </w:tcBorders>
            <w:shd w:val="clear" w:color="auto" w:fill="E0E0E0"/>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86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86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w:t>
            </w:r>
          </w:p>
        </w:tc>
        <w:tc>
          <w:tcPr>
            <w:tcW w:w="84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102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5"/>
              </w:rPr>
              <w:t>(g)</w:t>
            </w:r>
          </w:p>
        </w:tc>
        <w:tc>
          <w:tcPr>
            <w:tcW w:w="102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(h)</w:t>
            </w:r>
          </w:p>
        </w:tc>
        <w:tc>
          <w:tcPr>
            <w:tcW w:w="106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w:t>
            </w:r>
          </w:p>
        </w:tc>
        <w:tc>
          <w:tcPr>
            <w:tcW w:w="1040" w:type="dxa"/>
            <w:vAlign w:val="bottom"/>
            <w:tcBorders>
              <w:bottom w:val="single" w:sz="8" w:color="E0E0E0"/>
              <w:right w:val="single" w:sz="8" w:color="auto"/>
            </w:tcBorders>
            <w:shd w:val="clear" w:color="auto" w:fill="E0E0E0"/>
          </w:tcPr>
          <w:p>
            <w:pPr>
              <w:jc w:val="center"/>
              <w:ind w:right="76"/>
              <w:spacing w:after="0" w:line="129" w:lineRule="exact"/>
              <w:rPr>
                <w:sz w:val="20"/>
                <w:szCs w:val="20"/>
                <w:color w:val="auto"/>
              </w:rPr>
            </w:pPr>
            <w:r>
              <w:rPr>
                <w:rFonts w:ascii="Times New Roman" w:cs="Times New Roman" w:eastAsia="Times New Roman" w:hAnsi="Times New Roman"/>
                <w:sz w:val="14"/>
                <w:szCs w:val="14"/>
                <w:b w:val="1"/>
                <w:bCs w:val="1"/>
                <w:color w:val="auto"/>
                <w:w w:val="85"/>
              </w:rPr>
              <w:t>(j)</w:t>
            </w:r>
          </w:p>
        </w:tc>
        <w:tc>
          <w:tcPr>
            <w:tcW w:w="0" w:type="dxa"/>
            <w:vAlign w:val="bottom"/>
          </w:tcPr>
          <w:p>
            <w:pPr>
              <w:spacing w:after="0"/>
              <w:rPr>
                <w:sz w:val="1"/>
                <w:szCs w:val="1"/>
                <w:color w:val="auto"/>
              </w:rPr>
            </w:pPr>
          </w:p>
        </w:tc>
      </w:tr>
      <w:tr>
        <w:trPr>
          <w:trHeight w:val="197"/>
        </w:trPr>
        <w:tc>
          <w:tcPr>
            <w:tcW w:w="2820" w:type="dxa"/>
            <w:vAlign w:val="bottom"/>
            <w:tcBorders>
              <w:top w:val="single" w:sz="8" w:color="auto"/>
              <w:left w:val="single" w:sz="8" w:color="auto"/>
            </w:tcBorders>
            <w:gridSpan w:val="4"/>
            <w:shd w:val="clear" w:color="auto" w:fill="E0E0E0"/>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C. Howard Nye</w:t>
            </w:r>
          </w:p>
        </w:tc>
        <w:tc>
          <w:tcPr>
            <w:tcW w:w="700" w:type="dxa"/>
            <w:vAlign w:val="bottom"/>
            <w:tcBorders>
              <w:top w:val="single" w:sz="8" w:color="auto"/>
            </w:tcBorders>
            <w:shd w:val="clear" w:color="auto" w:fill="E0E0E0"/>
          </w:tcPr>
          <w:p>
            <w:pPr>
              <w:ind w:left="200"/>
              <w:spacing w:after="0" w:line="196" w:lineRule="exact"/>
              <w:rPr>
                <w:sz w:val="20"/>
                <w:szCs w:val="20"/>
                <w:color w:val="auto"/>
              </w:rPr>
            </w:pPr>
            <w:r>
              <w:rPr>
                <w:rFonts w:ascii="Times New Roman" w:cs="Times New Roman" w:eastAsia="Times New Roman" w:hAnsi="Times New Roman"/>
                <w:sz w:val="18"/>
                <w:szCs w:val="18"/>
                <w:color w:val="auto"/>
              </w:rPr>
              <w:t>2012</w:t>
            </w:r>
          </w:p>
        </w:tc>
        <w:tc>
          <w:tcPr>
            <w:tcW w:w="860" w:type="dxa"/>
            <w:vAlign w:val="bottom"/>
            <w:tcBorders>
              <w:top w:val="single" w:sz="8" w:color="auto"/>
            </w:tcBorders>
            <w:shd w:val="clear" w:color="auto" w:fill="E0E0E0"/>
          </w:tcPr>
          <w:p>
            <w:pPr>
              <w:jc w:val="right"/>
              <w:ind w:right="76"/>
              <w:spacing w:after="0" w:line="196" w:lineRule="exact"/>
              <w:rPr>
                <w:sz w:val="20"/>
                <w:szCs w:val="20"/>
                <w:color w:val="auto"/>
              </w:rPr>
            </w:pPr>
            <w:r>
              <w:rPr>
                <w:rFonts w:ascii="Times New Roman" w:cs="Times New Roman" w:eastAsia="Times New Roman" w:hAnsi="Times New Roman"/>
                <w:sz w:val="18"/>
                <w:szCs w:val="18"/>
                <w:color w:val="auto"/>
              </w:rPr>
              <w:t>850,000</w:t>
            </w:r>
          </w:p>
        </w:tc>
        <w:tc>
          <w:tcPr>
            <w:tcW w:w="860" w:type="dxa"/>
            <w:vAlign w:val="bottom"/>
            <w:tcBorders>
              <w:top w:val="single" w:sz="8" w:color="auto"/>
            </w:tcBorders>
            <w:shd w:val="clear" w:color="auto" w:fill="E0E0E0"/>
          </w:tcPr>
          <w:p>
            <w:pPr>
              <w:jc w:val="right"/>
              <w:ind w:right="57"/>
              <w:spacing w:after="0" w:line="196" w:lineRule="exact"/>
              <w:rPr>
                <w:sz w:val="20"/>
                <w:szCs w:val="20"/>
                <w:color w:val="auto"/>
              </w:rPr>
            </w:pPr>
            <w:r>
              <w:rPr>
                <w:rFonts w:ascii="Times New Roman" w:cs="Times New Roman" w:eastAsia="Times New Roman" w:hAnsi="Times New Roman"/>
                <w:sz w:val="18"/>
                <w:szCs w:val="18"/>
                <w:color w:val="auto"/>
              </w:rPr>
              <w:t>390,000</w:t>
            </w:r>
          </w:p>
        </w:tc>
        <w:tc>
          <w:tcPr>
            <w:tcW w:w="860" w:type="dxa"/>
            <w:vAlign w:val="bottom"/>
            <w:tcBorders>
              <w:top w:val="single" w:sz="8" w:color="auto"/>
            </w:tcBorders>
            <w:shd w:val="clear" w:color="auto" w:fill="E0E0E0"/>
          </w:tcPr>
          <w:p>
            <w:pPr>
              <w:jc w:val="right"/>
              <w:ind w:right="58"/>
              <w:spacing w:after="0" w:line="196" w:lineRule="exact"/>
              <w:rPr>
                <w:sz w:val="20"/>
                <w:szCs w:val="20"/>
                <w:color w:val="auto"/>
              </w:rPr>
            </w:pPr>
            <w:r>
              <w:rPr>
                <w:rFonts w:ascii="Times New Roman" w:cs="Times New Roman" w:eastAsia="Times New Roman" w:hAnsi="Times New Roman"/>
                <w:sz w:val="18"/>
                <w:szCs w:val="18"/>
                <w:color w:val="auto"/>
              </w:rPr>
              <w:t>773,950</w:t>
            </w:r>
          </w:p>
        </w:tc>
        <w:tc>
          <w:tcPr>
            <w:tcW w:w="840" w:type="dxa"/>
            <w:vAlign w:val="bottom"/>
            <w:tcBorders>
              <w:top w:val="single" w:sz="8" w:color="auto"/>
            </w:tcBorders>
            <w:shd w:val="clear" w:color="auto" w:fill="E0E0E0"/>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363,543</w:t>
            </w:r>
          </w:p>
        </w:tc>
        <w:tc>
          <w:tcPr>
            <w:tcW w:w="1020" w:type="dxa"/>
            <w:vAlign w:val="bottom"/>
            <w:tcBorders>
              <w:top w:val="single" w:sz="8" w:color="auto"/>
            </w:tcBorders>
            <w:shd w:val="clear" w:color="auto" w:fill="E0E0E0"/>
          </w:tcPr>
          <w:p>
            <w:pPr>
              <w:spacing w:after="0"/>
              <w:rPr>
                <w:sz w:val="17"/>
                <w:szCs w:val="17"/>
                <w:color w:val="auto"/>
              </w:rPr>
            </w:pPr>
          </w:p>
        </w:tc>
        <w:tc>
          <w:tcPr>
            <w:tcW w:w="1020" w:type="dxa"/>
            <w:vAlign w:val="bottom"/>
            <w:tcBorders>
              <w:top w:val="single" w:sz="8" w:color="auto"/>
            </w:tcBorders>
            <w:shd w:val="clear" w:color="auto" w:fill="E0E0E0"/>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520,648</w:t>
            </w:r>
          </w:p>
        </w:tc>
        <w:tc>
          <w:tcPr>
            <w:tcW w:w="1060" w:type="dxa"/>
            <w:vAlign w:val="bottom"/>
            <w:tcBorders>
              <w:top w:val="single" w:sz="8" w:color="auto"/>
            </w:tcBorders>
            <w:shd w:val="clear" w:color="auto" w:fill="E0E0E0"/>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128,368</w:t>
            </w:r>
          </w:p>
        </w:tc>
        <w:tc>
          <w:tcPr>
            <w:tcW w:w="1040" w:type="dxa"/>
            <w:vAlign w:val="bottom"/>
            <w:tcBorders>
              <w:top w:val="single" w:sz="8" w:color="auto"/>
              <w:right w:val="single" w:sz="8" w:color="auto"/>
            </w:tcBorders>
            <w:shd w:val="clear" w:color="auto" w:fill="E0E0E0"/>
          </w:tcPr>
          <w:p>
            <w:pPr>
              <w:jc w:val="right"/>
              <w:ind w:right="136"/>
              <w:spacing w:after="0" w:line="196" w:lineRule="exact"/>
              <w:rPr>
                <w:sz w:val="20"/>
                <w:szCs w:val="20"/>
                <w:color w:val="auto"/>
              </w:rPr>
            </w:pPr>
            <w:r>
              <w:rPr>
                <w:rFonts w:ascii="Times New Roman" w:cs="Times New Roman" w:eastAsia="Times New Roman" w:hAnsi="Times New Roman"/>
                <w:sz w:val="18"/>
                <w:szCs w:val="18"/>
                <w:color w:val="auto"/>
              </w:rPr>
              <w:t>3,026,509</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gridSpan w:val="4"/>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President and CEO</w:t>
            </w:r>
          </w:p>
        </w:tc>
        <w:tc>
          <w:tcPr>
            <w:tcW w:w="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2011</w:t>
            </w:r>
          </w:p>
        </w:tc>
        <w:tc>
          <w:tcPr>
            <w:tcW w:w="860" w:type="dxa"/>
            <w:vAlign w:val="bottom"/>
            <w:shd w:val="clear" w:color="auto" w:fill="E0E0E0"/>
          </w:tcPr>
          <w:p>
            <w:pPr>
              <w:jc w:val="right"/>
              <w:ind w:right="76"/>
              <w:spacing w:after="0"/>
              <w:rPr>
                <w:sz w:val="20"/>
                <w:szCs w:val="20"/>
                <w:color w:val="auto"/>
              </w:rPr>
            </w:pPr>
            <w:r>
              <w:rPr>
                <w:rFonts w:ascii="Times New Roman" w:cs="Times New Roman" w:eastAsia="Times New Roman" w:hAnsi="Times New Roman"/>
                <w:sz w:val="18"/>
                <w:szCs w:val="18"/>
                <w:color w:val="auto"/>
              </w:rPr>
              <w:t>825,000</w:t>
            </w:r>
          </w:p>
        </w:tc>
        <w:tc>
          <w:tcPr>
            <w:tcW w:w="860" w:type="dxa"/>
            <w:vAlign w:val="bottom"/>
            <w:shd w:val="clear" w:color="auto" w:fill="E0E0E0"/>
          </w:tcPr>
          <w:p>
            <w:pPr>
              <w:jc w:val="right"/>
              <w:ind w:right="57"/>
              <w:spacing w:after="0"/>
              <w:rPr>
                <w:sz w:val="20"/>
                <w:szCs w:val="20"/>
                <w:color w:val="auto"/>
              </w:rPr>
            </w:pPr>
            <w:r>
              <w:rPr>
                <w:rFonts w:ascii="Times New Roman" w:cs="Times New Roman" w:eastAsia="Times New Roman" w:hAnsi="Times New Roman"/>
                <w:sz w:val="18"/>
                <w:szCs w:val="18"/>
                <w:color w:val="auto"/>
              </w:rPr>
              <w:t>325,000</w:t>
            </w:r>
          </w:p>
        </w:tc>
        <w:tc>
          <w:tcPr>
            <w:tcW w:w="860" w:type="dxa"/>
            <w:vAlign w:val="bottom"/>
            <w:shd w:val="clear" w:color="auto" w:fill="E0E0E0"/>
          </w:tcPr>
          <w:p>
            <w:pPr>
              <w:jc w:val="right"/>
              <w:ind w:right="58"/>
              <w:spacing w:after="0"/>
              <w:rPr>
                <w:sz w:val="20"/>
                <w:szCs w:val="20"/>
                <w:color w:val="auto"/>
              </w:rPr>
            </w:pPr>
            <w:r>
              <w:rPr>
                <w:rFonts w:ascii="Times New Roman" w:cs="Times New Roman" w:eastAsia="Times New Roman" w:hAnsi="Times New Roman"/>
                <w:sz w:val="18"/>
                <w:szCs w:val="18"/>
                <w:color w:val="auto"/>
              </w:rPr>
              <w:t>723,078</w:t>
            </w:r>
          </w:p>
        </w:tc>
        <w:tc>
          <w:tcPr>
            <w:tcW w:w="84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379,279</w:t>
            </w:r>
          </w:p>
        </w:tc>
        <w:tc>
          <w:tcPr>
            <w:tcW w:w="1020" w:type="dxa"/>
            <w:vAlign w:val="bottom"/>
            <w:shd w:val="clear" w:color="auto" w:fill="E0E0E0"/>
          </w:tcPr>
          <w:p>
            <w:pPr>
              <w:spacing w:after="0"/>
              <w:rPr>
                <w:sz w:val="18"/>
                <w:szCs w:val="18"/>
                <w:color w:val="auto"/>
              </w:rPr>
            </w:pPr>
          </w:p>
        </w:tc>
        <w:tc>
          <w:tcPr>
            <w:tcW w:w="1020" w:type="dxa"/>
            <w:vAlign w:val="bottom"/>
            <w:shd w:val="clear" w:color="auto" w:fill="E0E0E0"/>
          </w:tcPr>
          <w:p>
            <w:pPr>
              <w:jc w:val="right"/>
              <w:ind w:right="41"/>
              <w:spacing w:after="0"/>
              <w:rPr>
                <w:sz w:val="20"/>
                <w:szCs w:val="20"/>
                <w:color w:val="auto"/>
              </w:rPr>
            </w:pPr>
            <w:r>
              <w:rPr>
                <w:rFonts w:ascii="Times New Roman" w:cs="Times New Roman" w:eastAsia="Times New Roman" w:hAnsi="Times New Roman"/>
                <w:sz w:val="18"/>
                <w:szCs w:val="18"/>
                <w:color w:val="auto"/>
              </w:rPr>
              <w:t>269,055</w:t>
            </w:r>
          </w:p>
        </w:tc>
        <w:tc>
          <w:tcPr>
            <w:tcW w:w="106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139,188</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Times New Roman" w:cs="Times New Roman" w:eastAsia="Times New Roman" w:hAnsi="Times New Roman"/>
                <w:sz w:val="18"/>
                <w:szCs w:val="18"/>
                <w:color w:val="auto"/>
              </w:rPr>
              <w:t>2,660,600</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tcBorders>
            <w:shd w:val="clear" w:color="auto" w:fill="E0E0E0"/>
          </w:tcPr>
          <w:p>
            <w:pPr>
              <w:spacing w:after="0"/>
              <w:rPr>
                <w:sz w:val="18"/>
                <w:szCs w:val="18"/>
                <w:color w:val="auto"/>
              </w:rPr>
            </w:pPr>
          </w:p>
        </w:tc>
        <w:tc>
          <w:tcPr>
            <w:tcW w:w="380" w:type="dxa"/>
            <w:vAlign w:val="bottom"/>
            <w:shd w:val="clear" w:color="auto" w:fill="E0E0E0"/>
          </w:tcPr>
          <w:p>
            <w:pPr>
              <w:spacing w:after="0"/>
              <w:rPr>
                <w:sz w:val="18"/>
                <w:szCs w:val="18"/>
                <w:color w:val="auto"/>
              </w:rPr>
            </w:pPr>
          </w:p>
        </w:tc>
        <w:tc>
          <w:tcPr>
            <w:tcW w:w="114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2010</w:t>
            </w:r>
          </w:p>
        </w:tc>
        <w:tc>
          <w:tcPr>
            <w:tcW w:w="860" w:type="dxa"/>
            <w:vAlign w:val="bottom"/>
            <w:shd w:val="clear" w:color="auto" w:fill="E0E0E0"/>
          </w:tcPr>
          <w:p>
            <w:pPr>
              <w:jc w:val="right"/>
              <w:ind w:right="76"/>
              <w:spacing w:after="0"/>
              <w:rPr>
                <w:sz w:val="20"/>
                <w:szCs w:val="20"/>
                <w:color w:val="auto"/>
              </w:rPr>
            </w:pPr>
            <w:r>
              <w:rPr>
                <w:rFonts w:ascii="Times New Roman" w:cs="Times New Roman" w:eastAsia="Times New Roman" w:hAnsi="Times New Roman"/>
                <w:sz w:val="18"/>
                <w:szCs w:val="18"/>
                <w:color w:val="auto"/>
              </w:rPr>
              <w:t>800,000</w:t>
            </w:r>
          </w:p>
        </w:tc>
        <w:tc>
          <w:tcPr>
            <w:tcW w:w="860" w:type="dxa"/>
            <w:vAlign w:val="bottom"/>
            <w:shd w:val="clear" w:color="auto" w:fill="E0E0E0"/>
          </w:tcPr>
          <w:p>
            <w:pPr>
              <w:jc w:val="right"/>
              <w:ind w:right="57"/>
              <w:spacing w:after="0"/>
              <w:rPr>
                <w:sz w:val="20"/>
                <w:szCs w:val="20"/>
                <w:color w:val="auto"/>
              </w:rPr>
            </w:pPr>
            <w:r>
              <w:rPr>
                <w:rFonts w:ascii="Times New Roman" w:cs="Times New Roman" w:eastAsia="Times New Roman" w:hAnsi="Times New Roman"/>
                <w:sz w:val="18"/>
                <w:szCs w:val="18"/>
                <w:color w:val="auto"/>
              </w:rPr>
              <w:t>390,000</w:t>
            </w:r>
          </w:p>
        </w:tc>
        <w:tc>
          <w:tcPr>
            <w:tcW w:w="860" w:type="dxa"/>
            <w:vAlign w:val="bottom"/>
            <w:shd w:val="clear" w:color="auto" w:fill="E0E0E0"/>
          </w:tcPr>
          <w:p>
            <w:pPr>
              <w:jc w:val="right"/>
              <w:ind w:right="58"/>
              <w:spacing w:after="0"/>
              <w:rPr>
                <w:sz w:val="20"/>
                <w:szCs w:val="20"/>
                <w:color w:val="auto"/>
              </w:rPr>
            </w:pPr>
            <w:r>
              <w:rPr>
                <w:rFonts w:ascii="Times New Roman" w:cs="Times New Roman" w:eastAsia="Times New Roman" w:hAnsi="Times New Roman"/>
                <w:sz w:val="18"/>
                <w:szCs w:val="18"/>
                <w:color w:val="auto"/>
              </w:rPr>
              <w:t>967,503</w:t>
            </w:r>
          </w:p>
        </w:tc>
        <w:tc>
          <w:tcPr>
            <w:tcW w:w="84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382,008</w:t>
            </w:r>
          </w:p>
        </w:tc>
        <w:tc>
          <w:tcPr>
            <w:tcW w:w="1020" w:type="dxa"/>
            <w:vAlign w:val="bottom"/>
            <w:shd w:val="clear" w:color="auto" w:fill="E0E0E0"/>
          </w:tcPr>
          <w:p>
            <w:pPr>
              <w:spacing w:after="0"/>
              <w:rPr>
                <w:sz w:val="18"/>
                <w:szCs w:val="18"/>
                <w:color w:val="auto"/>
              </w:rPr>
            </w:pPr>
          </w:p>
        </w:tc>
        <w:tc>
          <w:tcPr>
            <w:tcW w:w="1020" w:type="dxa"/>
            <w:vAlign w:val="bottom"/>
            <w:shd w:val="clear" w:color="auto" w:fill="E0E0E0"/>
          </w:tcPr>
          <w:p>
            <w:pPr>
              <w:jc w:val="right"/>
              <w:ind w:right="41"/>
              <w:spacing w:after="0"/>
              <w:rPr>
                <w:sz w:val="20"/>
                <w:szCs w:val="20"/>
                <w:color w:val="auto"/>
              </w:rPr>
            </w:pPr>
            <w:r>
              <w:rPr>
                <w:rFonts w:ascii="Times New Roman" w:cs="Times New Roman" w:eastAsia="Times New Roman" w:hAnsi="Times New Roman"/>
                <w:sz w:val="18"/>
                <w:szCs w:val="18"/>
                <w:color w:val="auto"/>
              </w:rPr>
              <w:t>143,656</w:t>
            </w:r>
          </w:p>
        </w:tc>
        <w:tc>
          <w:tcPr>
            <w:tcW w:w="106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157,167</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Times New Roman" w:cs="Times New Roman" w:eastAsia="Times New Roman" w:hAnsi="Times New Roman"/>
                <w:sz w:val="18"/>
                <w:szCs w:val="18"/>
                <w:color w:val="auto"/>
              </w:rPr>
              <w:t>2,840,334</w:t>
            </w:r>
          </w:p>
        </w:tc>
        <w:tc>
          <w:tcPr>
            <w:tcW w:w="0" w:type="dxa"/>
            <w:vAlign w:val="bottom"/>
          </w:tcPr>
          <w:p>
            <w:pPr>
              <w:spacing w:after="0"/>
              <w:rPr>
                <w:sz w:val="1"/>
                <w:szCs w:val="1"/>
                <w:color w:val="auto"/>
              </w:rPr>
            </w:pPr>
          </w:p>
        </w:tc>
      </w:tr>
      <w:tr>
        <w:trPr>
          <w:trHeight w:val="202"/>
        </w:trPr>
        <w:tc>
          <w:tcPr>
            <w:tcW w:w="2820" w:type="dxa"/>
            <w:vAlign w:val="bottom"/>
            <w:tcBorders>
              <w:left w:val="single" w:sz="8" w:color="auto"/>
            </w:tcBorders>
            <w:gridSpan w:val="4"/>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Anne H. Lloyd</w:t>
            </w:r>
          </w:p>
        </w:tc>
        <w:tc>
          <w:tcPr>
            <w:tcW w:w="7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2012</w:t>
            </w:r>
          </w:p>
        </w:tc>
        <w:tc>
          <w:tcPr>
            <w:tcW w:w="860" w:type="dxa"/>
            <w:vAlign w:val="bottom"/>
          </w:tcPr>
          <w:p>
            <w:pPr>
              <w:jc w:val="right"/>
              <w:ind w:right="76"/>
              <w:spacing w:after="0" w:line="201" w:lineRule="exact"/>
              <w:rPr>
                <w:sz w:val="20"/>
                <w:szCs w:val="20"/>
                <w:color w:val="auto"/>
              </w:rPr>
            </w:pPr>
            <w:r>
              <w:rPr>
                <w:rFonts w:ascii="Times New Roman" w:cs="Times New Roman" w:eastAsia="Times New Roman" w:hAnsi="Times New Roman"/>
                <w:sz w:val="18"/>
                <w:szCs w:val="18"/>
                <w:color w:val="auto"/>
              </w:rPr>
              <w:t>481,067</w:t>
            </w:r>
          </w:p>
        </w:tc>
        <w:tc>
          <w:tcPr>
            <w:tcW w:w="860" w:type="dxa"/>
            <w:vAlign w:val="bottom"/>
          </w:tcPr>
          <w:p>
            <w:pPr>
              <w:jc w:val="right"/>
              <w:ind w:right="57"/>
              <w:spacing w:after="0" w:line="201" w:lineRule="exact"/>
              <w:rPr>
                <w:sz w:val="20"/>
                <w:szCs w:val="20"/>
                <w:color w:val="auto"/>
              </w:rPr>
            </w:pPr>
            <w:r>
              <w:rPr>
                <w:rFonts w:ascii="Times New Roman" w:cs="Times New Roman" w:eastAsia="Times New Roman" w:hAnsi="Times New Roman"/>
                <w:sz w:val="18"/>
                <w:szCs w:val="18"/>
                <w:color w:val="auto"/>
              </w:rPr>
              <w:t>232,451</w:t>
            </w:r>
          </w:p>
        </w:tc>
        <w:tc>
          <w:tcPr>
            <w:tcW w:w="860" w:type="dxa"/>
            <w:vAlign w:val="bottom"/>
          </w:tcPr>
          <w:p>
            <w:pPr>
              <w:jc w:val="right"/>
              <w:ind w:right="58"/>
              <w:spacing w:after="0" w:line="201" w:lineRule="exact"/>
              <w:rPr>
                <w:sz w:val="20"/>
                <w:szCs w:val="20"/>
                <w:color w:val="auto"/>
              </w:rPr>
            </w:pPr>
            <w:r>
              <w:rPr>
                <w:rFonts w:ascii="Times New Roman" w:cs="Times New Roman" w:eastAsia="Times New Roman" w:hAnsi="Times New Roman"/>
                <w:sz w:val="18"/>
                <w:szCs w:val="18"/>
                <w:color w:val="auto"/>
              </w:rPr>
              <w:t>249,230</w:t>
            </w:r>
          </w:p>
        </w:tc>
        <w:tc>
          <w:tcPr>
            <w:tcW w:w="840" w:type="dxa"/>
            <w:vAlign w:val="bottom"/>
          </w:tcPr>
          <w:p>
            <w:pPr>
              <w:jc w:val="right"/>
              <w:ind w:right="38"/>
              <w:spacing w:after="0" w:line="201" w:lineRule="exact"/>
              <w:rPr>
                <w:sz w:val="20"/>
                <w:szCs w:val="20"/>
                <w:color w:val="auto"/>
              </w:rPr>
            </w:pPr>
            <w:r>
              <w:rPr>
                <w:rFonts w:ascii="Times New Roman" w:cs="Times New Roman" w:eastAsia="Times New Roman" w:hAnsi="Times New Roman"/>
                <w:sz w:val="18"/>
                <w:szCs w:val="18"/>
                <w:color w:val="auto"/>
              </w:rPr>
              <w:t>123,208</w:t>
            </w:r>
          </w:p>
        </w:tc>
        <w:tc>
          <w:tcPr>
            <w:tcW w:w="1020" w:type="dxa"/>
            <w:vAlign w:val="bottom"/>
          </w:tcPr>
          <w:p>
            <w:pPr>
              <w:spacing w:after="0"/>
              <w:rPr>
                <w:sz w:val="17"/>
                <w:szCs w:val="17"/>
                <w:color w:val="auto"/>
              </w:rPr>
            </w:pPr>
          </w:p>
        </w:tc>
        <w:tc>
          <w:tcPr>
            <w:tcW w:w="1020" w:type="dxa"/>
            <w:vAlign w:val="bottom"/>
          </w:tcPr>
          <w:p>
            <w:pPr>
              <w:jc w:val="right"/>
              <w:ind w:right="41"/>
              <w:spacing w:after="0" w:line="201" w:lineRule="exact"/>
              <w:rPr>
                <w:sz w:val="20"/>
                <w:szCs w:val="20"/>
                <w:color w:val="auto"/>
              </w:rPr>
            </w:pPr>
            <w:r>
              <w:rPr>
                <w:rFonts w:ascii="Times New Roman" w:cs="Times New Roman" w:eastAsia="Times New Roman" w:hAnsi="Times New Roman"/>
                <w:sz w:val="18"/>
                <w:szCs w:val="18"/>
                <w:color w:val="auto"/>
              </w:rPr>
              <w:t>445,594</w:t>
            </w:r>
          </w:p>
        </w:tc>
        <w:tc>
          <w:tcPr>
            <w:tcW w:w="1060" w:type="dxa"/>
            <w:vAlign w:val="bottom"/>
          </w:tcPr>
          <w:p>
            <w:pPr>
              <w:jc w:val="right"/>
              <w:ind w:right="38"/>
              <w:spacing w:after="0" w:line="201" w:lineRule="exact"/>
              <w:rPr>
                <w:sz w:val="20"/>
                <w:szCs w:val="20"/>
                <w:color w:val="auto"/>
              </w:rPr>
            </w:pPr>
            <w:r>
              <w:rPr>
                <w:rFonts w:ascii="Times New Roman" w:cs="Times New Roman" w:eastAsia="Times New Roman" w:hAnsi="Times New Roman"/>
                <w:sz w:val="18"/>
                <w:szCs w:val="18"/>
                <w:color w:val="auto"/>
              </w:rPr>
              <w:t>59,331</w:t>
            </w:r>
          </w:p>
        </w:tc>
        <w:tc>
          <w:tcPr>
            <w:tcW w:w="1040" w:type="dxa"/>
            <w:vAlign w:val="bottom"/>
            <w:tcBorders>
              <w:right w:val="single" w:sz="8" w:color="auto"/>
            </w:tcBorders>
          </w:tcPr>
          <w:p>
            <w:pPr>
              <w:jc w:val="right"/>
              <w:ind w:right="136"/>
              <w:spacing w:after="0" w:line="201" w:lineRule="exact"/>
              <w:rPr>
                <w:sz w:val="20"/>
                <w:szCs w:val="20"/>
                <w:color w:val="auto"/>
              </w:rPr>
            </w:pPr>
            <w:r>
              <w:rPr>
                <w:rFonts w:ascii="Times New Roman" w:cs="Times New Roman" w:eastAsia="Times New Roman" w:hAnsi="Times New Roman"/>
                <w:sz w:val="18"/>
                <w:szCs w:val="18"/>
                <w:color w:val="auto"/>
              </w:rPr>
              <w:t>1,590,881</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2011</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467,767</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180,221</w:t>
            </w:r>
          </w:p>
        </w:tc>
        <w:tc>
          <w:tcPr>
            <w:tcW w:w="8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230,760</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128,562</w:t>
            </w:r>
          </w:p>
        </w:tc>
        <w:tc>
          <w:tcPr>
            <w:tcW w:w="10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332,881</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66,087</w:t>
            </w:r>
          </w:p>
        </w:tc>
        <w:tc>
          <w:tcPr>
            <w:tcW w:w="1040" w:type="dxa"/>
            <w:vAlign w:val="bottom"/>
            <w:tcBorders>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1,406,278</w:t>
            </w:r>
          </w:p>
        </w:tc>
        <w:tc>
          <w:tcPr>
            <w:tcW w:w="0" w:type="dxa"/>
            <w:vAlign w:val="bottom"/>
          </w:tcPr>
          <w:p>
            <w:pPr>
              <w:spacing w:after="0"/>
              <w:rPr>
                <w:sz w:val="1"/>
                <w:szCs w:val="1"/>
                <w:color w:val="auto"/>
              </w:rPr>
            </w:pPr>
          </w:p>
        </w:tc>
      </w:tr>
      <w:tr>
        <w:trPr>
          <w:trHeight w:val="229"/>
        </w:trPr>
        <w:tc>
          <w:tcPr>
            <w:tcW w:w="2820" w:type="dxa"/>
            <w:vAlign w:val="bottom"/>
            <w:tcBorders>
              <w:left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and Treasurer</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2010</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463,500</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218,160</w:t>
            </w:r>
          </w:p>
        </w:tc>
        <w:tc>
          <w:tcPr>
            <w:tcW w:w="8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361,399</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129,451</w:t>
            </w:r>
          </w:p>
        </w:tc>
        <w:tc>
          <w:tcPr>
            <w:tcW w:w="10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202,496</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78,001</w:t>
            </w:r>
          </w:p>
        </w:tc>
        <w:tc>
          <w:tcPr>
            <w:tcW w:w="1040" w:type="dxa"/>
            <w:vAlign w:val="bottom"/>
            <w:tcBorders>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1,444,008</w:t>
            </w:r>
          </w:p>
        </w:tc>
        <w:tc>
          <w:tcPr>
            <w:tcW w:w="0" w:type="dxa"/>
            <w:vAlign w:val="bottom"/>
          </w:tcPr>
          <w:p>
            <w:pPr>
              <w:spacing w:after="0"/>
              <w:rPr>
                <w:sz w:val="1"/>
                <w:szCs w:val="1"/>
                <w:color w:val="auto"/>
              </w:rPr>
            </w:pPr>
          </w:p>
        </w:tc>
      </w:tr>
      <w:tr>
        <w:trPr>
          <w:trHeight w:val="203"/>
        </w:trPr>
        <w:tc>
          <w:tcPr>
            <w:tcW w:w="2820" w:type="dxa"/>
            <w:vAlign w:val="bottom"/>
            <w:tcBorders>
              <w:left w:val="single" w:sz="8" w:color="auto"/>
            </w:tcBorders>
            <w:gridSpan w:val="4"/>
            <w:shd w:val="clear" w:color="auto" w:fill="E0E0E0"/>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Roselyn R. Bar</w:t>
            </w:r>
            <w:r>
              <w:rPr>
                <w:rFonts w:ascii="Times New Roman" w:cs="Times New Roman" w:eastAsia="Times New Roman" w:hAnsi="Times New Roman"/>
                <w:sz w:val="11"/>
                <w:szCs w:val="11"/>
                <w:b w:val="1"/>
                <w:bCs w:val="1"/>
                <w:color w:val="auto"/>
              </w:rPr>
              <w:t>6</w:t>
            </w:r>
          </w:p>
        </w:tc>
        <w:tc>
          <w:tcPr>
            <w:tcW w:w="700" w:type="dxa"/>
            <w:vAlign w:val="bottom"/>
            <w:shd w:val="clear" w:color="auto" w:fill="E0E0E0"/>
          </w:tcPr>
          <w:p>
            <w:pPr>
              <w:ind w:left="200"/>
              <w:spacing w:after="0" w:line="203" w:lineRule="exact"/>
              <w:rPr>
                <w:sz w:val="20"/>
                <w:szCs w:val="20"/>
                <w:color w:val="auto"/>
              </w:rPr>
            </w:pPr>
            <w:r>
              <w:rPr>
                <w:rFonts w:ascii="Times New Roman" w:cs="Times New Roman" w:eastAsia="Times New Roman" w:hAnsi="Times New Roman"/>
                <w:sz w:val="18"/>
                <w:szCs w:val="18"/>
                <w:color w:val="auto"/>
              </w:rPr>
              <w:t>2012</w:t>
            </w:r>
          </w:p>
        </w:tc>
        <w:tc>
          <w:tcPr>
            <w:tcW w:w="860" w:type="dxa"/>
            <w:vAlign w:val="bottom"/>
            <w:shd w:val="clear" w:color="auto" w:fill="E0E0E0"/>
          </w:tcPr>
          <w:p>
            <w:pPr>
              <w:jc w:val="right"/>
              <w:ind w:right="76"/>
              <w:spacing w:after="0" w:line="203" w:lineRule="exact"/>
              <w:rPr>
                <w:sz w:val="20"/>
                <w:szCs w:val="20"/>
                <w:color w:val="auto"/>
              </w:rPr>
            </w:pPr>
            <w:r>
              <w:rPr>
                <w:rFonts w:ascii="Times New Roman" w:cs="Times New Roman" w:eastAsia="Times New Roman" w:hAnsi="Times New Roman"/>
                <w:sz w:val="18"/>
                <w:szCs w:val="18"/>
                <w:color w:val="auto"/>
              </w:rPr>
              <w:t>402,619</w:t>
            </w:r>
          </w:p>
        </w:tc>
        <w:tc>
          <w:tcPr>
            <w:tcW w:w="860" w:type="dxa"/>
            <w:vAlign w:val="bottom"/>
            <w:shd w:val="clear" w:color="auto" w:fill="E0E0E0"/>
          </w:tcPr>
          <w:p>
            <w:pPr>
              <w:jc w:val="right"/>
              <w:ind w:right="57"/>
              <w:spacing w:after="0" w:line="203" w:lineRule="exact"/>
              <w:rPr>
                <w:sz w:val="20"/>
                <w:szCs w:val="20"/>
                <w:color w:val="auto"/>
              </w:rPr>
            </w:pPr>
            <w:r>
              <w:rPr>
                <w:rFonts w:ascii="Times New Roman" w:cs="Times New Roman" w:eastAsia="Times New Roman" w:hAnsi="Times New Roman"/>
                <w:sz w:val="18"/>
                <w:szCs w:val="18"/>
                <w:color w:val="auto"/>
              </w:rPr>
              <w:t>148,808</w:t>
            </w:r>
          </w:p>
        </w:tc>
        <w:tc>
          <w:tcPr>
            <w:tcW w:w="860" w:type="dxa"/>
            <w:vAlign w:val="bottom"/>
            <w:shd w:val="clear" w:color="auto" w:fill="E0E0E0"/>
          </w:tcPr>
          <w:p>
            <w:pPr>
              <w:jc w:val="right"/>
              <w:ind w:right="58"/>
              <w:spacing w:after="0" w:line="203" w:lineRule="exact"/>
              <w:rPr>
                <w:sz w:val="20"/>
                <w:szCs w:val="20"/>
                <w:color w:val="auto"/>
              </w:rPr>
            </w:pPr>
            <w:r>
              <w:rPr>
                <w:rFonts w:ascii="Times New Roman" w:cs="Times New Roman" w:eastAsia="Times New Roman" w:hAnsi="Times New Roman"/>
                <w:sz w:val="18"/>
                <w:szCs w:val="18"/>
                <w:color w:val="auto"/>
              </w:rPr>
              <w:t>193,206</w:t>
            </w:r>
          </w:p>
        </w:tc>
        <w:tc>
          <w:tcPr>
            <w:tcW w:w="840" w:type="dxa"/>
            <w:vAlign w:val="bottom"/>
            <w:shd w:val="clear" w:color="auto" w:fill="E0E0E0"/>
          </w:tcPr>
          <w:p>
            <w:pPr>
              <w:jc w:val="right"/>
              <w:ind w:right="38"/>
              <w:spacing w:after="0" w:line="203" w:lineRule="exact"/>
              <w:rPr>
                <w:sz w:val="20"/>
                <w:szCs w:val="20"/>
                <w:color w:val="auto"/>
              </w:rPr>
            </w:pPr>
            <w:r>
              <w:rPr>
                <w:rFonts w:ascii="Times New Roman" w:cs="Times New Roman" w:eastAsia="Times New Roman" w:hAnsi="Times New Roman"/>
                <w:sz w:val="18"/>
                <w:szCs w:val="18"/>
                <w:color w:val="auto"/>
              </w:rPr>
              <w:t>100,550</w:t>
            </w:r>
          </w:p>
        </w:tc>
        <w:tc>
          <w:tcPr>
            <w:tcW w:w="1020" w:type="dxa"/>
            <w:vAlign w:val="bottom"/>
            <w:shd w:val="clear" w:color="auto" w:fill="E0E0E0"/>
          </w:tcPr>
          <w:p>
            <w:pPr>
              <w:spacing w:after="0"/>
              <w:rPr>
                <w:sz w:val="17"/>
                <w:szCs w:val="17"/>
                <w:color w:val="auto"/>
              </w:rPr>
            </w:pPr>
          </w:p>
        </w:tc>
        <w:tc>
          <w:tcPr>
            <w:tcW w:w="1020" w:type="dxa"/>
            <w:vAlign w:val="bottom"/>
            <w:shd w:val="clear" w:color="auto" w:fill="E0E0E0"/>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422,274</w:t>
            </w:r>
          </w:p>
        </w:tc>
        <w:tc>
          <w:tcPr>
            <w:tcW w:w="1060" w:type="dxa"/>
            <w:vAlign w:val="bottom"/>
            <w:shd w:val="clear" w:color="auto" w:fill="E0E0E0"/>
          </w:tcPr>
          <w:p>
            <w:pPr>
              <w:jc w:val="right"/>
              <w:ind w:right="38"/>
              <w:spacing w:after="0" w:line="203" w:lineRule="exact"/>
              <w:rPr>
                <w:sz w:val="20"/>
                <w:szCs w:val="20"/>
                <w:color w:val="auto"/>
              </w:rPr>
            </w:pPr>
            <w:r>
              <w:rPr>
                <w:rFonts w:ascii="Times New Roman" w:cs="Times New Roman" w:eastAsia="Times New Roman" w:hAnsi="Times New Roman"/>
                <w:sz w:val="18"/>
                <w:szCs w:val="18"/>
                <w:color w:val="auto"/>
              </w:rPr>
              <w:t>55,621</w:t>
            </w:r>
          </w:p>
        </w:tc>
        <w:tc>
          <w:tcPr>
            <w:tcW w:w="1040" w:type="dxa"/>
            <w:vAlign w:val="bottom"/>
            <w:tcBorders>
              <w:right w:val="single" w:sz="8" w:color="auto"/>
            </w:tcBorders>
            <w:shd w:val="clear" w:color="auto" w:fill="E0E0E0"/>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1,323,078</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gridSpan w:val="4"/>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Senior Vice President, General</w:t>
            </w:r>
          </w:p>
        </w:tc>
        <w:tc>
          <w:tcPr>
            <w:tcW w:w="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2011</w:t>
            </w:r>
          </w:p>
        </w:tc>
        <w:tc>
          <w:tcPr>
            <w:tcW w:w="860" w:type="dxa"/>
            <w:vAlign w:val="bottom"/>
            <w:shd w:val="clear" w:color="auto" w:fill="E0E0E0"/>
          </w:tcPr>
          <w:p>
            <w:pPr>
              <w:jc w:val="right"/>
              <w:ind w:right="76"/>
              <w:spacing w:after="0"/>
              <w:rPr>
                <w:sz w:val="20"/>
                <w:szCs w:val="20"/>
                <w:color w:val="auto"/>
              </w:rPr>
            </w:pPr>
            <w:r>
              <w:rPr>
                <w:rFonts w:ascii="Times New Roman" w:cs="Times New Roman" w:eastAsia="Times New Roman" w:hAnsi="Times New Roman"/>
                <w:sz w:val="18"/>
                <w:szCs w:val="18"/>
                <w:color w:val="auto"/>
              </w:rPr>
              <w:t>392,300</w:t>
            </w:r>
          </w:p>
        </w:tc>
        <w:tc>
          <w:tcPr>
            <w:tcW w:w="860" w:type="dxa"/>
            <w:vAlign w:val="bottom"/>
            <w:shd w:val="clear" w:color="auto" w:fill="E0E0E0"/>
          </w:tcPr>
          <w:p>
            <w:pPr>
              <w:jc w:val="right"/>
              <w:ind w:right="57"/>
              <w:spacing w:after="0"/>
              <w:rPr>
                <w:sz w:val="20"/>
                <w:szCs w:val="20"/>
                <w:color w:val="auto"/>
              </w:rPr>
            </w:pPr>
            <w:r>
              <w:rPr>
                <w:rFonts w:ascii="Times New Roman" w:cs="Times New Roman" w:eastAsia="Times New Roman" w:hAnsi="Times New Roman"/>
                <w:sz w:val="18"/>
                <w:szCs w:val="18"/>
                <w:color w:val="auto"/>
              </w:rPr>
              <w:t>132,252</w:t>
            </w:r>
          </w:p>
        </w:tc>
        <w:tc>
          <w:tcPr>
            <w:tcW w:w="860" w:type="dxa"/>
            <w:vAlign w:val="bottom"/>
            <w:shd w:val="clear" w:color="auto" w:fill="E0E0E0"/>
          </w:tcPr>
          <w:p>
            <w:pPr>
              <w:jc w:val="right"/>
              <w:ind w:right="58"/>
              <w:spacing w:after="0"/>
              <w:rPr>
                <w:sz w:val="20"/>
                <w:szCs w:val="20"/>
                <w:color w:val="auto"/>
              </w:rPr>
            </w:pPr>
            <w:r>
              <w:rPr>
                <w:rFonts w:ascii="Times New Roman" w:cs="Times New Roman" w:eastAsia="Times New Roman" w:hAnsi="Times New Roman"/>
                <w:sz w:val="18"/>
                <w:szCs w:val="18"/>
                <w:color w:val="auto"/>
              </w:rPr>
              <w:t>184,704</w:t>
            </w:r>
          </w:p>
        </w:tc>
        <w:tc>
          <w:tcPr>
            <w:tcW w:w="84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104,829</w:t>
            </w:r>
          </w:p>
        </w:tc>
        <w:tc>
          <w:tcPr>
            <w:tcW w:w="1020" w:type="dxa"/>
            <w:vAlign w:val="bottom"/>
            <w:shd w:val="clear" w:color="auto" w:fill="E0E0E0"/>
          </w:tcPr>
          <w:p>
            <w:pPr>
              <w:spacing w:after="0"/>
              <w:rPr>
                <w:sz w:val="18"/>
                <w:szCs w:val="18"/>
                <w:color w:val="auto"/>
              </w:rPr>
            </w:pPr>
          </w:p>
        </w:tc>
        <w:tc>
          <w:tcPr>
            <w:tcW w:w="1020" w:type="dxa"/>
            <w:vAlign w:val="bottom"/>
            <w:shd w:val="clear" w:color="auto" w:fill="E0E0E0"/>
          </w:tcPr>
          <w:p>
            <w:pPr>
              <w:jc w:val="right"/>
              <w:ind w:right="41"/>
              <w:spacing w:after="0"/>
              <w:rPr>
                <w:sz w:val="20"/>
                <w:szCs w:val="20"/>
                <w:color w:val="auto"/>
              </w:rPr>
            </w:pPr>
            <w:r>
              <w:rPr>
                <w:rFonts w:ascii="Times New Roman" w:cs="Times New Roman" w:eastAsia="Times New Roman" w:hAnsi="Times New Roman"/>
                <w:sz w:val="18"/>
                <w:szCs w:val="18"/>
                <w:color w:val="auto"/>
              </w:rPr>
              <w:t>317,101</w:t>
            </w:r>
          </w:p>
        </w:tc>
        <w:tc>
          <w:tcPr>
            <w:tcW w:w="106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62,973</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Times New Roman" w:cs="Times New Roman" w:eastAsia="Times New Roman" w:hAnsi="Times New Roman"/>
                <w:sz w:val="18"/>
                <w:szCs w:val="18"/>
                <w:color w:val="auto"/>
              </w:rPr>
              <w:t>1,194,159</w:t>
            </w:r>
          </w:p>
        </w:tc>
        <w:tc>
          <w:tcPr>
            <w:tcW w:w="0" w:type="dxa"/>
            <w:vAlign w:val="bottom"/>
          </w:tcPr>
          <w:p>
            <w:pPr>
              <w:spacing w:after="0"/>
              <w:rPr>
                <w:sz w:val="1"/>
                <w:szCs w:val="1"/>
                <w:color w:val="auto"/>
              </w:rPr>
            </w:pPr>
          </w:p>
        </w:tc>
      </w:tr>
      <w:tr>
        <w:trPr>
          <w:trHeight w:val="244"/>
        </w:trPr>
        <w:tc>
          <w:tcPr>
            <w:tcW w:w="2820" w:type="dxa"/>
            <w:vAlign w:val="bottom"/>
            <w:tcBorders>
              <w:left w:val="single" w:sz="8" w:color="auto"/>
            </w:tcBorders>
            <w:gridSpan w:val="4"/>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Counsel and Corporate Secretary</w:t>
            </w:r>
          </w:p>
        </w:tc>
        <w:tc>
          <w:tcPr>
            <w:tcW w:w="70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1040" w:type="dxa"/>
            <w:vAlign w:val="bottom"/>
            <w:tcBorders>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820" w:type="dxa"/>
            <w:vAlign w:val="bottom"/>
            <w:tcBorders>
              <w:left w:val="single" w:sz="8" w:color="auto"/>
            </w:tcBorders>
            <w:gridSpan w:val="4"/>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Donald A. McCunniff</w:t>
            </w:r>
            <w:r>
              <w:rPr>
                <w:rFonts w:ascii="Times New Roman" w:cs="Times New Roman" w:eastAsia="Times New Roman" w:hAnsi="Times New Roman"/>
                <w:sz w:val="11"/>
                <w:szCs w:val="11"/>
                <w:b w:val="1"/>
                <w:bCs w:val="1"/>
                <w:color w:val="auto"/>
              </w:rPr>
              <w:t>7</w:t>
            </w:r>
          </w:p>
        </w:tc>
        <w:tc>
          <w:tcPr>
            <w:tcW w:w="7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2012</w:t>
            </w:r>
          </w:p>
        </w:tc>
        <w:tc>
          <w:tcPr>
            <w:tcW w:w="860" w:type="dxa"/>
            <w:vAlign w:val="bottom"/>
          </w:tcPr>
          <w:p>
            <w:pPr>
              <w:jc w:val="right"/>
              <w:ind w:right="76"/>
              <w:spacing w:after="0" w:line="201" w:lineRule="exact"/>
              <w:rPr>
                <w:sz w:val="20"/>
                <w:szCs w:val="20"/>
                <w:color w:val="auto"/>
              </w:rPr>
            </w:pPr>
            <w:r>
              <w:rPr>
                <w:rFonts w:ascii="Times New Roman" w:cs="Times New Roman" w:eastAsia="Times New Roman" w:hAnsi="Times New Roman"/>
                <w:sz w:val="18"/>
                <w:szCs w:val="18"/>
                <w:color w:val="auto"/>
              </w:rPr>
              <w:t>328,533</w:t>
            </w:r>
          </w:p>
        </w:tc>
        <w:tc>
          <w:tcPr>
            <w:tcW w:w="860" w:type="dxa"/>
            <w:vAlign w:val="bottom"/>
          </w:tcPr>
          <w:p>
            <w:pPr>
              <w:jc w:val="right"/>
              <w:ind w:right="57"/>
              <w:spacing w:after="0" w:line="201" w:lineRule="exact"/>
              <w:rPr>
                <w:sz w:val="20"/>
                <w:szCs w:val="20"/>
                <w:color w:val="auto"/>
              </w:rPr>
            </w:pPr>
            <w:r>
              <w:rPr>
                <w:rFonts w:ascii="Times New Roman" w:cs="Times New Roman" w:eastAsia="Times New Roman" w:hAnsi="Times New Roman"/>
                <w:sz w:val="18"/>
                <w:szCs w:val="18"/>
                <w:color w:val="auto"/>
              </w:rPr>
              <w:t>134,305</w:t>
            </w:r>
          </w:p>
        </w:tc>
        <w:tc>
          <w:tcPr>
            <w:tcW w:w="860" w:type="dxa"/>
            <w:vAlign w:val="bottom"/>
          </w:tcPr>
          <w:p>
            <w:pPr>
              <w:jc w:val="right"/>
              <w:ind w:right="58"/>
              <w:spacing w:after="0" w:line="201" w:lineRule="exact"/>
              <w:rPr>
                <w:sz w:val="20"/>
                <w:szCs w:val="20"/>
                <w:color w:val="auto"/>
              </w:rPr>
            </w:pPr>
            <w:r>
              <w:rPr>
                <w:rFonts w:ascii="Times New Roman" w:cs="Times New Roman" w:eastAsia="Times New Roman" w:hAnsi="Times New Roman"/>
                <w:sz w:val="18"/>
                <w:szCs w:val="18"/>
                <w:color w:val="auto"/>
              </w:rPr>
              <w:t>159,305</w:t>
            </w:r>
          </w:p>
        </w:tc>
        <w:tc>
          <w:tcPr>
            <w:tcW w:w="840" w:type="dxa"/>
            <w:vAlign w:val="bottom"/>
          </w:tcPr>
          <w:p>
            <w:pPr>
              <w:jc w:val="right"/>
              <w:ind w:right="38"/>
              <w:spacing w:after="0" w:line="201" w:lineRule="exact"/>
              <w:rPr>
                <w:sz w:val="20"/>
                <w:szCs w:val="20"/>
                <w:color w:val="auto"/>
              </w:rPr>
            </w:pPr>
            <w:r>
              <w:rPr>
                <w:rFonts w:ascii="Times New Roman" w:cs="Times New Roman" w:eastAsia="Times New Roman" w:hAnsi="Times New Roman"/>
                <w:sz w:val="18"/>
                <w:szCs w:val="18"/>
                <w:color w:val="auto"/>
              </w:rPr>
              <w:t>81,032</w:t>
            </w:r>
          </w:p>
        </w:tc>
        <w:tc>
          <w:tcPr>
            <w:tcW w:w="1020" w:type="dxa"/>
            <w:vAlign w:val="bottom"/>
          </w:tcPr>
          <w:p>
            <w:pPr>
              <w:spacing w:after="0"/>
              <w:rPr>
                <w:sz w:val="17"/>
                <w:szCs w:val="17"/>
                <w:color w:val="auto"/>
              </w:rPr>
            </w:pPr>
          </w:p>
        </w:tc>
        <w:tc>
          <w:tcPr>
            <w:tcW w:w="1020" w:type="dxa"/>
            <w:vAlign w:val="bottom"/>
          </w:tcPr>
          <w:p>
            <w:pPr>
              <w:jc w:val="right"/>
              <w:ind w:right="41"/>
              <w:spacing w:after="0" w:line="201" w:lineRule="exact"/>
              <w:rPr>
                <w:sz w:val="20"/>
                <w:szCs w:val="20"/>
                <w:color w:val="auto"/>
              </w:rPr>
            </w:pPr>
            <w:r>
              <w:rPr>
                <w:rFonts w:ascii="Times New Roman" w:cs="Times New Roman" w:eastAsia="Times New Roman" w:hAnsi="Times New Roman"/>
                <w:sz w:val="18"/>
                <w:szCs w:val="18"/>
                <w:color w:val="auto"/>
              </w:rPr>
              <w:t>81,311</w:t>
            </w:r>
          </w:p>
        </w:tc>
        <w:tc>
          <w:tcPr>
            <w:tcW w:w="1060" w:type="dxa"/>
            <w:vAlign w:val="bottom"/>
          </w:tcPr>
          <w:p>
            <w:pPr>
              <w:jc w:val="right"/>
              <w:ind w:right="38"/>
              <w:spacing w:after="0" w:line="201" w:lineRule="exact"/>
              <w:rPr>
                <w:sz w:val="20"/>
                <w:szCs w:val="20"/>
                <w:color w:val="auto"/>
              </w:rPr>
            </w:pPr>
            <w:r>
              <w:rPr>
                <w:rFonts w:ascii="Times New Roman" w:cs="Times New Roman" w:eastAsia="Times New Roman" w:hAnsi="Times New Roman"/>
                <w:sz w:val="18"/>
                <w:szCs w:val="18"/>
                <w:color w:val="auto"/>
              </w:rPr>
              <w:t>31,310</w:t>
            </w:r>
          </w:p>
        </w:tc>
        <w:tc>
          <w:tcPr>
            <w:tcW w:w="1040" w:type="dxa"/>
            <w:vAlign w:val="bottom"/>
            <w:tcBorders>
              <w:right w:val="single" w:sz="8" w:color="auto"/>
            </w:tcBorders>
          </w:tcPr>
          <w:p>
            <w:pPr>
              <w:jc w:val="right"/>
              <w:ind w:right="136"/>
              <w:spacing w:after="0" w:line="201" w:lineRule="exact"/>
              <w:rPr>
                <w:sz w:val="20"/>
                <w:szCs w:val="20"/>
                <w:color w:val="auto"/>
              </w:rPr>
            </w:pPr>
            <w:r>
              <w:rPr>
                <w:rFonts w:ascii="Times New Roman" w:cs="Times New Roman" w:eastAsia="Times New Roman" w:hAnsi="Times New Roman"/>
                <w:sz w:val="18"/>
                <w:szCs w:val="18"/>
                <w:color w:val="auto"/>
              </w:rPr>
              <w:t>815,796</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Senior Vice President, Human</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20" w:type="dxa"/>
            <w:vAlign w:val="bottom"/>
            <w:tcBorders>
              <w:left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Resources</w:t>
            </w: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tcBorders>
              <w:left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Dana F. Guzzo</w:t>
            </w:r>
            <w:r>
              <w:rPr>
                <w:rFonts w:ascii="Times New Roman" w:cs="Times New Roman" w:eastAsia="Times New Roman" w:hAnsi="Times New Roman"/>
                <w:sz w:val="11"/>
                <w:szCs w:val="11"/>
                <w:b w:val="1"/>
                <w:bCs w:val="1"/>
                <w:color w:val="auto"/>
              </w:rPr>
              <w:t>7</w:t>
            </w:r>
          </w:p>
        </w:tc>
        <w:tc>
          <w:tcPr>
            <w:tcW w:w="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2012</w:t>
            </w:r>
          </w:p>
        </w:tc>
        <w:tc>
          <w:tcPr>
            <w:tcW w:w="860" w:type="dxa"/>
            <w:vAlign w:val="bottom"/>
            <w:shd w:val="clear" w:color="auto" w:fill="E0E0E0"/>
          </w:tcPr>
          <w:p>
            <w:pPr>
              <w:jc w:val="right"/>
              <w:ind w:right="76"/>
              <w:spacing w:after="0"/>
              <w:rPr>
                <w:sz w:val="20"/>
                <w:szCs w:val="20"/>
                <w:color w:val="auto"/>
              </w:rPr>
            </w:pPr>
            <w:r>
              <w:rPr>
                <w:rFonts w:ascii="Times New Roman" w:cs="Times New Roman" w:eastAsia="Times New Roman" w:hAnsi="Times New Roman"/>
                <w:sz w:val="18"/>
                <w:szCs w:val="18"/>
                <w:color w:val="auto"/>
              </w:rPr>
              <w:t>292,970</w:t>
            </w:r>
          </w:p>
        </w:tc>
        <w:tc>
          <w:tcPr>
            <w:tcW w:w="860" w:type="dxa"/>
            <w:vAlign w:val="bottom"/>
            <w:shd w:val="clear" w:color="auto" w:fill="E0E0E0"/>
          </w:tcPr>
          <w:p>
            <w:pPr>
              <w:jc w:val="right"/>
              <w:ind w:right="57"/>
              <w:spacing w:after="0"/>
              <w:rPr>
                <w:sz w:val="20"/>
                <w:szCs w:val="20"/>
                <w:color w:val="auto"/>
              </w:rPr>
            </w:pPr>
            <w:r>
              <w:rPr>
                <w:rFonts w:ascii="Times New Roman" w:cs="Times New Roman" w:eastAsia="Times New Roman" w:hAnsi="Times New Roman"/>
                <w:sz w:val="18"/>
                <w:szCs w:val="18"/>
                <w:color w:val="auto"/>
              </w:rPr>
              <w:t>98,438</w:t>
            </w:r>
          </w:p>
        </w:tc>
        <w:tc>
          <w:tcPr>
            <w:tcW w:w="860" w:type="dxa"/>
            <w:vAlign w:val="bottom"/>
            <w:shd w:val="clear" w:color="auto" w:fill="E0E0E0"/>
          </w:tcPr>
          <w:p>
            <w:pPr>
              <w:jc w:val="right"/>
              <w:ind w:right="58"/>
              <w:spacing w:after="0"/>
              <w:rPr>
                <w:sz w:val="20"/>
                <w:szCs w:val="20"/>
                <w:color w:val="auto"/>
              </w:rPr>
            </w:pPr>
            <w:r>
              <w:rPr>
                <w:rFonts w:ascii="Times New Roman" w:cs="Times New Roman" w:eastAsia="Times New Roman" w:hAnsi="Times New Roman"/>
                <w:sz w:val="18"/>
                <w:szCs w:val="18"/>
                <w:color w:val="auto"/>
              </w:rPr>
              <w:t>92,347</w:t>
            </w:r>
          </w:p>
        </w:tc>
        <w:tc>
          <w:tcPr>
            <w:tcW w:w="84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43,647</w:t>
            </w:r>
          </w:p>
        </w:tc>
        <w:tc>
          <w:tcPr>
            <w:tcW w:w="1020" w:type="dxa"/>
            <w:vAlign w:val="bottom"/>
            <w:shd w:val="clear" w:color="auto" w:fill="E0E0E0"/>
          </w:tcPr>
          <w:p>
            <w:pPr>
              <w:spacing w:after="0"/>
              <w:rPr>
                <w:sz w:val="18"/>
                <w:szCs w:val="18"/>
                <w:color w:val="auto"/>
              </w:rPr>
            </w:pPr>
          </w:p>
        </w:tc>
        <w:tc>
          <w:tcPr>
            <w:tcW w:w="1020" w:type="dxa"/>
            <w:vAlign w:val="bottom"/>
            <w:shd w:val="clear" w:color="auto" w:fill="E0E0E0"/>
          </w:tcPr>
          <w:p>
            <w:pPr>
              <w:jc w:val="right"/>
              <w:ind w:right="41"/>
              <w:spacing w:after="0"/>
              <w:rPr>
                <w:sz w:val="20"/>
                <w:szCs w:val="20"/>
                <w:color w:val="auto"/>
              </w:rPr>
            </w:pPr>
            <w:r>
              <w:rPr>
                <w:rFonts w:ascii="Times New Roman" w:cs="Times New Roman" w:eastAsia="Times New Roman" w:hAnsi="Times New Roman"/>
                <w:sz w:val="18"/>
                <w:szCs w:val="18"/>
                <w:color w:val="auto"/>
              </w:rPr>
              <w:t>122,625</w:t>
            </w:r>
          </w:p>
        </w:tc>
        <w:tc>
          <w:tcPr>
            <w:tcW w:w="1060" w:type="dxa"/>
            <w:vAlign w:val="bottom"/>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21,658</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Times New Roman" w:cs="Times New Roman" w:eastAsia="Times New Roman" w:hAnsi="Times New Roman"/>
                <w:sz w:val="18"/>
                <w:szCs w:val="18"/>
                <w:color w:val="auto"/>
              </w:rPr>
              <w:t>671,685</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gridSpan w:val="4"/>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Senior Vice President,</w:t>
            </w:r>
          </w:p>
        </w:tc>
        <w:tc>
          <w:tcPr>
            <w:tcW w:w="7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gridSpan w:val="4"/>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Controller, Chief Accounting</w:t>
            </w:r>
          </w:p>
        </w:tc>
        <w:tc>
          <w:tcPr>
            <w:tcW w:w="7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gridSpan w:val="4"/>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Officer and Chief Information</w:t>
            </w:r>
          </w:p>
        </w:tc>
        <w:tc>
          <w:tcPr>
            <w:tcW w:w="7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tcBorders>
              <w:left w:val="single" w:sz="8" w:color="auto"/>
            </w:tcBorders>
            <w:gridSpan w:val="4"/>
            <w:shd w:val="clear" w:color="auto" w:fill="E0E0E0"/>
          </w:tcPr>
          <w:p>
            <w:pPr>
              <w:ind w:left="340"/>
              <w:spacing w:after="0"/>
              <w:rPr>
                <w:sz w:val="20"/>
                <w:szCs w:val="20"/>
                <w:color w:val="auto"/>
              </w:rPr>
            </w:pPr>
            <w:r>
              <w:rPr>
                <w:rFonts w:ascii="Times New Roman" w:cs="Times New Roman" w:eastAsia="Times New Roman" w:hAnsi="Times New Roman"/>
                <w:sz w:val="18"/>
                <w:szCs w:val="18"/>
                <w:color w:val="auto"/>
              </w:rPr>
              <w:t>Officer</w:t>
            </w:r>
          </w:p>
        </w:tc>
        <w:tc>
          <w:tcPr>
            <w:tcW w:w="70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1040" w:type="dxa"/>
            <w:vAlign w:val="bottom"/>
            <w:tcBorders>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20" w:type="dxa"/>
            <w:vAlign w:val="bottom"/>
            <w:tcBorders>
              <w:left w:val="single" w:sz="8" w:color="auto"/>
            </w:tcBorders>
            <w:gridSpan w:val="4"/>
          </w:tcPr>
          <w:p>
            <w:pPr>
              <w:ind w:left="120"/>
              <w:spacing w:after="0" w:line="200" w:lineRule="exact"/>
              <w:rPr>
                <w:sz w:val="20"/>
                <w:szCs w:val="20"/>
                <w:color w:val="auto"/>
              </w:rPr>
            </w:pPr>
            <w:r>
              <w:rPr>
                <w:rFonts w:ascii="Times New Roman" w:cs="Times New Roman" w:eastAsia="Times New Roman" w:hAnsi="Times New Roman"/>
                <w:sz w:val="18"/>
                <w:szCs w:val="18"/>
                <w:b w:val="1"/>
                <w:bCs w:val="1"/>
                <w:i w:val="1"/>
                <w:iCs w:val="1"/>
                <w:color w:val="auto"/>
              </w:rPr>
              <w:t>Former Executive Officer:</w:t>
            </w:r>
          </w:p>
        </w:tc>
        <w:tc>
          <w:tcPr>
            <w:tcW w:w="70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2012</w:t>
            </w:r>
          </w:p>
        </w:tc>
        <w:tc>
          <w:tcPr>
            <w:tcW w:w="860" w:type="dxa"/>
            <w:vAlign w:val="bottom"/>
          </w:tcPr>
          <w:p>
            <w:pPr>
              <w:jc w:val="right"/>
              <w:ind w:right="76"/>
              <w:spacing w:after="0" w:line="200" w:lineRule="exact"/>
              <w:rPr>
                <w:sz w:val="20"/>
                <w:szCs w:val="20"/>
                <w:color w:val="auto"/>
              </w:rPr>
            </w:pPr>
            <w:r>
              <w:rPr>
                <w:rFonts w:ascii="Times New Roman" w:cs="Times New Roman" w:eastAsia="Times New Roman" w:hAnsi="Times New Roman"/>
                <w:sz w:val="18"/>
                <w:szCs w:val="18"/>
                <w:color w:val="auto"/>
              </w:rPr>
              <w:t>500,000</w:t>
            </w:r>
          </w:p>
        </w:tc>
        <w:tc>
          <w:tcPr>
            <w:tcW w:w="860" w:type="dxa"/>
            <w:vAlign w:val="bottom"/>
          </w:tcPr>
          <w:p>
            <w:pPr>
              <w:jc w:val="right"/>
              <w:ind w:right="57"/>
              <w:spacing w:after="0" w:line="200" w:lineRule="exact"/>
              <w:rPr>
                <w:sz w:val="20"/>
                <w:szCs w:val="20"/>
                <w:color w:val="auto"/>
              </w:rPr>
            </w:pPr>
            <w:r>
              <w:rPr>
                <w:rFonts w:ascii="Times New Roman" w:cs="Times New Roman" w:eastAsia="Times New Roman" w:hAnsi="Times New Roman"/>
                <w:sz w:val="18"/>
                <w:szCs w:val="18"/>
                <w:color w:val="auto"/>
              </w:rPr>
              <w:t>281,401</w:t>
            </w:r>
          </w:p>
        </w:tc>
        <w:tc>
          <w:tcPr>
            <w:tcW w:w="860" w:type="dxa"/>
            <w:vAlign w:val="bottom"/>
          </w:tcPr>
          <w:p>
            <w:pPr>
              <w:jc w:val="right"/>
              <w:ind w:right="58"/>
              <w:spacing w:after="0" w:line="200" w:lineRule="exact"/>
              <w:rPr>
                <w:sz w:val="20"/>
                <w:szCs w:val="20"/>
                <w:color w:val="auto"/>
              </w:rPr>
            </w:pPr>
            <w:r>
              <w:rPr>
                <w:rFonts w:ascii="Times New Roman" w:cs="Times New Roman" w:eastAsia="Times New Roman" w:hAnsi="Times New Roman"/>
                <w:sz w:val="18"/>
                <w:szCs w:val="18"/>
                <w:color w:val="auto"/>
              </w:rPr>
              <w:t>191,117</w:t>
            </w:r>
          </w:p>
        </w:tc>
        <w:tc>
          <w:tcPr>
            <w:tcW w:w="840" w:type="dxa"/>
            <w:vAlign w:val="bottom"/>
          </w:tcPr>
          <w:p>
            <w:pPr>
              <w:jc w:val="right"/>
              <w:ind w:right="38"/>
              <w:spacing w:after="0" w:line="200" w:lineRule="exact"/>
              <w:rPr>
                <w:sz w:val="20"/>
                <w:szCs w:val="20"/>
                <w:color w:val="auto"/>
              </w:rPr>
            </w:pPr>
            <w:r>
              <w:rPr>
                <w:rFonts w:ascii="Times New Roman" w:cs="Times New Roman" w:eastAsia="Times New Roman" w:hAnsi="Times New Roman"/>
                <w:sz w:val="18"/>
                <w:szCs w:val="18"/>
                <w:color w:val="auto"/>
              </w:rPr>
              <w:t>123,208</w:t>
            </w:r>
          </w:p>
        </w:tc>
        <w:tc>
          <w:tcPr>
            <w:tcW w:w="1020" w:type="dxa"/>
            <w:vAlign w:val="bottom"/>
          </w:tcPr>
          <w:p>
            <w:pPr>
              <w:spacing w:after="0"/>
              <w:rPr>
                <w:sz w:val="17"/>
                <w:szCs w:val="17"/>
                <w:color w:val="auto"/>
              </w:rPr>
            </w:pPr>
          </w:p>
        </w:tc>
        <w:tc>
          <w:tcPr>
            <w:tcW w:w="102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18"/>
                <w:szCs w:val="18"/>
                <w:color w:val="auto"/>
              </w:rPr>
              <w:t>474,282</w:t>
            </w:r>
          </w:p>
        </w:tc>
        <w:tc>
          <w:tcPr>
            <w:tcW w:w="1060" w:type="dxa"/>
            <w:vAlign w:val="bottom"/>
          </w:tcPr>
          <w:p>
            <w:pPr>
              <w:jc w:val="right"/>
              <w:ind w:right="38"/>
              <w:spacing w:after="0" w:line="200" w:lineRule="exact"/>
              <w:rPr>
                <w:sz w:val="20"/>
                <w:szCs w:val="20"/>
                <w:color w:val="auto"/>
              </w:rPr>
            </w:pPr>
            <w:r>
              <w:rPr>
                <w:rFonts w:ascii="Times New Roman" w:cs="Times New Roman" w:eastAsia="Times New Roman" w:hAnsi="Times New Roman"/>
                <w:sz w:val="18"/>
                <w:szCs w:val="18"/>
                <w:color w:val="auto"/>
              </w:rPr>
              <w:t>102,365</w:t>
            </w:r>
          </w:p>
        </w:tc>
        <w:tc>
          <w:tcPr>
            <w:tcW w:w="1040" w:type="dxa"/>
            <w:vAlign w:val="bottom"/>
            <w:tcBorders>
              <w:right w:val="single" w:sz="8" w:color="auto"/>
            </w:tcBorders>
          </w:tcPr>
          <w:p>
            <w:pPr>
              <w:jc w:val="right"/>
              <w:ind w:right="136"/>
              <w:spacing w:after="0" w:line="200" w:lineRule="exact"/>
              <w:rPr>
                <w:sz w:val="20"/>
                <w:szCs w:val="20"/>
                <w:color w:val="auto"/>
              </w:rPr>
            </w:pPr>
            <w:r>
              <w:rPr>
                <w:rFonts w:ascii="Times New Roman" w:cs="Times New Roman" w:eastAsia="Times New Roman" w:hAnsi="Times New Roman"/>
                <w:sz w:val="18"/>
                <w:szCs w:val="18"/>
                <w:color w:val="auto"/>
              </w:rPr>
              <w:t>1,672,373</w:t>
            </w:r>
          </w:p>
        </w:tc>
        <w:tc>
          <w:tcPr>
            <w:tcW w:w="0" w:type="dxa"/>
            <w:vAlign w:val="bottom"/>
          </w:tcPr>
          <w:p>
            <w:pPr>
              <w:spacing w:after="0"/>
              <w:rPr>
                <w:sz w:val="1"/>
                <w:szCs w:val="1"/>
                <w:color w:val="auto"/>
              </w:rPr>
            </w:pPr>
          </w:p>
        </w:tc>
      </w:tr>
      <w:tr>
        <w:trPr>
          <w:trHeight w:val="218"/>
        </w:trPr>
        <w:tc>
          <w:tcPr>
            <w:tcW w:w="282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Bruce A. Vaio</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2011</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457,367</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170,360</w:t>
            </w:r>
          </w:p>
        </w:tc>
        <w:tc>
          <w:tcPr>
            <w:tcW w:w="8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228,295</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128,562</w:t>
            </w:r>
          </w:p>
        </w:tc>
        <w:tc>
          <w:tcPr>
            <w:tcW w:w="10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343,274</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68,753</w:t>
            </w:r>
          </w:p>
        </w:tc>
        <w:tc>
          <w:tcPr>
            <w:tcW w:w="1040" w:type="dxa"/>
            <w:vAlign w:val="bottom"/>
            <w:tcBorders>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1,396,611</w:t>
            </w: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2010</w:t>
            </w:r>
          </w:p>
        </w:tc>
        <w:tc>
          <w:tcPr>
            <w:tcW w:w="8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453,200</w:t>
            </w: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213,312</w:t>
            </w:r>
          </w:p>
        </w:tc>
        <w:tc>
          <w:tcPr>
            <w:tcW w:w="8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357,395</w:t>
            </w:r>
          </w:p>
        </w:tc>
        <w:tc>
          <w:tcPr>
            <w:tcW w:w="8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129,451</w:t>
            </w: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208,790</w:t>
            </w: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81,612</w:t>
            </w:r>
          </w:p>
        </w:tc>
        <w:tc>
          <w:tcPr>
            <w:tcW w:w="1040" w:type="dxa"/>
            <w:vAlign w:val="bottom"/>
            <w:tcBorders>
              <w:bottom w:val="single" w:sz="8" w:color="auto"/>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1,434,960</w:t>
            </w: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jc w:val="both"/>
        <w:ind w:left="323" w:right="20" w:hanging="323"/>
        <w:spacing w:after="0" w:line="271" w:lineRule="auto"/>
        <w:tabs>
          <w:tab w:leader="none" w:pos="323"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column (d) for 2012 reflect the cash bonuses to the named individuals earned in 2012 and paid in 2013 under the Executive Incentive Plan, which is discussed in further detail on pages 41 to 45 under the heading “Annual Bonus Compensation.” The amounts in this column also include the amounts of bonus irrevocably deferred in common stock units at the election of each named executive officer pursuant to Martin Marietta’s Incentive Stock Plan, which is discussed in further detail on page 45 under the heading “</w:t>
      </w:r>
      <w:r>
        <w:rPr>
          <w:rFonts w:ascii="Times New Roman" w:cs="Times New Roman" w:eastAsia="Times New Roman" w:hAnsi="Times New Roman"/>
          <w:sz w:val="12"/>
          <w:szCs w:val="12"/>
          <w:i w:val="1"/>
          <w:iCs w:val="1"/>
          <w:color w:val="auto"/>
        </w:rPr>
        <w:t>Performance-Based Stock Purchase Awards</w:t>
      </w:r>
      <w:r>
        <w:rPr>
          <w:rFonts w:ascii="Times New Roman" w:cs="Times New Roman" w:eastAsia="Times New Roman" w:hAnsi="Times New Roman"/>
          <w:sz w:val="12"/>
          <w:szCs w:val="12"/>
          <w:color w:val="auto"/>
        </w:rPr>
        <w:t>.” The number of stock units and the related grant date fair value attributable to the amounts of bonus so deferred by the named executive officers appear in column (i) and (l), respectively, of the Grants of Plan-Based Awards Table on page 53. The amounts mandatorily deferred in 2012 are included in column (e). The amounts deferred in 2012 for each of the named executive officers at his or her election, which are included in column (d), are as follows: Mr. Nye, $0; Ms. Lloyd, $0; Ms. Bar $9,301; Mr. McCunniff, $0; Ms. Guzzo, $6,153; and Mr. Vaio, $0.</w:t>
      </w:r>
    </w:p>
    <w:p>
      <w:pPr>
        <w:spacing w:after="0" w:line="24" w:lineRule="exact"/>
        <w:rPr>
          <w:sz w:val="20"/>
          <w:szCs w:val="20"/>
          <w:color w:val="auto"/>
        </w:rPr>
      </w:pPr>
    </w:p>
    <w:p>
      <w:pPr>
        <w:jc w:val="both"/>
        <w:ind w:left="323" w:right="20" w:hanging="323"/>
        <w:spacing w:after="0" w:line="227" w:lineRule="auto"/>
        <w:tabs>
          <w:tab w:leader="none" w:pos="32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2012) and awards related to the amount of cash bonus irrevocably and mandatorily deferred in common stock units by each named executive officer pursuant to Martin Marietta’s Incentive Stock Plan, which is discussed in further detail on page 45 under the heading “</w:t>
      </w:r>
      <w:r>
        <w:rPr>
          <w:rFonts w:ascii="Times New Roman" w:cs="Times New Roman" w:eastAsia="Times New Roman" w:hAnsi="Times New Roman"/>
          <w:sz w:val="14"/>
          <w:szCs w:val="14"/>
          <w:i w:val="1"/>
          <w:iCs w:val="1"/>
          <w:color w:val="auto"/>
        </w:rPr>
        <w:t>Performance-Based Stock Purchase Awards</w:t>
      </w:r>
      <w:r>
        <w:rPr>
          <w:rFonts w:ascii="Times New Roman" w:cs="Times New Roman" w:eastAsia="Times New Roman" w:hAnsi="Times New Roman"/>
          <w:sz w:val="14"/>
          <w:szCs w:val="14"/>
          <w:color w:val="auto"/>
        </w:rPr>
        <w:t>.” The amount included in the table for performance-based restricted stock unit awards granted in 2012 reflects the value of the units granted, which is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forfeiture if the executive does not remain in the employment of Martin Marietta for the requisite time period (generally three or four years). The amounts in column (e) do not include the 20% discount on the Incentive Stock Plan units, which is reported in column (i). Assumptions used in the calculation of these amounts are included in Note A to</w:t>
      </w:r>
    </w:p>
    <w:p>
      <w:pPr>
        <w:spacing w:after="0" w:line="27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083"/>
          </w:cols>
          <w:pgMar w:left="437" w:top="459" w:right="379" w:bottom="1440" w:gutter="0" w:footer="0" w:header="0"/>
        </w:sectPr>
      </w:pPr>
    </w:p>
    <w:bookmarkStart w:id="55" w:name="page56"/>
    <w:bookmarkEnd w:id="55"/>
    <w:p>
      <w:pPr>
        <w:jc w:val="both"/>
        <w:ind w:left="323" w:right="20"/>
        <w:spacing w:after="0" w:line="28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363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363595"/>
                    </a:xfrm>
                    <a:prstGeom prst="rect">
                      <a:avLst/>
                    </a:prstGeom>
                    <a:noFill/>
                  </pic:spPr>
                </pic:pic>
              </a:graphicData>
            </a:graphic>
          </wp:anchor>
        </w:drawing>
        <w:t>Martin Marietta’s audited financial statements for the fiscal year ended December 31, 2012, included in Martin Marietta’s Annual Report on Form 10-K filed with the Securities and Exchange Commission on February 28, 2013. The amounts of cash bonus deferred in 2012 at the election of each named executive officer are included in column (d). The amounts of cash bonus mandatorily deferred in 2012 for each of the named executive officers are as follows: Mr. Nye, $210,000; Ms. Lloyd, $58,113; Ms. Bar, $37,202; Mr. McCunniff, $33,576; Ms. Guzzo, $24,609; and Mr. Vaio, $0.</w:t>
      </w:r>
    </w:p>
    <w:p>
      <w:pPr>
        <w:spacing w:after="0" w:line="15" w:lineRule="exact"/>
        <w:rPr>
          <w:sz w:val="20"/>
          <w:szCs w:val="20"/>
          <w:color w:val="auto"/>
        </w:rPr>
      </w:pPr>
    </w:p>
    <w:p>
      <w:pPr>
        <w:jc w:val="both"/>
        <w:ind w:left="323" w:hanging="323"/>
        <w:spacing w:after="0" w:line="234" w:lineRule="auto"/>
        <w:tabs>
          <w:tab w:leader="none" w:pos="32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(f) reflect the grant date fair value, determined in accordance with FASB ASC Topic 718 (but excluding the effect of estimated forfeitures), of option awards made in the year reported. Assumptions used in the calculation of these amounts for the fiscal year ended December 31, 2012 are included in Note A to Martin Marietta’s audited financial statements for the fiscal year ended December 31, 2012, included in Martin Marietta’s Annual Report on Form 10-K filed with the Securities and Exchange Commission on February 28, 2013.</w:t>
      </w:r>
    </w:p>
    <w:p>
      <w:pPr>
        <w:spacing w:after="0" w:line="42" w:lineRule="exact"/>
        <w:rPr>
          <w:sz w:val="20"/>
          <w:szCs w:val="20"/>
          <w:color w:val="auto"/>
        </w:rPr>
      </w:pPr>
    </w:p>
    <w:p>
      <w:pPr>
        <w:jc w:val="both"/>
        <w:ind w:left="323" w:hanging="323"/>
        <w:spacing w:after="0" w:line="234" w:lineRule="auto"/>
        <w:tabs>
          <w:tab w:leader="none" w:pos="323"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(h) reflect the aggregate increase in the actuarial present value of the named executive officer’s accumulated benefits during 2012, 2011 and 2010,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w:t>
      </w:r>
    </w:p>
    <w:p>
      <w:pPr>
        <w:spacing w:after="0" w:line="42" w:lineRule="exact"/>
        <w:rPr>
          <w:sz w:val="20"/>
          <w:szCs w:val="20"/>
          <w:color w:val="auto"/>
        </w:rPr>
      </w:pPr>
    </w:p>
    <w:p>
      <w:pPr>
        <w:jc w:val="both"/>
        <w:ind w:left="323" w:hanging="323"/>
        <w:spacing w:after="0" w:line="225" w:lineRule="auto"/>
        <w:tabs>
          <w:tab w:leader="none" w:pos="32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reflects for each named executive officer: matching contributions allocated by Martin Marietta to each of the named executive officers pursuant to the Performance Sharing Plan, which is more fully described on page 48 under the heading “</w:t>
      </w:r>
      <w:r>
        <w:rPr>
          <w:rFonts w:ascii="Times New Roman" w:cs="Times New Roman" w:eastAsia="Times New Roman" w:hAnsi="Times New Roman"/>
          <w:sz w:val="14"/>
          <w:szCs w:val="14"/>
          <w:i w:val="1"/>
          <w:iCs w:val="1"/>
          <w:color w:val="auto"/>
        </w:rPr>
        <w:t>Retirement and Other Benefits</w:t>
      </w:r>
      <w:r>
        <w:rPr>
          <w:rFonts w:ascii="Times New Roman" w:cs="Times New Roman" w:eastAsia="Times New Roman" w:hAnsi="Times New Roman"/>
          <w:sz w:val="14"/>
          <w:szCs w:val="14"/>
          <w:color w:val="auto"/>
        </w:rPr>
        <w:t>,” the value attributable to life insurance benefits provided to the named executive officers, which is more fully described on page 48 under the heading “</w:t>
      </w:r>
      <w:r>
        <w:rPr>
          <w:rFonts w:ascii="Times New Roman" w:cs="Times New Roman" w:eastAsia="Times New Roman" w:hAnsi="Times New Roman"/>
          <w:sz w:val="14"/>
          <w:szCs w:val="14"/>
          <w:i w:val="1"/>
          <w:iCs w:val="1"/>
          <w:color w:val="auto"/>
        </w:rPr>
        <w:t>Retirement and Other Benefits</w:t>
      </w:r>
      <w:r>
        <w:rPr>
          <w:rFonts w:ascii="Times New Roman" w:cs="Times New Roman" w:eastAsia="Times New Roman" w:hAnsi="Times New Roman"/>
          <w:sz w:val="14"/>
          <w:szCs w:val="14"/>
          <w:color w:val="auto"/>
        </w:rPr>
        <w:t>”; and the value attributable to personal use of leased automobiles provided by Martin Marietta, and, for some executive officers, Martin Marietta’s plane. The personal use of the plane in 2012 was related to spouses accompanying executive officers on business trips. These values are included as compensation on the W-2 of named executive officers who receive such benefits. Each such named executive officer is responsible for paying income tax on such amount. Except with regard to Mr. Vaio,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2012, 2011 and 2010, and the dollar value of dividend equivalents on units credited under the Incentive Stock Plan and on restricted stock units as computed for financial statement reporting purposes for each fiscal year ended December 31, 2012, 2011 and 2010 in accordance with FASB ASC Topic 718.</w:t>
      </w:r>
    </w:p>
    <w:p>
      <w:pPr>
        <w:spacing w:after="0" w:line="44" w:lineRule="exact"/>
        <w:rPr>
          <w:sz w:val="20"/>
          <w:szCs w:val="20"/>
          <w:color w:val="auto"/>
        </w:rPr>
      </w:pPr>
    </w:p>
    <w:p>
      <w:pPr>
        <w:ind w:left="323" w:hanging="323"/>
        <w:spacing w:after="0"/>
        <w:tabs>
          <w:tab w:leader="none" w:pos="32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Bar was not a named executive officer for purposes of the Summary Compensation Table in 2010.</w:t>
      </w:r>
    </w:p>
    <w:p>
      <w:pPr>
        <w:spacing w:after="0" w:line="55" w:lineRule="exact"/>
        <w:rPr>
          <w:sz w:val="20"/>
          <w:szCs w:val="20"/>
          <w:color w:val="auto"/>
        </w:rPr>
      </w:pPr>
    </w:p>
    <w:p>
      <w:pPr>
        <w:ind w:left="323" w:hanging="323"/>
        <w:spacing w:after="0"/>
        <w:tabs>
          <w:tab w:leader="none" w:pos="32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McCunniff and Ms. Guzzo were not named executive officers for purposes of the Summary Compensation Table in 2011 or 2010.</w:t>
      </w:r>
    </w:p>
    <w:p>
      <w:pPr>
        <w:spacing w:after="0" w:line="55" w:lineRule="exact"/>
        <w:rPr>
          <w:sz w:val="20"/>
          <w:szCs w:val="20"/>
          <w:color w:val="auto"/>
        </w:rPr>
      </w:pPr>
    </w:p>
    <w:p>
      <w:pPr>
        <w:ind w:left="323" w:hanging="323"/>
        <w:spacing w:after="0" w:line="241" w:lineRule="auto"/>
        <w:tabs>
          <w:tab w:leader="none" w:pos="32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Vaio resigned from Martin Marietta on December 28, 2012. The amounts reflected in column (i) include $43,269 paid to him for his unused earned vacation upon his termination of employment. Mr. Vaio’s entitlements upon his resignation are described on page 61 of this Proxy Statement.</w:t>
      </w:r>
    </w:p>
    <w:p>
      <w:pPr>
        <w:spacing w:after="0" w:line="2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w:t>
      </w:r>
    </w:p>
    <w:p>
      <w:pPr>
        <w:spacing w:after="0" w:line="94" w:lineRule="exact"/>
        <w:rPr>
          <w:sz w:val="20"/>
          <w:szCs w:val="20"/>
          <w:color w:val="auto"/>
        </w:rPr>
      </w:pPr>
    </w:p>
    <w:p>
      <w:pPr>
        <w:ind w:left="3" w:firstLine="775"/>
        <w:spacing w:after="0" w:line="275" w:lineRule="auto"/>
        <w:rPr>
          <w:sz w:val="20"/>
          <w:szCs w:val="20"/>
          <w:color w:val="auto"/>
        </w:rPr>
      </w:pPr>
      <w:r>
        <w:rPr>
          <w:rFonts w:ascii="Times New Roman" w:cs="Times New Roman" w:eastAsia="Times New Roman" w:hAnsi="Times New Roman"/>
          <w:sz w:val="18"/>
          <w:szCs w:val="18"/>
          <w:color w:val="auto"/>
        </w:rPr>
        <w:t>The table below shows each grant of an award made to a named executive officer in the fiscal year ended December 31, 2012. This includes equity awards made to the named executive officers under Martin Marietta’s Stock-Based Award Plan and the Incentive Stock Plan.</w:t>
      </w:r>
    </w:p>
    <w:p>
      <w:pPr>
        <w:spacing w:after="0" w:line="25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063"/>
          </w:cols>
          <w:pgMar w:left="437" w:top="464" w:right="399" w:bottom="1440" w:gutter="0" w:footer="0" w:header="0"/>
        </w:sectPr>
      </w:pPr>
    </w:p>
    <w:bookmarkStart w:id="56" w:name="page57"/>
    <w:bookmarkEnd w:id="56"/>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93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5593715"/>
                    </a:xfrm>
                    <a:prstGeom prst="rect">
                      <a:avLst/>
                    </a:prstGeom>
                    <a:noFill/>
                  </pic:spPr>
                </pic:pic>
              </a:graphicData>
            </a:graphic>
          </wp:anchor>
        </w:drawing>
        <w:t>GRANTS OF PLAN-BASED AWARDS TABLE</w:t>
      </w:r>
    </w:p>
    <w:p>
      <w:pPr>
        <w:spacing w:after="0" w:line="208" w:lineRule="exact"/>
        <w:rPr>
          <w:sz w:val="20"/>
          <w:szCs w:val="20"/>
          <w:color w:val="auto"/>
        </w:rPr>
      </w:pPr>
    </w:p>
    <w:tbl>
      <w:tblPr>
        <w:tblLayout w:type="fixed"/>
        <w:tblInd w:w="13" w:type="dxa"/>
        <w:tblCellMar>
          <w:top w:w="0" w:type="dxa"/>
          <w:left w:w="0" w:type="dxa"/>
          <w:bottom w:w="0" w:type="dxa"/>
          <w:right w:w="0" w:type="dxa"/>
        </w:tblCellMar>
      </w:tblPr>
      <w:tr>
        <w:trPr>
          <w:trHeight w:val="145"/>
        </w:trPr>
        <w:tc>
          <w:tcPr>
            <w:tcW w:w="1180" w:type="dxa"/>
            <w:vAlign w:val="bottom"/>
            <w:tcBorders>
              <w:top w:val="single" w:sz="8" w:color="auto"/>
              <w:left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108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70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00" w:type="dxa"/>
            <w:vAlign w:val="bottom"/>
            <w:tcBorders>
              <w:top w:val="single" w:sz="8" w:color="auto"/>
            </w:tcBorders>
            <w:shd w:val="clear" w:color="auto" w:fill="E0E0E0"/>
          </w:tcPr>
          <w:p>
            <w:pPr>
              <w:spacing w:after="0"/>
              <w:rPr>
                <w:sz w:val="12"/>
                <w:szCs w:val="12"/>
                <w:color w:val="auto"/>
              </w:rPr>
            </w:pPr>
          </w:p>
        </w:tc>
        <w:tc>
          <w:tcPr>
            <w:tcW w:w="52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48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tcBorders>
            <w:shd w:val="clear" w:color="auto" w:fill="E0E0E0"/>
          </w:tcPr>
          <w:p>
            <w:pPr>
              <w:spacing w:after="0"/>
              <w:rPr>
                <w:sz w:val="12"/>
                <w:szCs w:val="12"/>
                <w:color w:val="auto"/>
              </w:rPr>
            </w:pPr>
          </w:p>
        </w:tc>
        <w:tc>
          <w:tcPr>
            <w:tcW w:w="5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200" w:type="dxa"/>
            <w:vAlign w:val="bottom"/>
            <w:tcBorders>
              <w:top w:val="single" w:sz="8" w:color="auto"/>
            </w:tcBorders>
            <w:shd w:val="clear" w:color="auto" w:fill="E0E0E0"/>
          </w:tcPr>
          <w:p>
            <w:pPr>
              <w:spacing w:after="0"/>
              <w:rPr>
                <w:sz w:val="12"/>
                <w:szCs w:val="12"/>
                <w:color w:val="auto"/>
              </w:rPr>
            </w:pPr>
          </w:p>
        </w:tc>
        <w:tc>
          <w:tcPr>
            <w:tcW w:w="48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2260" w:type="dxa"/>
            <w:vAlign w:val="bottom"/>
            <w:gridSpan w:val="8"/>
            <w:vMerge w:val="restart"/>
            <w:shd w:val="clear" w:color="auto" w:fill="E0E0E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Estimated Future Payouts</w:t>
            </w:r>
          </w:p>
        </w:tc>
        <w:tc>
          <w:tcPr>
            <w:tcW w:w="1980" w:type="dxa"/>
            <w:vAlign w:val="bottom"/>
            <w:gridSpan w:val="6"/>
            <w:vMerge w:val="restart"/>
            <w:shd w:val="clear" w:color="auto" w:fill="E0E0E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64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80" w:type="dxa"/>
            <w:vAlign w:val="bottom"/>
            <w:tcBorders>
              <w:left w:val="single" w:sz="8" w:color="auto"/>
            </w:tcBorders>
            <w:shd w:val="clear" w:color="auto" w:fill="E0E0E0"/>
          </w:tcPr>
          <w:p>
            <w:pPr>
              <w:spacing w:after="0"/>
              <w:rPr>
                <w:sz w:val="5"/>
                <w:szCs w:val="5"/>
                <w:color w:val="auto"/>
              </w:rPr>
            </w:pPr>
          </w:p>
        </w:tc>
        <w:tc>
          <w:tcPr>
            <w:tcW w:w="340" w:type="dxa"/>
            <w:vAlign w:val="bottom"/>
            <w:shd w:val="clear" w:color="auto" w:fill="E0E0E0"/>
          </w:tcPr>
          <w:p>
            <w:pPr>
              <w:spacing w:after="0"/>
              <w:rPr>
                <w:sz w:val="5"/>
                <w:szCs w:val="5"/>
                <w:color w:val="auto"/>
              </w:rPr>
            </w:pPr>
          </w:p>
        </w:tc>
        <w:tc>
          <w:tcPr>
            <w:tcW w:w="1080" w:type="dxa"/>
            <w:vAlign w:val="bottom"/>
            <w:shd w:val="clear" w:color="auto" w:fill="E0E0E0"/>
          </w:tcPr>
          <w:p>
            <w:pPr>
              <w:spacing w:after="0"/>
              <w:rPr>
                <w:sz w:val="5"/>
                <w:szCs w:val="5"/>
                <w:color w:val="auto"/>
              </w:rPr>
            </w:pPr>
          </w:p>
        </w:tc>
        <w:tc>
          <w:tcPr>
            <w:tcW w:w="120" w:type="dxa"/>
            <w:vAlign w:val="bottom"/>
            <w:shd w:val="clear" w:color="auto" w:fill="E0E0E0"/>
          </w:tcPr>
          <w:p>
            <w:pPr>
              <w:spacing w:after="0"/>
              <w:rPr>
                <w:sz w:val="5"/>
                <w:szCs w:val="5"/>
                <w:color w:val="auto"/>
              </w:rPr>
            </w:pPr>
          </w:p>
        </w:tc>
        <w:tc>
          <w:tcPr>
            <w:tcW w:w="700" w:type="dxa"/>
            <w:vAlign w:val="bottom"/>
            <w:shd w:val="clear" w:color="auto" w:fill="E0E0E0"/>
          </w:tcPr>
          <w:p>
            <w:pPr>
              <w:spacing w:after="0"/>
              <w:rPr>
                <w:sz w:val="5"/>
                <w:szCs w:val="5"/>
                <w:color w:val="auto"/>
              </w:rPr>
            </w:pPr>
          </w:p>
        </w:tc>
        <w:tc>
          <w:tcPr>
            <w:tcW w:w="240" w:type="dxa"/>
            <w:vAlign w:val="bottom"/>
            <w:shd w:val="clear" w:color="auto" w:fill="E0E0E0"/>
          </w:tcPr>
          <w:p>
            <w:pPr>
              <w:spacing w:after="0"/>
              <w:rPr>
                <w:sz w:val="5"/>
                <w:szCs w:val="5"/>
                <w:color w:val="auto"/>
              </w:rPr>
            </w:pPr>
          </w:p>
        </w:tc>
        <w:tc>
          <w:tcPr>
            <w:tcW w:w="2260" w:type="dxa"/>
            <w:vAlign w:val="bottom"/>
            <w:gridSpan w:val="8"/>
            <w:vMerge w:val="continue"/>
            <w:shd w:val="clear" w:color="auto" w:fill="E0E0E0"/>
          </w:tcPr>
          <w:p>
            <w:pPr>
              <w:spacing w:after="0"/>
              <w:rPr>
                <w:sz w:val="5"/>
                <w:szCs w:val="5"/>
                <w:color w:val="auto"/>
              </w:rPr>
            </w:pPr>
          </w:p>
        </w:tc>
        <w:tc>
          <w:tcPr>
            <w:tcW w:w="1980" w:type="dxa"/>
            <w:vAlign w:val="bottom"/>
            <w:gridSpan w:val="6"/>
            <w:vMerge w:val="continue"/>
            <w:shd w:val="clear" w:color="auto" w:fill="E0E0E0"/>
          </w:tcPr>
          <w:p>
            <w:pPr>
              <w:spacing w:after="0"/>
              <w:rPr>
                <w:sz w:val="5"/>
                <w:szCs w:val="5"/>
                <w:color w:val="auto"/>
              </w:rPr>
            </w:pPr>
          </w:p>
        </w:tc>
        <w:tc>
          <w:tcPr>
            <w:tcW w:w="64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40" w:type="dxa"/>
            <w:vAlign w:val="bottom"/>
            <w:shd w:val="clear" w:color="auto" w:fill="E0E0E0"/>
          </w:tcPr>
          <w:p>
            <w:pPr>
              <w:spacing w:after="0"/>
              <w:rPr>
                <w:sz w:val="5"/>
                <w:szCs w:val="5"/>
                <w:color w:val="auto"/>
              </w:rPr>
            </w:pPr>
          </w:p>
        </w:tc>
        <w:tc>
          <w:tcPr>
            <w:tcW w:w="62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0" w:type="dxa"/>
            <w:vAlign w:val="bottom"/>
            <w:shd w:val="clear" w:color="auto" w:fill="E0E0E0"/>
          </w:tcPr>
          <w:p>
            <w:pPr>
              <w:spacing w:after="0"/>
              <w:rPr>
                <w:sz w:val="5"/>
                <w:szCs w:val="5"/>
                <w:color w:val="auto"/>
              </w:rPr>
            </w:pPr>
          </w:p>
        </w:tc>
        <w:tc>
          <w:tcPr>
            <w:tcW w:w="48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20" w:type="dxa"/>
            <w:vAlign w:val="bottom"/>
            <w:shd w:val="clear" w:color="auto" w:fill="E0E0E0"/>
          </w:tcPr>
          <w:p>
            <w:pPr>
              <w:spacing w:after="0"/>
              <w:rPr>
                <w:sz w:val="5"/>
                <w:szCs w:val="5"/>
                <w:color w:val="auto"/>
              </w:rPr>
            </w:pPr>
          </w:p>
        </w:tc>
        <w:tc>
          <w:tcPr>
            <w:tcW w:w="660" w:type="dxa"/>
            <w:vAlign w:val="bottom"/>
            <w:gridSpan w:val="2"/>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220" w:type="dxa"/>
            <w:vAlign w:val="bottom"/>
            <w:tcBorders>
              <w:right w:val="single" w:sz="8" w:color="auto"/>
            </w:tcBorders>
            <w:shd w:val="clear" w:color="auto" w:fill="E0E0E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Borders>
              <w:left w:val="single" w:sz="8" w:color="auto"/>
            </w:tcBorders>
            <w:shd w:val="clear" w:color="auto" w:fill="E0E0E0"/>
          </w:tcPr>
          <w:p>
            <w:pPr>
              <w:spacing w:after="0"/>
              <w:rPr>
                <w:sz w:val="7"/>
                <w:szCs w:val="7"/>
                <w:color w:val="auto"/>
              </w:rPr>
            </w:pPr>
          </w:p>
        </w:tc>
        <w:tc>
          <w:tcPr>
            <w:tcW w:w="340" w:type="dxa"/>
            <w:vAlign w:val="bottom"/>
            <w:shd w:val="clear" w:color="auto" w:fill="E0E0E0"/>
          </w:tcPr>
          <w:p>
            <w:pPr>
              <w:spacing w:after="0"/>
              <w:rPr>
                <w:sz w:val="7"/>
                <w:szCs w:val="7"/>
                <w:color w:val="auto"/>
              </w:rPr>
            </w:pPr>
          </w:p>
        </w:tc>
        <w:tc>
          <w:tcPr>
            <w:tcW w:w="108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700" w:type="dxa"/>
            <w:vAlign w:val="bottom"/>
            <w:shd w:val="clear" w:color="auto" w:fill="E0E0E0"/>
          </w:tcPr>
          <w:p>
            <w:pPr>
              <w:spacing w:after="0"/>
              <w:rPr>
                <w:sz w:val="7"/>
                <w:szCs w:val="7"/>
                <w:color w:val="auto"/>
              </w:rPr>
            </w:pPr>
          </w:p>
        </w:tc>
        <w:tc>
          <w:tcPr>
            <w:tcW w:w="240" w:type="dxa"/>
            <w:vAlign w:val="bottom"/>
            <w:shd w:val="clear" w:color="auto" w:fill="E0E0E0"/>
          </w:tcPr>
          <w:p>
            <w:pPr>
              <w:spacing w:after="0"/>
              <w:rPr>
                <w:sz w:val="7"/>
                <w:szCs w:val="7"/>
                <w:color w:val="auto"/>
              </w:rPr>
            </w:pPr>
          </w:p>
        </w:tc>
        <w:tc>
          <w:tcPr>
            <w:tcW w:w="2260" w:type="dxa"/>
            <w:vAlign w:val="bottom"/>
            <w:gridSpan w:val="8"/>
            <w:vMerge w:val="restart"/>
            <w:shd w:val="clear" w:color="auto" w:fill="E0E0E0"/>
          </w:tcPr>
          <w:p>
            <w:pPr>
              <w:ind w:left="200"/>
              <w:spacing w:after="0" w:line="13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1980" w:type="dxa"/>
            <w:vAlign w:val="bottom"/>
            <w:gridSpan w:val="6"/>
            <w:vMerge w:val="restart"/>
            <w:shd w:val="clear" w:color="auto" w:fill="E0E0E0"/>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Under Equity Incentive</w:t>
            </w:r>
          </w:p>
        </w:tc>
        <w:tc>
          <w:tcPr>
            <w:tcW w:w="640" w:type="dxa"/>
            <w:vAlign w:val="bottom"/>
            <w:vMerge w:val="continue"/>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40" w:type="dxa"/>
            <w:vAlign w:val="bottom"/>
            <w:shd w:val="clear" w:color="auto" w:fill="E0E0E0"/>
          </w:tcPr>
          <w:p>
            <w:pPr>
              <w:spacing w:after="0"/>
              <w:rPr>
                <w:sz w:val="7"/>
                <w:szCs w:val="7"/>
                <w:color w:val="auto"/>
              </w:rPr>
            </w:pPr>
          </w:p>
        </w:tc>
        <w:tc>
          <w:tcPr>
            <w:tcW w:w="620" w:type="dxa"/>
            <w:vAlign w:val="bottom"/>
            <w:vMerge w:val="continue"/>
            <w:shd w:val="clear" w:color="auto" w:fill="E0E0E0"/>
          </w:tcPr>
          <w:p>
            <w:pPr>
              <w:spacing w:after="0"/>
              <w:rPr>
                <w:sz w:val="7"/>
                <w:szCs w:val="7"/>
                <w:color w:val="auto"/>
              </w:rPr>
            </w:pPr>
          </w:p>
        </w:tc>
        <w:tc>
          <w:tcPr>
            <w:tcW w:w="200" w:type="dxa"/>
            <w:vAlign w:val="bottom"/>
            <w:shd w:val="clear" w:color="auto" w:fill="E0E0E0"/>
          </w:tcPr>
          <w:p>
            <w:pPr>
              <w:spacing w:after="0"/>
              <w:rPr>
                <w:sz w:val="7"/>
                <w:szCs w:val="7"/>
                <w:color w:val="auto"/>
              </w:rPr>
            </w:pPr>
          </w:p>
        </w:tc>
        <w:tc>
          <w:tcPr>
            <w:tcW w:w="480" w:type="dxa"/>
            <w:vAlign w:val="bottom"/>
            <w:vMerge w:val="continue"/>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660" w:type="dxa"/>
            <w:vAlign w:val="bottom"/>
            <w:gridSpan w:val="2"/>
            <w:vMerge w:val="continue"/>
            <w:shd w:val="clear" w:color="auto" w:fill="E0E0E0"/>
          </w:tcPr>
          <w:p>
            <w:pPr>
              <w:spacing w:after="0"/>
              <w:rPr>
                <w:sz w:val="7"/>
                <w:szCs w:val="7"/>
                <w:color w:val="auto"/>
              </w:rPr>
            </w:pPr>
          </w:p>
        </w:tc>
        <w:tc>
          <w:tcPr>
            <w:tcW w:w="220" w:type="dxa"/>
            <w:vAlign w:val="bottom"/>
            <w:tcBorders>
              <w:right w:val="single" w:sz="8" w:color="auto"/>
            </w:tcBorders>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180" w:type="dxa"/>
            <w:vAlign w:val="bottom"/>
            <w:tcBorders>
              <w:left w:val="single" w:sz="8" w:color="auto"/>
            </w:tcBorders>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1080" w:type="dxa"/>
            <w:vAlign w:val="bottom"/>
            <w:shd w:val="clear" w:color="auto" w:fill="E0E0E0"/>
          </w:tcPr>
          <w:p>
            <w:pPr>
              <w:spacing w:after="0"/>
              <w:rPr>
                <w:sz w:val="4"/>
                <w:szCs w:val="4"/>
                <w:color w:val="auto"/>
              </w:rPr>
            </w:pPr>
          </w:p>
        </w:tc>
        <w:tc>
          <w:tcPr>
            <w:tcW w:w="120" w:type="dxa"/>
            <w:vAlign w:val="bottom"/>
            <w:shd w:val="clear" w:color="auto" w:fill="E0E0E0"/>
          </w:tcPr>
          <w:p>
            <w:pPr>
              <w:spacing w:after="0"/>
              <w:rPr>
                <w:sz w:val="4"/>
                <w:szCs w:val="4"/>
                <w:color w:val="auto"/>
              </w:rPr>
            </w:pPr>
          </w:p>
        </w:tc>
        <w:tc>
          <w:tcPr>
            <w:tcW w:w="70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2260" w:type="dxa"/>
            <w:vAlign w:val="bottom"/>
            <w:gridSpan w:val="8"/>
            <w:vMerge w:val="continue"/>
            <w:shd w:val="clear" w:color="auto" w:fill="E0E0E0"/>
          </w:tcPr>
          <w:p>
            <w:pPr>
              <w:spacing w:after="0"/>
              <w:rPr>
                <w:sz w:val="4"/>
                <w:szCs w:val="4"/>
                <w:color w:val="auto"/>
              </w:rPr>
            </w:pPr>
          </w:p>
        </w:tc>
        <w:tc>
          <w:tcPr>
            <w:tcW w:w="1980" w:type="dxa"/>
            <w:vAlign w:val="bottom"/>
            <w:gridSpan w:val="6"/>
            <w:vMerge w:val="continue"/>
            <w:shd w:val="clear" w:color="auto" w:fill="E0E0E0"/>
          </w:tcPr>
          <w:p>
            <w:pPr>
              <w:spacing w:after="0"/>
              <w:rPr>
                <w:sz w:val="4"/>
                <w:szCs w:val="4"/>
                <w:color w:val="auto"/>
              </w:rPr>
            </w:pPr>
          </w:p>
        </w:tc>
        <w:tc>
          <w:tcPr>
            <w:tcW w:w="64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60" w:type="dxa"/>
            <w:vAlign w:val="bottom"/>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660" w:type="dxa"/>
            <w:vAlign w:val="bottom"/>
            <w:gridSpan w:val="2"/>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00" w:type="dxa"/>
            <w:vAlign w:val="bottom"/>
            <w:shd w:val="clear" w:color="auto" w:fill="E0E0E0"/>
          </w:tcPr>
          <w:p>
            <w:pPr>
              <w:spacing w:after="0"/>
              <w:rPr>
                <w:sz w:val="4"/>
                <w:szCs w:val="4"/>
                <w:color w:val="auto"/>
              </w:rPr>
            </w:pPr>
          </w:p>
        </w:tc>
        <w:tc>
          <w:tcPr>
            <w:tcW w:w="48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or Base</w:t>
            </w:r>
          </w:p>
        </w:tc>
        <w:tc>
          <w:tcPr>
            <w:tcW w:w="120" w:type="dxa"/>
            <w:vAlign w:val="bottom"/>
            <w:shd w:val="clear" w:color="auto" w:fill="E0E0E0"/>
          </w:tcPr>
          <w:p>
            <w:pPr>
              <w:spacing w:after="0"/>
              <w:rPr>
                <w:sz w:val="4"/>
                <w:szCs w:val="4"/>
                <w:color w:val="auto"/>
              </w:rPr>
            </w:pPr>
          </w:p>
        </w:tc>
        <w:tc>
          <w:tcPr>
            <w:tcW w:w="660" w:type="dxa"/>
            <w:vAlign w:val="bottom"/>
            <w:gridSpan w:val="2"/>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Borders>
              <w:right w:val="single" w:sz="8" w:color="auto"/>
            </w:tcBorders>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180" w:type="dxa"/>
            <w:vAlign w:val="bottom"/>
            <w:tcBorders>
              <w:left w:val="single" w:sz="8" w:color="auto"/>
            </w:tcBorders>
            <w:shd w:val="clear" w:color="auto" w:fill="E0E0E0"/>
          </w:tcPr>
          <w:p>
            <w:pPr>
              <w:spacing w:after="0"/>
              <w:rPr>
                <w:sz w:val="7"/>
                <w:szCs w:val="7"/>
                <w:color w:val="auto"/>
              </w:rPr>
            </w:pPr>
          </w:p>
        </w:tc>
        <w:tc>
          <w:tcPr>
            <w:tcW w:w="340" w:type="dxa"/>
            <w:vAlign w:val="bottom"/>
            <w:shd w:val="clear" w:color="auto" w:fill="E0E0E0"/>
          </w:tcPr>
          <w:p>
            <w:pPr>
              <w:spacing w:after="0"/>
              <w:rPr>
                <w:sz w:val="7"/>
                <w:szCs w:val="7"/>
                <w:color w:val="auto"/>
              </w:rPr>
            </w:pPr>
          </w:p>
        </w:tc>
        <w:tc>
          <w:tcPr>
            <w:tcW w:w="108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700" w:type="dxa"/>
            <w:vAlign w:val="bottom"/>
            <w:shd w:val="clear" w:color="auto" w:fill="E0E0E0"/>
          </w:tcPr>
          <w:p>
            <w:pPr>
              <w:spacing w:after="0"/>
              <w:rPr>
                <w:sz w:val="7"/>
                <w:szCs w:val="7"/>
                <w:color w:val="auto"/>
              </w:rPr>
            </w:pPr>
          </w:p>
        </w:tc>
        <w:tc>
          <w:tcPr>
            <w:tcW w:w="240" w:type="dxa"/>
            <w:vAlign w:val="bottom"/>
            <w:shd w:val="clear" w:color="auto" w:fill="E0E0E0"/>
          </w:tcPr>
          <w:p>
            <w:pPr>
              <w:spacing w:after="0"/>
              <w:rPr>
                <w:sz w:val="7"/>
                <w:szCs w:val="7"/>
                <w:color w:val="auto"/>
              </w:rPr>
            </w:pPr>
          </w:p>
        </w:tc>
        <w:tc>
          <w:tcPr>
            <w:tcW w:w="600" w:type="dxa"/>
            <w:vAlign w:val="bottom"/>
            <w:shd w:val="clear" w:color="auto" w:fill="E0E0E0"/>
          </w:tcPr>
          <w:p>
            <w:pPr>
              <w:spacing w:after="0"/>
              <w:rPr>
                <w:sz w:val="7"/>
                <w:szCs w:val="7"/>
                <w:color w:val="auto"/>
              </w:rPr>
            </w:pPr>
          </w:p>
        </w:tc>
        <w:tc>
          <w:tcPr>
            <w:tcW w:w="20" w:type="dxa"/>
            <w:vAlign w:val="bottom"/>
            <w:shd w:val="clear" w:color="auto" w:fill="E0E0E0"/>
          </w:tcPr>
          <w:p>
            <w:pPr>
              <w:spacing w:after="0"/>
              <w:rPr>
                <w:sz w:val="7"/>
                <w:szCs w:val="7"/>
                <w:color w:val="auto"/>
              </w:rPr>
            </w:pPr>
          </w:p>
        </w:tc>
        <w:tc>
          <w:tcPr>
            <w:tcW w:w="820" w:type="dxa"/>
            <w:vAlign w:val="bottom"/>
            <w:gridSpan w:val="3"/>
            <w:vMerge w:val="restart"/>
            <w:shd w:val="clear" w:color="auto" w:fill="E0E0E0"/>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9"/>
              </w:rPr>
              <w:t>Plan Awards</w:t>
            </w:r>
            <w:r>
              <w:rPr>
                <w:rFonts w:ascii="Times New Roman" w:cs="Times New Roman" w:eastAsia="Times New Roman" w:hAnsi="Times New Roman"/>
                <w:sz w:val="20"/>
                <w:szCs w:val="20"/>
                <w:b w:val="1"/>
                <w:bCs w:val="1"/>
                <w:color w:val="auto"/>
                <w:w w:val="99"/>
                <w:vertAlign w:val="superscript"/>
              </w:rPr>
              <w:t>1</w:t>
            </w:r>
          </w:p>
        </w:tc>
        <w:tc>
          <w:tcPr>
            <w:tcW w:w="120" w:type="dxa"/>
            <w:vAlign w:val="bottom"/>
            <w:shd w:val="clear" w:color="auto" w:fill="E0E0E0"/>
          </w:tcPr>
          <w:p>
            <w:pPr>
              <w:spacing w:after="0"/>
              <w:rPr>
                <w:sz w:val="7"/>
                <w:szCs w:val="7"/>
                <w:color w:val="auto"/>
              </w:rPr>
            </w:pPr>
          </w:p>
        </w:tc>
        <w:tc>
          <w:tcPr>
            <w:tcW w:w="480" w:type="dxa"/>
            <w:vAlign w:val="bottom"/>
            <w:shd w:val="clear" w:color="auto" w:fill="E0E0E0"/>
          </w:tcPr>
          <w:p>
            <w:pPr>
              <w:spacing w:after="0"/>
              <w:rPr>
                <w:sz w:val="7"/>
                <w:szCs w:val="7"/>
                <w:color w:val="auto"/>
              </w:rPr>
            </w:pPr>
          </w:p>
        </w:tc>
        <w:tc>
          <w:tcPr>
            <w:tcW w:w="220" w:type="dxa"/>
            <w:vAlign w:val="bottom"/>
            <w:shd w:val="clear" w:color="auto" w:fill="E0E0E0"/>
          </w:tcPr>
          <w:p>
            <w:pPr>
              <w:spacing w:after="0"/>
              <w:rPr>
                <w:sz w:val="7"/>
                <w:szCs w:val="7"/>
                <w:color w:val="auto"/>
              </w:rPr>
            </w:pPr>
          </w:p>
        </w:tc>
        <w:tc>
          <w:tcPr>
            <w:tcW w:w="1980" w:type="dxa"/>
            <w:vAlign w:val="bottom"/>
            <w:gridSpan w:val="6"/>
            <w:vMerge w:val="restart"/>
            <w:shd w:val="clear" w:color="auto" w:fill="E0E0E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640" w:type="dxa"/>
            <w:vAlign w:val="bottom"/>
            <w:vMerge w:val="continue"/>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660" w:type="dxa"/>
            <w:vAlign w:val="bottom"/>
            <w:gridSpan w:val="2"/>
            <w:vMerge w:val="continue"/>
            <w:shd w:val="clear" w:color="auto" w:fill="E0E0E0"/>
          </w:tcPr>
          <w:p>
            <w:pPr>
              <w:spacing w:after="0"/>
              <w:rPr>
                <w:sz w:val="7"/>
                <w:szCs w:val="7"/>
                <w:color w:val="auto"/>
              </w:rPr>
            </w:pPr>
          </w:p>
        </w:tc>
        <w:tc>
          <w:tcPr>
            <w:tcW w:w="200" w:type="dxa"/>
            <w:vAlign w:val="bottom"/>
            <w:shd w:val="clear" w:color="auto" w:fill="E0E0E0"/>
          </w:tcPr>
          <w:p>
            <w:pPr>
              <w:spacing w:after="0"/>
              <w:rPr>
                <w:sz w:val="7"/>
                <w:szCs w:val="7"/>
                <w:color w:val="auto"/>
              </w:rPr>
            </w:pPr>
          </w:p>
        </w:tc>
        <w:tc>
          <w:tcPr>
            <w:tcW w:w="480" w:type="dxa"/>
            <w:vAlign w:val="bottom"/>
            <w:vMerge w:val="continue"/>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660" w:type="dxa"/>
            <w:vAlign w:val="bottom"/>
            <w:gridSpan w:val="2"/>
            <w:vMerge w:val="continue"/>
            <w:shd w:val="clear" w:color="auto" w:fill="E0E0E0"/>
          </w:tcPr>
          <w:p>
            <w:pPr>
              <w:spacing w:after="0"/>
              <w:rPr>
                <w:sz w:val="7"/>
                <w:szCs w:val="7"/>
                <w:color w:val="auto"/>
              </w:rPr>
            </w:pPr>
          </w:p>
        </w:tc>
        <w:tc>
          <w:tcPr>
            <w:tcW w:w="220" w:type="dxa"/>
            <w:vAlign w:val="bottom"/>
            <w:tcBorders>
              <w:right w:val="single" w:sz="8" w:color="auto"/>
            </w:tcBorders>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80" w:type="dxa"/>
            <w:vAlign w:val="bottom"/>
            <w:tcBorders>
              <w:left w:val="single" w:sz="8" w:color="auto"/>
            </w:tcBorders>
            <w:shd w:val="clear" w:color="auto" w:fill="E0E0E0"/>
          </w:tcPr>
          <w:p>
            <w:pPr>
              <w:spacing w:after="0"/>
              <w:rPr>
                <w:sz w:val="7"/>
                <w:szCs w:val="7"/>
                <w:color w:val="auto"/>
              </w:rPr>
            </w:pPr>
          </w:p>
        </w:tc>
        <w:tc>
          <w:tcPr>
            <w:tcW w:w="340" w:type="dxa"/>
            <w:vAlign w:val="bottom"/>
            <w:shd w:val="clear" w:color="auto" w:fill="E0E0E0"/>
          </w:tcPr>
          <w:p>
            <w:pPr>
              <w:spacing w:after="0"/>
              <w:rPr>
                <w:sz w:val="7"/>
                <w:szCs w:val="7"/>
                <w:color w:val="auto"/>
              </w:rPr>
            </w:pPr>
          </w:p>
        </w:tc>
        <w:tc>
          <w:tcPr>
            <w:tcW w:w="108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700" w:type="dxa"/>
            <w:vAlign w:val="bottom"/>
            <w:shd w:val="clear" w:color="auto" w:fill="E0E0E0"/>
          </w:tcPr>
          <w:p>
            <w:pPr>
              <w:spacing w:after="0"/>
              <w:rPr>
                <w:sz w:val="7"/>
                <w:szCs w:val="7"/>
                <w:color w:val="auto"/>
              </w:rPr>
            </w:pPr>
          </w:p>
        </w:tc>
        <w:tc>
          <w:tcPr>
            <w:tcW w:w="240" w:type="dxa"/>
            <w:vAlign w:val="bottom"/>
            <w:shd w:val="clear" w:color="auto" w:fill="E0E0E0"/>
          </w:tcPr>
          <w:p>
            <w:pPr>
              <w:spacing w:after="0"/>
              <w:rPr>
                <w:sz w:val="7"/>
                <w:szCs w:val="7"/>
                <w:color w:val="auto"/>
              </w:rPr>
            </w:pPr>
          </w:p>
        </w:tc>
        <w:tc>
          <w:tcPr>
            <w:tcW w:w="600" w:type="dxa"/>
            <w:vAlign w:val="bottom"/>
            <w:shd w:val="clear" w:color="auto" w:fill="E0E0E0"/>
          </w:tcPr>
          <w:p>
            <w:pPr>
              <w:spacing w:after="0"/>
              <w:rPr>
                <w:sz w:val="7"/>
                <w:szCs w:val="7"/>
                <w:color w:val="auto"/>
              </w:rPr>
            </w:pPr>
          </w:p>
        </w:tc>
        <w:tc>
          <w:tcPr>
            <w:tcW w:w="20" w:type="dxa"/>
            <w:vAlign w:val="bottom"/>
            <w:shd w:val="clear" w:color="auto" w:fill="E0E0E0"/>
          </w:tcPr>
          <w:p>
            <w:pPr>
              <w:spacing w:after="0"/>
              <w:rPr>
                <w:sz w:val="7"/>
                <w:szCs w:val="7"/>
                <w:color w:val="auto"/>
              </w:rPr>
            </w:pPr>
          </w:p>
        </w:tc>
        <w:tc>
          <w:tcPr>
            <w:tcW w:w="820" w:type="dxa"/>
            <w:vAlign w:val="bottom"/>
            <w:gridSpan w:val="3"/>
            <w:vMerge w:val="continue"/>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480" w:type="dxa"/>
            <w:vAlign w:val="bottom"/>
            <w:shd w:val="clear" w:color="auto" w:fill="E0E0E0"/>
          </w:tcPr>
          <w:p>
            <w:pPr>
              <w:spacing w:after="0"/>
              <w:rPr>
                <w:sz w:val="7"/>
                <w:szCs w:val="7"/>
                <w:color w:val="auto"/>
              </w:rPr>
            </w:pPr>
          </w:p>
        </w:tc>
        <w:tc>
          <w:tcPr>
            <w:tcW w:w="220" w:type="dxa"/>
            <w:vAlign w:val="bottom"/>
            <w:shd w:val="clear" w:color="auto" w:fill="E0E0E0"/>
          </w:tcPr>
          <w:p>
            <w:pPr>
              <w:spacing w:after="0"/>
              <w:rPr>
                <w:sz w:val="7"/>
                <w:szCs w:val="7"/>
                <w:color w:val="auto"/>
              </w:rPr>
            </w:pPr>
          </w:p>
        </w:tc>
        <w:tc>
          <w:tcPr>
            <w:tcW w:w="1980" w:type="dxa"/>
            <w:vAlign w:val="bottom"/>
            <w:gridSpan w:val="6"/>
            <w:vMerge w:val="continue"/>
            <w:shd w:val="clear" w:color="auto" w:fill="E0E0E0"/>
          </w:tcPr>
          <w:p>
            <w:pPr>
              <w:spacing w:after="0"/>
              <w:rPr>
                <w:sz w:val="7"/>
                <w:szCs w:val="7"/>
                <w:color w:val="auto"/>
              </w:rPr>
            </w:pPr>
          </w:p>
        </w:tc>
        <w:tc>
          <w:tcPr>
            <w:tcW w:w="64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660" w:type="dxa"/>
            <w:vAlign w:val="bottom"/>
            <w:gridSpan w:val="2"/>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shd w:val="clear" w:color="auto" w:fill="E0E0E0"/>
          </w:tcPr>
          <w:p>
            <w:pPr>
              <w:spacing w:after="0"/>
              <w:rPr>
                <w:sz w:val="7"/>
                <w:szCs w:val="7"/>
                <w:color w:val="auto"/>
              </w:rPr>
            </w:pPr>
          </w:p>
        </w:tc>
        <w:tc>
          <w:tcPr>
            <w:tcW w:w="48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120" w:type="dxa"/>
            <w:vAlign w:val="bottom"/>
            <w:shd w:val="clear" w:color="auto" w:fill="E0E0E0"/>
          </w:tcPr>
          <w:p>
            <w:pPr>
              <w:spacing w:after="0"/>
              <w:rPr>
                <w:sz w:val="7"/>
                <w:szCs w:val="7"/>
                <w:color w:val="auto"/>
              </w:rPr>
            </w:pPr>
          </w:p>
        </w:tc>
        <w:tc>
          <w:tcPr>
            <w:tcW w:w="40" w:type="dxa"/>
            <w:vAlign w:val="bottom"/>
            <w:shd w:val="clear" w:color="auto" w:fill="E0E0E0"/>
          </w:tcPr>
          <w:p>
            <w:pPr>
              <w:spacing w:after="0"/>
              <w:rPr>
                <w:sz w:val="7"/>
                <w:szCs w:val="7"/>
                <w:color w:val="auto"/>
              </w:rPr>
            </w:pPr>
          </w:p>
        </w:tc>
        <w:tc>
          <w:tcPr>
            <w:tcW w:w="620" w:type="dxa"/>
            <w:vAlign w:val="bottom"/>
            <w:vMerge w:val="restart"/>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Stock</w:t>
            </w:r>
          </w:p>
        </w:tc>
        <w:tc>
          <w:tcPr>
            <w:tcW w:w="220" w:type="dxa"/>
            <w:vAlign w:val="bottom"/>
            <w:tcBorders>
              <w:right w:val="single" w:sz="8" w:color="auto"/>
            </w:tcBorders>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180" w:type="dxa"/>
            <w:vAlign w:val="bottom"/>
            <w:tcBorders>
              <w:top w:val="single" w:sz="8" w:color="E0E0E0"/>
              <w:left w:val="single" w:sz="8" w:color="auto"/>
            </w:tcBorders>
            <w:shd w:val="clear" w:color="auto" w:fill="E0E0E0"/>
          </w:tcPr>
          <w:p>
            <w:pPr>
              <w:spacing w:after="0"/>
              <w:rPr>
                <w:sz w:val="3"/>
                <w:szCs w:val="3"/>
                <w:color w:val="auto"/>
              </w:rPr>
            </w:pPr>
          </w:p>
        </w:tc>
        <w:tc>
          <w:tcPr>
            <w:tcW w:w="340" w:type="dxa"/>
            <w:vAlign w:val="bottom"/>
            <w:tcBorders>
              <w:top w:val="single" w:sz="8" w:color="E0E0E0"/>
            </w:tcBorders>
            <w:shd w:val="clear" w:color="auto" w:fill="E0E0E0"/>
          </w:tcPr>
          <w:p>
            <w:pPr>
              <w:spacing w:after="0"/>
              <w:rPr>
                <w:sz w:val="3"/>
                <w:szCs w:val="3"/>
                <w:color w:val="auto"/>
              </w:rPr>
            </w:pPr>
          </w:p>
        </w:tc>
        <w:tc>
          <w:tcPr>
            <w:tcW w:w="1080" w:type="dxa"/>
            <w:vAlign w:val="bottom"/>
            <w:tcBorders>
              <w:top w:val="single" w:sz="8" w:color="E0E0E0"/>
            </w:tcBorders>
            <w:shd w:val="clear" w:color="auto" w:fill="E0E0E0"/>
          </w:tcPr>
          <w:p>
            <w:pPr>
              <w:spacing w:after="0"/>
              <w:rPr>
                <w:sz w:val="3"/>
                <w:szCs w:val="3"/>
                <w:color w:val="auto"/>
              </w:rPr>
            </w:pPr>
          </w:p>
        </w:tc>
        <w:tc>
          <w:tcPr>
            <w:tcW w:w="120" w:type="dxa"/>
            <w:vAlign w:val="bottom"/>
            <w:tcBorders>
              <w:top w:val="single" w:sz="8" w:color="E0E0E0"/>
            </w:tcBorders>
            <w:shd w:val="clear" w:color="auto" w:fill="E0E0E0"/>
          </w:tcPr>
          <w:p>
            <w:pPr>
              <w:spacing w:after="0"/>
              <w:rPr>
                <w:sz w:val="3"/>
                <w:szCs w:val="3"/>
                <w:color w:val="auto"/>
              </w:rPr>
            </w:pPr>
          </w:p>
        </w:tc>
        <w:tc>
          <w:tcPr>
            <w:tcW w:w="700" w:type="dxa"/>
            <w:vAlign w:val="bottom"/>
            <w:tcBorders>
              <w:top w:val="single" w:sz="8" w:color="E0E0E0"/>
            </w:tcBorders>
            <w:shd w:val="clear" w:color="auto" w:fill="E0E0E0"/>
          </w:tcPr>
          <w:p>
            <w:pPr>
              <w:spacing w:after="0"/>
              <w:rPr>
                <w:sz w:val="3"/>
                <w:szCs w:val="3"/>
                <w:color w:val="auto"/>
              </w:rPr>
            </w:pPr>
          </w:p>
        </w:tc>
        <w:tc>
          <w:tcPr>
            <w:tcW w:w="240" w:type="dxa"/>
            <w:vAlign w:val="bottom"/>
            <w:tcBorders>
              <w:top w:val="single" w:sz="8" w:color="E0E0E0"/>
            </w:tcBorders>
            <w:shd w:val="clear" w:color="auto" w:fill="E0E0E0"/>
          </w:tcPr>
          <w:p>
            <w:pPr>
              <w:spacing w:after="0"/>
              <w:rPr>
                <w:sz w:val="3"/>
                <w:szCs w:val="3"/>
                <w:color w:val="auto"/>
              </w:rPr>
            </w:pPr>
          </w:p>
        </w:tc>
        <w:tc>
          <w:tcPr>
            <w:tcW w:w="600" w:type="dxa"/>
            <w:vAlign w:val="bottom"/>
            <w:tcBorders>
              <w:top w:val="single" w:sz="8" w:color="auto"/>
            </w:tcBorders>
            <w:shd w:val="clear" w:color="auto" w:fill="E0E0E0"/>
          </w:tcPr>
          <w:p>
            <w:pPr>
              <w:spacing w:after="0"/>
              <w:rPr>
                <w:sz w:val="3"/>
                <w:szCs w:val="3"/>
                <w:color w:val="auto"/>
              </w:rPr>
            </w:pPr>
          </w:p>
        </w:tc>
        <w:tc>
          <w:tcPr>
            <w:tcW w:w="20" w:type="dxa"/>
            <w:vAlign w:val="bottom"/>
            <w:tcBorders>
              <w:top w:val="single" w:sz="8" w:color="auto"/>
            </w:tcBorders>
            <w:shd w:val="clear" w:color="auto" w:fill="E0E0E0"/>
          </w:tcPr>
          <w:p>
            <w:pPr>
              <w:spacing w:after="0"/>
              <w:rPr>
                <w:sz w:val="3"/>
                <w:szCs w:val="3"/>
                <w:color w:val="auto"/>
              </w:rPr>
            </w:pPr>
          </w:p>
        </w:tc>
        <w:tc>
          <w:tcPr>
            <w:tcW w:w="100" w:type="dxa"/>
            <w:vAlign w:val="bottom"/>
            <w:tcBorders>
              <w:top w:val="single" w:sz="8" w:color="auto"/>
            </w:tcBorders>
            <w:shd w:val="clear" w:color="auto" w:fill="E0E0E0"/>
          </w:tcPr>
          <w:p>
            <w:pPr>
              <w:spacing w:after="0"/>
              <w:rPr>
                <w:sz w:val="3"/>
                <w:szCs w:val="3"/>
                <w:color w:val="auto"/>
              </w:rPr>
            </w:pPr>
          </w:p>
        </w:tc>
        <w:tc>
          <w:tcPr>
            <w:tcW w:w="520" w:type="dxa"/>
            <w:vAlign w:val="bottom"/>
            <w:tcBorders>
              <w:top w:val="single" w:sz="8" w:color="auto"/>
            </w:tcBorders>
            <w:shd w:val="clear" w:color="auto" w:fill="E0E0E0"/>
          </w:tcPr>
          <w:p>
            <w:pPr>
              <w:spacing w:after="0"/>
              <w:rPr>
                <w:sz w:val="3"/>
                <w:szCs w:val="3"/>
                <w:color w:val="auto"/>
              </w:rPr>
            </w:pPr>
          </w:p>
        </w:tc>
        <w:tc>
          <w:tcPr>
            <w:tcW w:w="200" w:type="dxa"/>
            <w:vAlign w:val="bottom"/>
            <w:tcBorders>
              <w:top w:val="single" w:sz="8" w:color="auto"/>
            </w:tcBorders>
            <w:shd w:val="clear" w:color="auto" w:fill="E0E0E0"/>
          </w:tcPr>
          <w:p>
            <w:pPr>
              <w:spacing w:after="0"/>
              <w:rPr>
                <w:sz w:val="3"/>
                <w:szCs w:val="3"/>
                <w:color w:val="auto"/>
              </w:rPr>
            </w:pPr>
          </w:p>
        </w:tc>
        <w:tc>
          <w:tcPr>
            <w:tcW w:w="120" w:type="dxa"/>
            <w:vAlign w:val="bottom"/>
            <w:tcBorders>
              <w:top w:val="single" w:sz="8" w:color="auto"/>
            </w:tcBorders>
            <w:shd w:val="clear" w:color="auto" w:fill="E0E0E0"/>
          </w:tcPr>
          <w:p>
            <w:pPr>
              <w:spacing w:after="0"/>
              <w:rPr>
                <w:sz w:val="3"/>
                <w:szCs w:val="3"/>
                <w:color w:val="auto"/>
              </w:rPr>
            </w:pPr>
          </w:p>
        </w:tc>
        <w:tc>
          <w:tcPr>
            <w:tcW w:w="480" w:type="dxa"/>
            <w:vAlign w:val="bottom"/>
            <w:tcBorders>
              <w:top w:val="single" w:sz="8" w:color="auto"/>
            </w:tcBorders>
            <w:shd w:val="clear" w:color="auto" w:fill="E0E0E0"/>
          </w:tcPr>
          <w:p>
            <w:pPr>
              <w:spacing w:after="0"/>
              <w:rPr>
                <w:sz w:val="3"/>
                <w:szCs w:val="3"/>
                <w:color w:val="auto"/>
              </w:rPr>
            </w:pPr>
          </w:p>
        </w:tc>
        <w:tc>
          <w:tcPr>
            <w:tcW w:w="220" w:type="dxa"/>
            <w:vAlign w:val="bottom"/>
            <w:tcBorders>
              <w:top w:val="single" w:sz="8" w:color="E0E0E0"/>
            </w:tcBorders>
            <w:shd w:val="clear" w:color="auto" w:fill="E0E0E0"/>
          </w:tcPr>
          <w:p>
            <w:pPr>
              <w:spacing w:after="0"/>
              <w:rPr>
                <w:sz w:val="3"/>
                <w:szCs w:val="3"/>
                <w:color w:val="auto"/>
              </w:rPr>
            </w:pPr>
          </w:p>
        </w:tc>
        <w:tc>
          <w:tcPr>
            <w:tcW w:w="580" w:type="dxa"/>
            <w:vAlign w:val="bottom"/>
            <w:tcBorders>
              <w:top w:val="single" w:sz="8" w:color="auto"/>
            </w:tcBorders>
            <w:shd w:val="clear" w:color="auto" w:fill="E0E0E0"/>
          </w:tcPr>
          <w:p>
            <w:pPr>
              <w:spacing w:after="0"/>
              <w:rPr>
                <w:sz w:val="3"/>
                <w:szCs w:val="3"/>
                <w:color w:val="auto"/>
              </w:rPr>
            </w:pPr>
          </w:p>
        </w:tc>
        <w:tc>
          <w:tcPr>
            <w:tcW w:w="140" w:type="dxa"/>
            <w:vAlign w:val="bottom"/>
            <w:tcBorders>
              <w:top w:val="single" w:sz="8" w:color="auto"/>
            </w:tcBorders>
            <w:shd w:val="clear" w:color="auto" w:fill="E0E0E0"/>
          </w:tcPr>
          <w:p>
            <w:pPr>
              <w:spacing w:after="0"/>
              <w:rPr>
                <w:sz w:val="3"/>
                <w:szCs w:val="3"/>
                <w:color w:val="auto"/>
              </w:rPr>
            </w:pPr>
          </w:p>
        </w:tc>
        <w:tc>
          <w:tcPr>
            <w:tcW w:w="380" w:type="dxa"/>
            <w:vAlign w:val="bottom"/>
            <w:tcBorders>
              <w:top w:val="single" w:sz="8" w:color="auto"/>
            </w:tcBorders>
            <w:shd w:val="clear" w:color="auto" w:fill="E0E0E0"/>
          </w:tcPr>
          <w:p>
            <w:pPr>
              <w:spacing w:after="0"/>
              <w:rPr>
                <w:sz w:val="3"/>
                <w:szCs w:val="3"/>
                <w:color w:val="auto"/>
              </w:rPr>
            </w:pPr>
          </w:p>
        </w:tc>
        <w:tc>
          <w:tcPr>
            <w:tcW w:w="140" w:type="dxa"/>
            <w:vAlign w:val="bottom"/>
            <w:tcBorders>
              <w:top w:val="single" w:sz="8" w:color="auto"/>
            </w:tcBorders>
            <w:shd w:val="clear" w:color="auto" w:fill="E0E0E0"/>
          </w:tcPr>
          <w:p>
            <w:pPr>
              <w:spacing w:after="0"/>
              <w:rPr>
                <w:sz w:val="3"/>
                <w:szCs w:val="3"/>
                <w:color w:val="auto"/>
              </w:rPr>
            </w:pPr>
          </w:p>
        </w:tc>
        <w:tc>
          <w:tcPr>
            <w:tcW w:w="600" w:type="dxa"/>
            <w:vAlign w:val="bottom"/>
            <w:tcBorders>
              <w:top w:val="single" w:sz="8" w:color="auto"/>
            </w:tcBorders>
            <w:shd w:val="clear" w:color="auto" w:fill="E0E0E0"/>
          </w:tcPr>
          <w:p>
            <w:pPr>
              <w:spacing w:after="0"/>
              <w:rPr>
                <w:sz w:val="3"/>
                <w:szCs w:val="3"/>
                <w:color w:val="auto"/>
              </w:rPr>
            </w:pPr>
          </w:p>
        </w:tc>
        <w:tc>
          <w:tcPr>
            <w:tcW w:w="140" w:type="dxa"/>
            <w:vAlign w:val="bottom"/>
            <w:tcBorders>
              <w:top w:val="single" w:sz="8" w:color="E0E0E0"/>
            </w:tcBorders>
            <w:shd w:val="clear" w:color="auto" w:fill="E0E0E0"/>
          </w:tcPr>
          <w:p>
            <w:pPr>
              <w:spacing w:after="0"/>
              <w:rPr>
                <w:sz w:val="3"/>
                <w:szCs w:val="3"/>
                <w:color w:val="auto"/>
              </w:rPr>
            </w:pPr>
          </w:p>
        </w:tc>
        <w:tc>
          <w:tcPr>
            <w:tcW w:w="640" w:type="dxa"/>
            <w:vAlign w:val="bottom"/>
            <w:tcBorders>
              <w:top w:val="single" w:sz="8" w:color="E0E0E0"/>
            </w:tcBorders>
            <w:vMerge w:val="continue"/>
            <w:shd w:val="clear" w:color="auto" w:fill="E0E0E0"/>
          </w:tcPr>
          <w:p>
            <w:pPr>
              <w:spacing w:after="0"/>
              <w:rPr>
                <w:sz w:val="3"/>
                <w:szCs w:val="3"/>
                <w:color w:val="auto"/>
              </w:rPr>
            </w:pPr>
          </w:p>
        </w:tc>
        <w:tc>
          <w:tcPr>
            <w:tcW w:w="60" w:type="dxa"/>
            <w:vAlign w:val="bottom"/>
            <w:tcBorders>
              <w:top w:val="single" w:sz="8" w:color="E0E0E0"/>
            </w:tcBorders>
            <w:shd w:val="clear" w:color="auto" w:fill="E0E0E0"/>
          </w:tcPr>
          <w:p>
            <w:pPr>
              <w:spacing w:after="0"/>
              <w:rPr>
                <w:sz w:val="3"/>
                <w:szCs w:val="3"/>
                <w:color w:val="auto"/>
              </w:rPr>
            </w:pPr>
          </w:p>
        </w:tc>
        <w:tc>
          <w:tcPr>
            <w:tcW w:w="140" w:type="dxa"/>
            <w:vAlign w:val="bottom"/>
            <w:tcBorders>
              <w:top w:val="single" w:sz="8" w:color="E0E0E0"/>
            </w:tcBorders>
            <w:shd w:val="clear" w:color="auto" w:fill="E0E0E0"/>
          </w:tcPr>
          <w:p>
            <w:pPr>
              <w:spacing w:after="0"/>
              <w:rPr>
                <w:sz w:val="3"/>
                <w:szCs w:val="3"/>
                <w:color w:val="auto"/>
              </w:rPr>
            </w:pPr>
          </w:p>
        </w:tc>
        <w:tc>
          <w:tcPr>
            <w:tcW w:w="660" w:type="dxa"/>
            <w:vAlign w:val="bottom"/>
            <w:tcBorders>
              <w:top w:val="single" w:sz="8" w:color="E0E0E0"/>
            </w:tcBorders>
            <w:gridSpan w:val="2"/>
            <w:vMerge w:val="continue"/>
            <w:shd w:val="clear" w:color="auto" w:fill="E0E0E0"/>
          </w:tcPr>
          <w:p>
            <w:pPr>
              <w:spacing w:after="0"/>
              <w:rPr>
                <w:sz w:val="3"/>
                <w:szCs w:val="3"/>
                <w:color w:val="auto"/>
              </w:rPr>
            </w:pPr>
          </w:p>
        </w:tc>
        <w:tc>
          <w:tcPr>
            <w:tcW w:w="200" w:type="dxa"/>
            <w:vAlign w:val="bottom"/>
            <w:tcBorders>
              <w:top w:val="single" w:sz="8" w:color="E0E0E0"/>
            </w:tcBorders>
            <w:shd w:val="clear" w:color="auto" w:fill="E0E0E0"/>
          </w:tcPr>
          <w:p>
            <w:pPr>
              <w:spacing w:after="0"/>
              <w:rPr>
                <w:sz w:val="3"/>
                <w:szCs w:val="3"/>
                <w:color w:val="auto"/>
              </w:rPr>
            </w:pPr>
          </w:p>
        </w:tc>
        <w:tc>
          <w:tcPr>
            <w:tcW w:w="480" w:type="dxa"/>
            <w:vAlign w:val="bottom"/>
            <w:tcBorders>
              <w:top w:val="single" w:sz="8" w:color="E0E0E0"/>
            </w:tcBorders>
            <w:vMerge w:val="continue"/>
            <w:shd w:val="clear" w:color="auto" w:fill="E0E0E0"/>
          </w:tcPr>
          <w:p>
            <w:pPr>
              <w:spacing w:after="0"/>
              <w:rPr>
                <w:sz w:val="3"/>
                <w:szCs w:val="3"/>
                <w:color w:val="auto"/>
              </w:rPr>
            </w:pPr>
          </w:p>
        </w:tc>
        <w:tc>
          <w:tcPr>
            <w:tcW w:w="120" w:type="dxa"/>
            <w:vAlign w:val="bottom"/>
            <w:tcBorders>
              <w:top w:val="single" w:sz="8" w:color="E0E0E0"/>
            </w:tcBorders>
            <w:shd w:val="clear" w:color="auto" w:fill="E0E0E0"/>
          </w:tcPr>
          <w:p>
            <w:pPr>
              <w:spacing w:after="0"/>
              <w:rPr>
                <w:sz w:val="3"/>
                <w:szCs w:val="3"/>
                <w:color w:val="auto"/>
              </w:rPr>
            </w:pPr>
          </w:p>
        </w:tc>
        <w:tc>
          <w:tcPr>
            <w:tcW w:w="40" w:type="dxa"/>
            <w:vAlign w:val="bottom"/>
            <w:tcBorders>
              <w:top w:val="single" w:sz="8" w:color="E0E0E0"/>
            </w:tcBorders>
            <w:shd w:val="clear" w:color="auto" w:fill="E0E0E0"/>
          </w:tcPr>
          <w:p>
            <w:pPr>
              <w:spacing w:after="0"/>
              <w:rPr>
                <w:sz w:val="3"/>
                <w:szCs w:val="3"/>
                <w:color w:val="auto"/>
              </w:rPr>
            </w:pPr>
          </w:p>
        </w:tc>
        <w:tc>
          <w:tcPr>
            <w:tcW w:w="620" w:type="dxa"/>
            <w:vAlign w:val="bottom"/>
            <w:tcBorders>
              <w:top w:val="single" w:sz="8" w:color="E0E0E0"/>
            </w:tcBorders>
            <w:vMerge w:val="continue"/>
            <w:shd w:val="clear" w:color="auto" w:fill="E0E0E0"/>
          </w:tcPr>
          <w:p>
            <w:pPr>
              <w:spacing w:after="0"/>
              <w:rPr>
                <w:sz w:val="3"/>
                <w:szCs w:val="3"/>
                <w:color w:val="auto"/>
              </w:rPr>
            </w:pPr>
          </w:p>
        </w:tc>
        <w:tc>
          <w:tcPr>
            <w:tcW w:w="220" w:type="dxa"/>
            <w:vAlign w:val="bottom"/>
            <w:tcBorders>
              <w:top w:val="single" w:sz="8" w:color="E0E0E0"/>
              <w:right w:val="single" w:sz="8" w:color="auto"/>
            </w:tcBorders>
            <w:shd w:val="clear" w:color="auto" w:fill="E0E0E0"/>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gridSpan w:val="2"/>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80" w:type="dxa"/>
            <w:vAlign w:val="bottom"/>
            <w:tcBorders>
              <w:left w:val="single" w:sz="8" w:color="auto"/>
            </w:tcBorders>
            <w:shd w:val="clear" w:color="auto" w:fill="E0E0E0"/>
          </w:tcPr>
          <w:p>
            <w:pPr>
              <w:spacing w:after="0"/>
              <w:rPr>
                <w:sz w:val="12"/>
                <w:szCs w:val="12"/>
                <w:color w:val="auto"/>
              </w:rPr>
            </w:pPr>
          </w:p>
        </w:tc>
        <w:tc>
          <w:tcPr>
            <w:tcW w:w="1420" w:type="dxa"/>
            <w:vAlign w:val="bottom"/>
            <w:gridSpan w:val="2"/>
            <w:vMerge w:val="restart"/>
            <w:shd w:val="clear" w:color="auto" w:fill="E0E0E0"/>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620" w:type="dxa"/>
            <w:vAlign w:val="bottom"/>
            <w:gridSpan w:val="2"/>
            <w:shd w:val="clear" w:color="auto" w:fill="E0E0E0"/>
          </w:tcPr>
          <w:p>
            <w:pPr>
              <w:spacing w:after="0" w:line="139"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100" w:type="dxa"/>
            <w:vAlign w:val="bottom"/>
            <w:shd w:val="clear" w:color="auto" w:fill="E0E0E0"/>
          </w:tcPr>
          <w:p>
            <w:pPr>
              <w:spacing w:after="0"/>
              <w:rPr>
                <w:sz w:val="12"/>
                <w:szCs w:val="12"/>
                <w:color w:val="auto"/>
              </w:rPr>
            </w:pPr>
          </w:p>
        </w:tc>
        <w:tc>
          <w:tcPr>
            <w:tcW w:w="720" w:type="dxa"/>
            <w:vAlign w:val="bottom"/>
            <w:gridSpan w:val="2"/>
            <w:shd w:val="clear" w:color="auto" w:fill="E0E0E0"/>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820" w:type="dxa"/>
            <w:vAlign w:val="bottom"/>
            <w:gridSpan w:val="3"/>
            <w:shd w:val="clear" w:color="auto" w:fill="E0E0E0"/>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720" w:type="dxa"/>
            <w:vAlign w:val="bottom"/>
            <w:gridSpan w:val="2"/>
            <w:shd w:val="clear" w:color="auto" w:fill="E0E0E0"/>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4"/>
              </w:rPr>
              <w:t>Threshold</w:t>
            </w:r>
          </w:p>
        </w:tc>
        <w:tc>
          <w:tcPr>
            <w:tcW w:w="520" w:type="dxa"/>
            <w:vAlign w:val="bottom"/>
            <w:gridSpan w:val="2"/>
            <w:shd w:val="clear" w:color="auto" w:fill="E0E0E0"/>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60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Stock or</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1420" w:type="dxa"/>
            <w:vAlign w:val="bottom"/>
            <w:gridSpan w:val="2"/>
            <w:vMerge w:val="continue"/>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84"/>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600" w:type="dxa"/>
            <w:vAlign w:val="bottom"/>
            <w:shd w:val="clear" w:color="auto" w:fill="E0E0E0"/>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E0E0E0"/>
          </w:tcPr>
          <w:p>
            <w:pPr>
              <w:spacing w:after="0"/>
              <w:rPr>
                <w:sz w:val="12"/>
                <w:szCs w:val="12"/>
                <w:color w:val="auto"/>
              </w:rPr>
            </w:pPr>
          </w:p>
        </w:tc>
        <w:tc>
          <w:tcPr>
            <w:tcW w:w="620" w:type="dxa"/>
            <w:vAlign w:val="bottom"/>
            <w:gridSpan w:val="2"/>
            <w:shd w:val="clear" w:color="auto" w:fill="E0E0E0"/>
          </w:tcPr>
          <w:p>
            <w:pPr>
              <w:jc w:val="center"/>
              <w:ind w:left="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Units (#)</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gridSpan w:val="2"/>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w:t>
            </w:r>
          </w:p>
        </w:tc>
        <w:tc>
          <w:tcPr>
            <w:tcW w:w="1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7"/>
                <w:szCs w:val="17"/>
                <w:b w:val="1"/>
                <w:bCs w:val="1"/>
                <w:color w:val="auto"/>
                <w:vertAlign w:val="superscript"/>
              </w:rPr>
              <w:t>5</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tcBorders>
              <w:left w:val="single" w:sz="8" w:color="auto"/>
              <w:bottom w:val="single" w:sz="8" w:color="E0E0E0"/>
            </w:tcBorders>
            <w:shd w:val="clear" w:color="auto" w:fill="E0E0E0"/>
          </w:tcPr>
          <w:p>
            <w:pPr>
              <w:spacing w:after="0"/>
              <w:rPr>
                <w:sz w:val="16"/>
                <w:szCs w:val="16"/>
                <w:color w:val="auto"/>
              </w:rPr>
            </w:pPr>
          </w:p>
        </w:tc>
        <w:tc>
          <w:tcPr>
            <w:tcW w:w="340" w:type="dxa"/>
            <w:vAlign w:val="bottom"/>
            <w:tcBorders>
              <w:bottom w:val="single" w:sz="8" w:color="auto"/>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08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940" w:type="dxa"/>
            <w:vAlign w:val="bottom"/>
            <w:tcBorders>
              <w:bottom w:val="single" w:sz="8" w:color="E0E0E0"/>
            </w:tcBorders>
            <w:gridSpan w:val="2"/>
            <w:shd w:val="clear" w:color="auto" w:fill="E0E0E0"/>
          </w:tcPr>
          <w:p>
            <w:pPr>
              <w:jc w:val="right"/>
              <w:ind w:right="444"/>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620" w:type="dxa"/>
            <w:vAlign w:val="bottom"/>
            <w:tcBorders>
              <w:bottom w:val="single" w:sz="8" w:color="E0E0E0"/>
            </w:tcBorders>
            <w:gridSpan w:val="2"/>
            <w:shd w:val="clear" w:color="auto" w:fill="E0E0E0"/>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gridSpan w:val="2"/>
            <w:shd w:val="clear" w:color="auto" w:fill="E0E0E0"/>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12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gridSpan w:val="2"/>
            <w:shd w:val="clear" w:color="auto" w:fill="E0E0E0"/>
          </w:tcPr>
          <w:p>
            <w:pPr>
              <w:jc w:val="right"/>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(e)</w:t>
            </w:r>
          </w:p>
        </w:tc>
        <w:tc>
          <w:tcPr>
            <w:tcW w:w="720" w:type="dxa"/>
            <w:vAlign w:val="bottom"/>
            <w:tcBorders>
              <w:bottom w:val="single" w:sz="8" w:color="E0E0E0"/>
            </w:tcBorders>
            <w:gridSpan w:val="2"/>
            <w:shd w:val="clear" w:color="auto" w:fill="E0E0E0"/>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520" w:type="dxa"/>
            <w:vAlign w:val="bottom"/>
            <w:tcBorders>
              <w:bottom w:val="single" w:sz="8" w:color="E0E0E0"/>
            </w:tcBorders>
            <w:gridSpan w:val="2"/>
            <w:shd w:val="clear" w:color="auto" w:fill="E0E0E0"/>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60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(h)</w:t>
            </w:r>
          </w:p>
        </w:tc>
        <w:tc>
          <w:tcPr>
            <w:tcW w:w="140" w:type="dxa"/>
            <w:vAlign w:val="bottom"/>
            <w:tcBorders>
              <w:bottom w:val="single" w:sz="8" w:color="E0E0E0"/>
            </w:tcBorders>
            <w:shd w:val="clear" w:color="auto" w:fill="E0E0E0"/>
          </w:tcPr>
          <w:p>
            <w:pPr>
              <w:spacing w:after="0"/>
              <w:rPr>
                <w:sz w:val="16"/>
                <w:szCs w:val="16"/>
                <w:color w:val="auto"/>
              </w:rPr>
            </w:pPr>
          </w:p>
        </w:tc>
        <w:tc>
          <w:tcPr>
            <w:tcW w:w="64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6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62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(j)</w:t>
            </w:r>
          </w:p>
        </w:tc>
        <w:tc>
          <w:tcPr>
            <w:tcW w:w="200" w:type="dxa"/>
            <w:vAlign w:val="bottom"/>
            <w:tcBorders>
              <w:bottom w:val="single" w:sz="8" w:color="E0E0E0"/>
            </w:tcBorders>
            <w:shd w:val="clear" w:color="auto" w:fill="E0E0E0"/>
          </w:tcPr>
          <w:p>
            <w:pPr>
              <w:spacing w:after="0"/>
              <w:rPr>
                <w:sz w:val="16"/>
                <w:szCs w:val="16"/>
                <w:color w:val="auto"/>
              </w:rPr>
            </w:pPr>
          </w:p>
        </w:tc>
        <w:tc>
          <w:tcPr>
            <w:tcW w:w="48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(k)</w:t>
            </w:r>
          </w:p>
        </w:tc>
        <w:tc>
          <w:tcPr>
            <w:tcW w:w="1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62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w:t>
            </w:r>
          </w:p>
        </w:tc>
        <w:tc>
          <w:tcPr>
            <w:tcW w:w="220" w:type="dxa"/>
            <w:vAlign w:val="bottom"/>
            <w:tcBorders>
              <w:bottom w:val="single" w:sz="8" w:color="E0E0E0"/>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E0E0E0"/>
              <w:left w:val="single" w:sz="8" w:color="auto"/>
              <w:bottom w:val="single" w:sz="8" w:color="auto"/>
            </w:tcBorders>
            <w:shd w:val="clear" w:color="auto" w:fill="E0E0E0"/>
          </w:tcPr>
          <w:p>
            <w:pPr>
              <w:spacing w:after="0"/>
              <w:rPr>
                <w:sz w:val="18"/>
                <w:szCs w:val="18"/>
                <w:color w:val="auto"/>
              </w:rPr>
            </w:pPr>
          </w:p>
        </w:tc>
        <w:tc>
          <w:tcPr>
            <w:tcW w:w="340" w:type="dxa"/>
            <w:vAlign w:val="bottom"/>
            <w:tcBorders>
              <w:top w:val="single" w:sz="8" w:color="E0E0E0"/>
              <w:bottom w:val="single" w:sz="8" w:color="auto"/>
            </w:tcBorders>
            <w:shd w:val="clear" w:color="auto" w:fill="E0E0E0"/>
          </w:tcPr>
          <w:p>
            <w:pPr>
              <w:spacing w:after="0"/>
              <w:rPr>
                <w:sz w:val="18"/>
                <w:szCs w:val="18"/>
                <w:color w:val="auto"/>
              </w:rPr>
            </w:pPr>
          </w:p>
        </w:tc>
        <w:tc>
          <w:tcPr>
            <w:tcW w:w="108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spacing w:after="0"/>
              <w:rPr>
                <w:sz w:val="18"/>
                <w:szCs w:val="18"/>
                <w:color w:val="auto"/>
              </w:rPr>
            </w:pPr>
          </w:p>
        </w:tc>
        <w:tc>
          <w:tcPr>
            <w:tcW w:w="700" w:type="dxa"/>
            <w:vAlign w:val="bottom"/>
            <w:tcBorders>
              <w:top w:val="single" w:sz="8" w:color="auto"/>
              <w:bottom w:val="single" w:sz="8" w:color="auto"/>
            </w:tcBorders>
            <w:shd w:val="clear" w:color="auto" w:fill="E0E0E0"/>
          </w:tcPr>
          <w:p>
            <w:pPr>
              <w:spacing w:after="0"/>
              <w:rPr>
                <w:sz w:val="18"/>
                <w:szCs w:val="18"/>
                <w:color w:val="auto"/>
              </w:rPr>
            </w:pPr>
          </w:p>
        </w:tc>
        <w:tc>
          <w:tcPr>
            <w:tcW w:w="240" w:type="dxa"/>
            <w:vAlign w:val="bottom"/>
            <w:tcBorders>
              <w:top w:val="single" w:sz="8" w:color="E0E0E0"/>
              <w:bottom w:val="single" w:sz="8" w:color="auto"/>
            </w:tcBorders>
            <w:shd w:val="clear" w:color="auto" w:fill="E0E0E0"/>
          </w:tcPr>
          <w:p>
            <w:pPr>
              <w:spacing w:after="0"/>
              <w:rPr>
                <w:sz w:val="18"/>
                <w:szCs w:val="18"/>
                <w:color w:val="auto"/>
              </w:rPr>
            </w:pPr>
          </w:p>
        </w:tc>
        <w:tc>
          <w:tcPr>
            <w:tcW w:w="600" w:type="dxa"/>
            <w:vAlign w:val="bottom"/>
            <w:tcBorders>
              <w:top w:val="single" w:sz="8" w:color="auto"/>
              <w:bottom w:val="single" w:sz="8" w:color="auto"/>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spacing w:after="0"/>
              <w:rPr>
                <w:sz w:val="18"/>
                <w:szCs w:val="18"/>
                <w:color w:val="auto"/>
              </w:rPr>
            </w:pPr>
          </w:p>
        </w:tc>
        <w:tc>
          <w:tcPr>
            <w:tcW w:w="520" w:type="dxa"/>
            <w:vAlign w:val="bottom"/>
            <w:tcBorders>
              <w:top w:val="single" w:sz="8" w:color="auto"/>
              <w:bottom w:val="single" w:sz="8" w:color="auto"/>
            </w:tcBorders>
            <w:shd w:val="clear" w:color="auto" w:fill="E0E0E0"/>
          </w:tcPr>
          <w:p>
            <w:pPr>
              <w:spacing w:after="0"/>
              <w:rPr>
                <w:sz w:val="18"/>
                <w:szCs w:val="18"/>
                <w:color w:val="auto"/>
              </w:rPr>
            </w:pPr>
          </w:p>
        </w:tc>
        <w:tc>
          <w:tcPr>
            <w:tcW w:w="20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auto"/>
              <w:bottom w:val="single" w:sz="8" w:color="auto"/>
            </w:tcBorders>
            <w:shd w:val="clear" w:color="auto" w:fill="E0E0E0"/>
          </w:tcPr>
          <w:p>
            <w:pPr>
              <w:spacing w:after="0"/>
              <w:rPr>
                <w:sz w:val="18"/>
                <w:szCs w:val="18"/>
                <w:color w:val="auto"/>
              </w:rPr>
            </w:pPr>
          </w:p>
        </w:tc>
        <w:tc>
          <w:tcPr>
            <w:tcW w:w="480" w:type="dxa"/>
            <w:vAlign w:val="bottom"/>
            <w:tcBorders>
              <w:top w:val="single" w:sz="8" w:color="auto"/>
              <w:bottom w:val="single" w:sz="8" w:color="auto"/>
            </w:tcBorders>
            <w:shd w:val="clear" w:color="auto" w:fill="E0E0E0"/>
          </w:tcPr>
          <w:p>
            <w:pPr>
              <w:spacing w:after="0"/>
              <w:rPr>
                <w:sz w:val="18"/>
                <w:szCs w:val="18"/>
                <w:color w:val="auto"/>
              </w:rPr>
            </w:pPr>
          </w:p>
        </w:tc>
        <w:tc>
          <w:tcPr>
            <w:tcW w:w="220" w:type="dxa"/>
            <w:vAlign w:val="bottom"/>
            <w:tcBorders>
              <w:top w:val="single" w:sz="8" w:color="E0E0E0"/>
              <w:bottom w:val="single" w:sz="8" w:color="auto"/>
            </w:tcBorders>
            <w:shd w:val="clear" w:color="auto" w:fill="E0E0E0"/>
          </w:tcPr>
          <w:p>
            <w:pPr>
              <w:spacing w:after="0"/>
              <w:rPr>
                <w:sz w:val="18"/>
                <w:szCs w:val="18"/>
                <w:color w:val="auto"/>
              </w:rPr>
            </w:pPr>
          </w:p>
        </w:tc>
        <w:tc>
          <w:tcPr>
            <w:tcW w:w="580" w:type="dxa"/>
            <w:vAlign w:val="bottom"/>
            <w:tcBorders>
              <w:top w:val="single" w:sz="8" w:color="auto"/>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380" w:type="dxa"/>
            <w:vAlign w:val="bottom"/>
            <w:tcBorders>
              <w:top w:val="single" w:sz="8" w:color="auto"/>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600" w:type="dxa"/>
            <w:vAlign w:val="bottom"/>
            <w:tcBorders>
              <w:top w:val="single" w:sz="8" w:color="auto"/>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640" w:type="dxa"/>
            <w:vAlign w:val="bottom"/>
            <w:tcBorders>
              <w:top w:val="single" w:sz="8" w:color="auto"/>
              <w:bottom w:val="single" w:sz="8" w:color="auto"/>
            </w:tcBorders>
            <w:shd w:val="clear" w:color="auto" w:fill="E0E0E0"/>
          </w:tcPr>
          <w:p>
            <w:pPr>
              <w:spacing w:after="0"/>
              <w:rPr>
                <w:sz w:val="18"/>
                <w:szCs w:val="18"/>
                <w:color w:val="auto"/>
              </w:rPr>
            </w:pPr>
          </w:p>
        </w:tc>
        <w:tc>
          <w:tcPr>
            <w:tcW w:w="60" w:type="dxa"/>
            <w:vAlign w:val="bottom"/>
            <w:tcBorders>
              <w:top w:val="single" w:sz="8" w:color="E0E0E0"/>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40" w:type="dxa"/>
            <w:vAlign w:val="bottom"/>
            <w:tcBorders>
              <w:top w:val="single" w:sz="8" w:color="auto"/>
              <w:bottom w:val="single" w:sz="8" w:color="auto"/>
            </w:tcBorders>
            <w:shd w:val="clear" w:color="auto" w:fill="E0E0E0"/>
          </w:tcPr>
          <w:p>
            <w:pPr>
              <w:spacing w:after="0"/>
              <w:rPr>
                <w:sz w:val="18"/>
                <w:szCs w:val="18"/>
                <w:color w:val="auto"/>
              </w:rPr>
            </w:pPr>
          </w:p>
        </w:tc>
        <w:tc>
          <w:tcPr>
            <w:tcW w:w="620" w:type="dxa"/>
            <w:vAlign w:val="bottom"/>
            <w:tcBorders>
              <w:top w:val="single" w:sz="8" w:color="auto"/>
              <w:bottom w:val="single" w:sz="8" w:color="auto"/>
            </w:tcBorders>
            <w:shd w:val="clear" w:color="auto" w:fill="E0E0E0"/>
          </w:tcPr>
          <w:p>
            <w:pPr>
              <w:spacing w:after="0"/>
              <w:rPr>
                <w:sz w:val="18"/>
                <w:szCs w:val="18"/>
                <w:color w:val="auto"/>
              </w:rPr>
            </w:pPr>
          </w:p>
        </w:tc>
        <w:tc>
          <w:tcPr>
            <w:tcW w:w="200" w:type="dxa"/>
            <w:vAlign w:val="bottom"/>
            <w:tcBorders>
              <w:top w:val="single" w:sz="8" w:color="E0E0E0"/>
              <w:bottom w:val="single" w:sz="8" w:color="auto"/>
            </w:tcBorders>
            <w:shd w:val="clear" w:color="auto" w:fill="E0E0E0"/>
          </w:tcPr>
          <w:p>
            <w:pPr>
              <w:spacing w:after="0"/>
              <w:rPr>
                <w:sz w:val="18"/>
                <w:szCs w:val="18"/>
                <w:color w:val="auto"/>
              </w:rPr>
            </w:pPr>
          </w:p>
        </w:tc>
        <w:tc>
          <w:tcPr>
            <w:tcW w:w="480" w:type="dxa"/>
            <w:vAlign w:val="bottom"/>
            <w:tcBorders>
              <w:top w:val="single" w:sz="8" w:color="auto"/>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spacing w:after="0"/>
              <w:rPr>
                <w:sz w:val="18"/>
                <w:szCs w:val="18"/>
                <w:color w:val="auto"/>
              </w:rPr>
            </w:pPr>
          </w:p>
        </w:tc>
        <w:tc>
          <w:tcPr>
            <w:tcW w:w="40" w:type="dxa"/>
            <w:vAlign w:val="bottom"/>
            <w:tcBorders>
              <w:top w:val="single" w:sz="8" w:color="auto"/>
              <w:bottom w:val="single" w:sz="8" w:color="auto"/>
            </w:tcBorders>
            <w:shd w:val="clear" w:color="auto" w:fill="E0E0E0"/>
          </w:tcPr>
          <w:p>
            <w:pPr>
              <w:spacing w:after="0"/>
              <w:rPr>
                <w:sz w:val="18"/>
                <w:szCs w:val="18"/>
                <w:color w:val="auto"/>
              </w:rPr>
            </w:pPr>
          </w:p>
        </w:tc>
        <w:tc>
          <w:tcPr>
            <w:tcW w:w="620" w:type="dxa"/>
            <w:vAlign w:val="bottom"/>
            <w:tcBorders>
              <w:top w:val="single" w:sz="8" w:color="auto"/>
              <w:bottom w:val="single" w:sz="8" w:color="auto"/>
            </w:tcBorders>
            <w:shd w:val="clear" w:color="auto" w:fill="E0E0E0"/>
          </w:tcPr>
          <w:p>
            <w:pPr>
              <w:spacing w:after="0"/>
              <w:rPr>
                <w:sz w:val="18"/>
                <w:szCs w:val="18"/>
                <w:color w:val="auto"/>
              </w:rPr>
            </w:pPr>
          </w:p>
        </w:tc>
        <w:tc>
          <w:tcPr>
            <w:tcW w:w="220" w:type="dxa"/>
            <w:vAlign w:val="bottom"/>
            <w:tcBorders>
              <w:top w:val="single" w:sz="8" w:color="E0E0E0"/>
              <w:bottom w:val="single" w:sz="8" w:color="auto"/>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600" w:type="dxa"/>
            <w:vAlign w:val="bottom"/>
            <w:tcBorders>
              <w:left w:val="single" w:sz="8" w:color="auto"/>
            </w:tcBorders>
            <w:gridSpan w:val="3"/>
            <w:shd w:val="clear" w:color="auto" w:fill="E0E0E0"/>
          </w:tcPr>
          <w:p>
            <w:pPr>
              <w:ind w:left="120"/>
              <w:spacing w:after="0" w:line="115" w:lineRule="exact"/>
              <w:rPr>
                <w:sz w:val="20"/>
                <w:szCs w:val="20"/>
                <w:color w:val="auto"/>
              </w:rPr>
            </w:pPr>
            <w:r>
              <w:rPr>
                <w:rFonts w:ascii="Times New Roman" w:cs="Times New Roman" w:eastAsia="Times New Roman" w:hAnsi="Times New Roman"/>
                <w:sz w:val="12"/>
                <w:szCs w:val="12"/>
                <w:b w:val="1"/>
                <w:bCs w:val="1"/>
                <w:color w:val="auto"/>
              </w:rPr>
              <w:t>C. Howard Nye</w:t>
            </w:r>
          </w:p>
        </w:tc>
        <w:tc>
          <w:tcPr>
            <w:tcW w:w="120" w:type="dxa"/>
            <w:vAlign w:val="bottom"/>
            <w:shd w:val="clear" w:color="auto" w:fill="E0E0E0"/>
          </w:tcPr>
          <w:p>
            <w:pPr>
              <w:spacing w:after="0"/>
              <w:rPr>
                <w:sz w:val="10"/>
                <w:szCs w:val="10"/>
                <w:color w:val="auto"/>
              </w:rPr>
            </w:pPr>
          </w:p>
        </w:tc>
        <w:tc>
          <w:tcPr>
            <w:tcW w:w="940" w:type="dxa"/>
            <w:vAlign w:val="bottom"/>
            <w:gridSpan w:val="2"/>
            <w:shd w:val="clear" w:color="auto" w:fill="E0E0E0"/>
          </w:tcPr>
          <w:p>
            <w:pPr>
              <w:jc w:val="right"/>
              <w:ind w:right="124"/>
              <w:spacing w:after="0" w:line="115" w:lineRule="exact"/>
              <w:rPr>
                <w:sz w:val="20"/>
                <w:szCs w:val="20"/>
                <w:color w:val="auto"/>
              </w:rPr>
            </w:pPr>
            <w:r>
              <w:rPr>
                <w:rFonts w:ascii="Times New Roman" w:cs="Times New Roman" w:eastAsia="Times New Roman" w:hAnsi="Times New Roman"/>
                <w:sz w:val="9"/>
                <w:szCs w:val="9"/>
                <w:color w:val="auto"/>
              </w:rPr>
              <w:t>1/24/13</w:t>
            </w:r>
            <w:r>
              <w:rPr>
                <w:rFonts w:ascii="Times New Roman" w:cs="Times New Roman" w:eastAsia="Times New Roman" w:hAnsi="Times New Roman"/>
                <w:sz w:val="13"/>
                <w:szCs w:val="13"/>
                <w:color w:val="auto"/>
                <w:vertAlign w:val="superscript"/>
              </w:rPr>
              <w:t>2</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2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40" w:type="dxa"/>
            <w:vAlign w:val="bottom"/>
            <w:shd w:val="clear" w:color="auto" w:fill="E0E0E0"/>
          </w:tcPr>
          <w:p>
            <w:pPr>
              <w:jc w:val="right"/>
              <w:spacing w:after="0" w:line="115" w:lineRule="exact"/>
              <w:rPr>
                <w:sz w:val="20"/>
                <w:szCs w:val="20"/>
                <w:color w:val="auto"/>
              </w:rPr>
            </w:pPr>
            <w:r>
              <w:rPr>
                <w:rFonts w:ascii="Times New Roman" w:cs="Times New Roman" w:eastAsia="Times New Roman" w:hAnsi="Times New Roman"/>
                <w:sz w:val="12"/>
                <w:szCs w:val="12"/>
                <w:color w:val="auto"/>
              </w:rPr>
              <w:t>2,646</w:t>
            </w: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60" w:type="dxa"/>
            <w:vAlign w:val="bottom"/>
            <w:gridSpan w:val="2"/>
            <w:shd w:val="clear" w:color="auto" w:fill="E0E0E0"/>
          </w:tcPr>
          <w:p>
            <w:pPr>
              <w:jc w:val="right"/>
              <w:spacing w:after="0" w:line="115" w:lineRule="exact"/>
              <w:rPr>
                <w:sz w:val="20"/>
                <w:szCs w:val="20"/>
                <w:color w:val="auto"/>
              </w:rPr>
            </w:pPr>
            <w:r>
              <w:rPr>
                <w:rFonts w:ascii="Times New Roman" w:cs="Times New Roman" w:eastAsia="Times New Roman" w:hAnsi="Times New Roman"/>
                <w:sz w:val="12"/>
                <w:szCs w:val="12"/>
                <w:color w:val="auto"/>
                <w:shd w:val="clear" w:color="auto" w:fill="E0E0E0"/>
              </w:rPr>
              <w:t>262,563</w:t>
            </w:r>
          </w:p>
        </w:tc>
        <w:tc>
          <w:tcPr>
            <w:tcW w:w="2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jc w:val="right"/>
              <w:spacing w:after="0" w:line="149" w:lineRule="exact"/>
              <w:rPr>
                <w:sz w:val="20"/>
                <w:szCs w:val="20"/>
                <w:color w:val="auto"/>
              </w:rPr>
            </w:pPr>
            <w:r>
              <w:rPr>
                <w:rFonts w:ascii="Times New Roman" w:cs="Times New Roman" w:eastAsia="Times New Roman" w:hAnsi="Times New Roman"/>
                <w:sz w:val="14"/>
                <w:szCs w:val="14"/>
                <w:color w:val="auto"/>
              </w:rPr>
              <w:t>5/24/12</w:t>
            </w:r>
          </w:p>
        </w:tc>
        <w:tc>
          <w:tcPr>
            <w:tcW w:w="240" w:type="dxa"/>
            <w:vAlign w:val="bottom"/>
            <w:shd w:val="clear" w:color="auto" w:fill="E0E0E0"/>
          </w:tcPr>
          <w:p>
            <w:pPr>
              <w:jc w:val="right"/>
              <w:ind w:right="124"/>
              <w:spacing w:after="0"/>
              <w:rPr>
                <w:sz w:val="20"/>
                <w:szCs w:val="20"/>
                <w:color w:val="auto"/>
              </w:rPr>
            </w:pPr>
            <w:r>
              <w:rPr>
                <w:rFonts w:ascii="Times New Roman" w:cs="Times New Roman" w:eastAsia="Times New Roman" w:hAnsi="Times New Roman"/>
                <w:sz w:val="11"/>
                <w:szCs w:val="11"/>
                <w:color w:val="auto"/>
                <w:w w:val="71"/>
              </w:rPr>
              <w:t>3</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right"/>
              <w:spacing w:after="0" w:line="149" w:lineRule="exact"/>
              <w:rPr>
                <w:sz w:val="20"/>
                <w:szCs w:val="20"/>
                <w:color w:val="auto"/>
              </w:rPr>
            </w:pPr>
            <w:r>
              <w:rPr>
                <w:rFonts w:ascii="Times New Roman" w:cs="Times New Roman" w:eastAsia="Times New Roman" w:hAnsi="Times New Roman"/>
                <w:sz w:val="14"/>
                <w:szCs w:val="14"/>
                <w:color w:val="auto"/>
              </w:rPr>
              <w:t>8,159</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right"/>
              <w:spacing w:after="0" w:line="149" w:lineRule="exact"/>
              <w:rPr>
                <w:sz w:val="20"/>
                <w:szCs w:val="20"/>
                <w:color w:val="auto"/>
              </w:rPr>
            </w:pPr>
            <w:r>
              <w:rPr>
                <w:rFonts w:ascii="Times New Roman" w:cs="Times New Roman" w:eastAsia="Times New Roman" w:hAnsi="Times New Roman"/>
                <w:sz w:val="14"/>
                <w:szCs w:val="14"/>
                <w:color w:val="auto"/>
                <w:shd w:val="clear" w:color="auto" w:fill="E0E0E0"/>
              </w:rPr>
              <w:t>563,950</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5/24/12</w:t>
            </w:r>
          </w:p>
        </w:tc>
        <w:tc>
          <w:tcPr>
            <w:tcW w:w="240" w:type="dxa"/>
            <w:vAlign w:val="bottom"/>
            <w:shd w:val="clear" w:color="auto" w:fill="E0E0E0"/>
          </w:tcPr>
          <w:p>
            <w:pPr>
              <w:jc w:val="right"/>
              <w:ind w:right="124"/>
              <w:spacing w:after="0"/>
              <w:rPr>
                <w:sz w:val="20"/>
                <w:szCs w:val="20"/>
                <w:color w:val="auto"/>
              </w:rPr>
            </w:pPr>
            <w:r>
              <w:rPr>
                <w:rFonts w:ascii="Times New Roman" w:cs="Times New Roman" w:eastAsia="Times New Roman" w:hAnsi="Times New Roman"/>
                <w:sz w:val="11"/>
                <w:szCs w:val="11"/>
                <w:color w:val="auto"/>
                <w:w w:val="71"/>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16,317</w:t>
            </w:r>
          </w:p>
        </w:tc>
        <w:tc>
          <w:tcPr>
            <w:tcW w:w="200" w:type="dxa"/>
            <w:vAlign w:val="bottom"/>
            <w:shd w:val="clear" w:color="auto" w:fill="E0E0E0"/>
          </w:tcPr>
          <w:p>
            <w:pPr>
              <w:spacing w:after="0"/>
              <w:rPr>
                <w:sz w:val="15"/>
                <w:szCs w:val="15"/>
                <w:color w:val="auto"/>
              </w:rPr>
            </w:pPr>
          </w:p>
        </w:tc>
        <w:tc>
          <w:tcPr>
            <w:tcW w:w="480" w:type="dxa"/>
            <w:vAlign w:val="bottom"/>
            <w:shd w:val="clear" w:color="auto" w:fill="E0E0E0"/>
          </w:tcPr>
          <w:p>
            <w:pPr>
              <w:ind w:left="180"/>
              <w:spacing w:after="0"/>
              <w:rPr>
                <w:sz w:val="20"/>
                <w:szCs w:val="20"/>
                <w:color w:val="auto"/>
              </w:rPr>
            </w:pPr>
            <w:r>
              <w:rPr>
                <w:rFonts w:ascii="Times New Roman" w:cs="Times New Roman" w:eastAsia="Times New Roman" w:hAnsi="Times New Roman"/>
                <w:sz w:val="14"/>
                <w:szCs w:val="14"/>
                <w:color w:val="auto"/>
                <w:w w:val="88"/>
              </w:rPr>
              <w:t>69.12</w:t>
            </w:r>
          </w:p>
        </w:tc>
        <w:tc>
          <w:tcPr>
            <w:tcW w:w="1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363,543</w:t>
            </w:r>
          </w:p>
        </w:tc>
        <w:tc>
          <w:tcPr>
            <w:tcW w:w="220" w:type="dxa"/>
            <w:vAlign w:val="bottom"/>
            <w:tcBorders>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00" w:type="dxa"/>
            <w:vAlign w:val="bottom"/>
            <w:tcBorders>
              <w:left w:val="single" w:sz="8" w:color="auto"/>
            </w:tcBorders>
            <w:gridSpan w:val="3"/>
          </w:tcPr>
          <w:p>
            <w:pPr>
              <w:ind w:left="120"/>
              <w:spacing w:after="0" w:line="122" w:lineRule="exact"/>
              <w:rPr>
                <w:sz w:val="20"/>
                <w:szCs w:val="20"/>
                <w:color w:val="auto"/>
              </w:rPr>
            </w:pPr>
            <w:r>
              <w:rPr>
                <w:rFonts w:ascii="Times New Roman" w:cs="Times New Roman" w:eastAsia="Times New Roman" w:hAnsi="Times New Roman"/>
                <w:sz w:val="14"/>
                <w:szCs w:val="14"/>
                <w:b w:val="1"/>
                <w:bCs w:val="1"/>
                <w:color w:val="auto"/>
              </w:rPr>
              <w:t>Anne H. Lloyd</w:t>
            </w: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1/24/13</w:t>
            </w:r>
          </w:p>
        </w:tc>
        <w:tc>
          <w:tcPr>
            <w:tcW w:w="240" w:type="dxa"/>
            <w:vAlign w:val="bottom"/>
          </w:tcPr>
          <w:p>
            <w:pPr>
              <w:jc w:val="right"/>
              <w:ind w:right="124"/>
              <w:spacing w:after="0" w:line="122" w:lineRule="exact"/>
              <w:rPr>
                <w:sz w:val="20"/>
                <w:szCs w:val="20"/>
                <w:color w:val="auto"/>
              </w:rPr>
            </w:pPr>
            <w:r>
              <w:rPr>
                <w:rFonts w:ascii="Times New Roman" w:cs="Times New Roman" w:eastAsia="Times New Roman" w:hAnsi="Times New Roman"/>
                <w:sz w:val="11"/>
                <w:szCs w:val="11"/>
                <w:color w:val="auto"/>
                <w:w w:val="71"/>
              </w:rPr>
              <w:t>2</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w w:val="95"/>
              </w:rPr>
              <w:t>$384,854</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4"/>
                <w:szCs w:val="14"/>
                <w:color w:val="auto"/>
              </w:rPr>
              <w:t>577,820</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1/24/13</w:t>
            </w:r>
            <w:r>
              <w:rPr>
                <w:rFonts w:ascii="Times New Roman" w:cs="Times New Roman" w:eastAsia="Times New Roman" w:hAnsi="Times New Roman"/>
                <w:sz w:val="17"/>
                <w:szCs w:val="17"/>
                <w:color w:val="auto"/>
                <w:vertAlign w:val="superscript"/>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72,736</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5/24/12</w:t>
            </w:r>
            <w:r>
              <w:rPr>
                <w:rFonts w:ascii="Times New Roman" w:cs="Times New Roman" w:eastAsia="Times New Roman" w:hAnsi="Times New Roman"/>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191,117</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gridSpan w:val="3"/>
          </w:tcPr>
          <w:p>
            <w:pPr>
              <w:jc w:val="right"/>
              <w:ind w:right="124"/>
              <w:spacing w:after="0" w:line="176" w:lineRule="exact"/>
              <w:rPr>
                <w:sz w:val="20"/>
                <w:szCs w:val="20"/>
                <w:color w:val="auto"/>
              </w:rPr>
            </w:pPr>
            <w:r>
              <w:rPr>
                <w:rFonts w:ascii="Times New Roman" w:cs="Times New Roman" w:eastAsia="Times New Roman" w:hAnsi="Times New Roman"/>
                <w:sz w:val="13"/>
                <w:szCs w:val="13"/>
                <w:color w:val="auto"/>
              </w:rPr>
              <w:t>5/24/12</w:t>
            </w:r>
            <w:r>
              <w:rPr>
                <w:rFonts w:ascii="Times New Roman" w:cs="Times New Roman" w:eastAsia="Times New Roman" w:hAnsi="Times New Roman"/>
                <w:sz w:val="20"/>
                <w:szCs w:val="20"/>
                <w:color w:val="auto"/>
                <w:vertAlign w:val="superscript"/>
              </w:rPr>
              <w:t>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5,530</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69.12</w:t>
            </w:r>
          </w:p>
        </w:tc>
        <w:tc>
          <w:tcPr>
            <w:tcW w:w="88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123,208</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Roselyn R. Bar</w:t>
            </w:r>
          </w:p>
        </w:tc>
        <w:tc>
          <w:tcPr>
            <w:tcW w:w="1060" w:type="dxa"/>
            <w:vAlign w:val="bottom"/>
            <w:gridSpan w:val="3"/>
            <w:shd w:val="clear" w:color="auto" w:fill="E0E0E0"/>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1/24/13</w:t>
            </w:r>
            <w:r>
              <w:rPr>
                <w:rFonts w:ascii="Times New Roman" w:cs="Times New Roman" w:eastAsia="Times New Roman" w:hAnsi="Times New Roman"/>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20" w:type="dxa"/>
            <w:vAlign w:val="bottom"/>
            <w:gridSpan w:val="3"/>
            <w:shd w:val="clear" w:color="auto" w:fill="E0E0E0"/>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5"/>
              </w:rPr>
              <w:t>$281,833</w:t>
            </w:r>
          </w:p>
        </w:tc>
        <w:tc>
          <w:tcPr>
            <w:tcW w:w="120" w:type="dxa"/>
            <w:vAlign w:val="bottom"/>
            <w:shd w:val="clear" w:color="auto" w:fill="E0E0E0"/>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E0E0E0"/>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422,750</w:t>
            </w: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restart"/>
            <w:shd w:val="clear" w:color="auto" w:fill="E0E0E0"/>
          </w:tcPr>
          <w:p>
            <w:pPr>
              <w:jc w:val="right"/>
              <w:ind w:right="6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Times New Roman" w:cs="Times New Roman" w:eastAsia="Times New Roman" w:hAnsi="Times New Roman"/>
                <w:sz w:val="14"/>
                <w:szCs w:val="14"/>
                <w:color w:val="auto"/>
              </w:rPr>
              <w:t>58,149</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1/24/13</w:t>
            </w:r>
            <w:r>
              <w:rPr>
                <w:rFonts w:ascii="Times New Roman" w:cs="Times New Roman" w:eastAsia="Times New Roman" w:hAnsi="Times New Roman"/>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continue"/>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10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940" w:type="dxa"/>
            <w:vAlign w:val="bottom"/>
            <w:gridSpan w:val="2"/>
            <w:shd w:val="clear" w:color="auto" w:fill="E0E0E0"/>
          </w:tcPr>
          <w:p>
            <w:pPr>
              <w:jc w:val="right"/>
              <w:ind w:right="124"/>
              <w:spacing w:after="0" w:line="122" w:lineRule="exact"/>
              <w:rPr>
                <w:sz w:val="20"/>
                <w:szCs w:val="20"/>
                <w:color w:val="auto"/>
              </w:rPr>
            </w:pPr>
            <w:r>
              <w:rPr>
                <w:rFonts w:ascii="Times New Roman" w:cs="Times New Roman" w:eastAsia="Times New Roman" w:hAnsi="Times New Roman"/>
                <w:sz w:val="10"/>
                <w:szCs w:val="10"/>
                <w:color w:val="auto"/>
              </w:rPr>
              <w:t>5/24/12</w:t>
            </w:r>
            <w:r>
              <w:rPr>
                <w:rFonts w:ascii="Times New Roman" w:cs="Times New Roman" w:eastAsia="Times New Roman" w:hAnsi="Times New Roman"/>
                <w:sz w:val="14"/>
                <w:szCs w:val="14"/>
                <w:color w:val="auto"/>
                <w:vertAlign w:val="superscript"/>
              </w:rPr>
              <w:t>3</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2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700" w:type="dxa"/>
            <w:vAlign w:val="bottom"/>
            <w:gridSpan w:val="2"/>
            <w:shd w:val="clear" w:color="auto" w:fill="E0E0E0"/>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2,257</w:t>
            </w: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shd w:val="clear" w:color="auto" w:fill="E0E0E0"/>
          </w:tcPr>
          <w:p>
            <w:pPr>
              <w:jc w:val="right"/>
              <w:ind w:right="220"/>
              <w:spacing w:after="0" w:line="122" w:lineRule="exact"/>
              <w:rPr>
                <w:sz w:val="20"/>
                <w:szCs w:val="20"/>
                <w:color w:val="auto"/>
              </w:rPr>
            </w:pPr>
            <w:r>
              <w:rPr>
                <w:rFonts w:ascii="Times New Roman" w:cs="Times New Roman" w:eastAsia="Times New Roman" w:hAnsi="Times New Roman"/>
                <w:sz w:val="14"/>
                <w:szCs w:val="14"/>
                <w:color w:val="auto"/>
              </w:rPr>
              <w:t>156,004</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940" w:type="dxa"/>
            <w:vAlign w:val="bottom"/>
            <w:gridSpan w:val="2"/>
            <w:shd w:val="clear" w:color="auto" w:fill="E0E0E0"/>
          </w:tcPr>
          <w:p>
            <w:pPr>
              <w:jc w:val="right"/>
              <w:ind w:right="124"/>
              <w:spacing w:after="0" w:line="176" w:lineRule="exact"/>
              <w:rPr>
                <w:sz w:val="20"/>
                <w:szCs w:val="20"/>
                <w:color w:val="auto"/>
              </w:rPr>
            </w:pPr>
            <w:r>
              <w:rPr>
                <w:rFonts w:ascii="Times New Roman" w:cs="Times New Roman" w:eastAsia="Times New Roman" w:hAnsi="Times New Roman"/>
                <w:sz w:val="13"/>
                <w:szCs w:val="13"/>
                <w:color w:val="auto"/>
              </w:rPr>
              <w:t>5/24/12</w:t>
            </w:r>
            <w:r>
              <w:rPr>
                <w:rFonts w:ascii="Times New Roman" w:cs="Times New Roman" w:eastAsia="Times New Roman" w:hAnsi="Times New Roman"/>
                <w:sz w:val="20"/>
                <w:szCs w:val="20"/>
                <w:color w:val="auto"/>
                <w:vertAlign w:val="superscript"/>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860" w:type="dxa"/>
            <w:vAlign w:val="bottom"/>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4,513</w:t>
            </w:r>
          </w:p>
        </w:tc>
        <w:tc>
          <w:tcPr>
            <w:tcW w:w="600" w:type="dxa"/>
            <w:vAlign w:val="bottom"/>
            <w:gridSpan w:val="2"/>
            <w:shd w:val="clear" w:color="auto" w:fill="E0E0E0"/>
          </w:tcPr>
          <w:p>
            <w:pPr>
              <w:ind w:left="180"/>
              <w:spacing w:after="0"/>
              <w:rPr>
                <w:sz w:val="20"/>
                <w:szCs w:val="20"/>
                <w:color w:val="auto"/>
              </w:rPr>
            </w:pPr>
            <w:r>
              <w:rPr>
                <w:rFonts w:ascii="Times New Roman" w:cs="Times New Roman" w:eastAsia="Times New Roman" w:hAnsi="Times New Roman"/>
                <w:sz w:val="14"/>
                <w:szCs w:val="14"/>
                <w:color w:val="auto"/>
              </w:rPr>
              <w:t>69.12</w:t>
            </w:r>
          </w:p>
        </w:tc>
        <w:tc>
          <w:tcPr>
            <w:tcW w:w="880" w:type="dxa"/>
            <w:vAlign w:val="bottom"/>
            <w:tcBorders>
              <w:right w:val="single" w:sz="8" w:color="auto"/>
            </w:tcBorders>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4"/>
                <w:szCs w:val="14"/>
                <w:color w:val="auto"/>
              </w:rPr>
              <w:t>100,550</w:t>
            </w:r>
          </w:p>
        </w:tc>
        <w:tc>
          <w:tcPr>
            <w:tcW w:w="0" w:type="dxa"/>
            <w:vAlign w:val="bottom"/>
          </w:tcPr>
          <w:p>
            <w:pPr>
              <w:spacing w:after="0"/>
              <w:rPr>
                <w:sz w:val="1"/>
                <w:szCs w:val="1"/>
                <w:color w:val="auto"/>
              </w:rPr>
            </w:pPr>
          </w:p>
        </w:tc>
      </w:tr>
      <w:tr>
        <w:trPr>
          <w:trHeight w:val="122"/>
        </w:trPr>
        <w:tc>
          <w:tcPr>
            <w:tcW w:w="2600" w:type="dxa"/>
            <w:vAlign w:val="bottom"/>
            <w:tcBorders>
              <w:left w:val="single" w:sz="8" w:color="auto"/>
            </w:tcBorders>
            <w:gridSpan w:val="3"/>
          </w:tcPr>
          <w:p>
            <w:pPr>
              <w:ind w:left="120"/>
              <w:spacing w:after="0" w:line="122" w:lineRule="exact"/>
              <w:rPr>
                <w:sz w:val="20"/>
                <w:szCs w:val="20"/>
                <w:color w:val="auto"/>
              </w:rPr>
            </w:pPr>
            <w:r>
              <w:rPr>
                <w:rFonts w:ascii="Times New Roman" w:cs="Times New Roman" w:eastAsia="Times New Roman" w:hAnsi="Times New Roman"/>
                <w:sz w:val="14"/>
                <w:szCs w:val="14"/>
                <w:b w:val="1"/>
                <w:bCs w:val="1"/>
                <w:color w:val="auto"/>
              </w:rPr>
              <w:t>Donald A. McCunniff</w:t>
            </w:r>
          </w:p>
        </w:tc>
        <w:tc>
          <w:tcPr>
            <w:tcW w:w="120" w:type="dxa"/>
            <w:vAlign w:val="bottom"/>
          </w:tcPr>
          <w:p>
            <w:pPr>
              <w:spacing w:after="0"/>
              <w:rPr>
                <w:sz w:val="10"/>
                <w:szCs w:val="10"/>
                <w:color w:val="auto"/>
              </w:rPr>
            </w:pPr>
          </w:p>
        </w:tc>
        <w:tc>
          <w:tcPr>
            <w:tcW w:w="940" w:type="dxa"/>
            <w:vAlign w:val="bottom"/>
            <w:gridSpan w:val="2"/>
          </w:tcPr>
          <w:p>
            <w:pPr>
              <w:jc w:val="right"/>
              <w:ind w:right="124"/>
              <w:spacing w:after="0" w:line="122" w:lineRule="exact"/>
              <w:rPr>
                <w:sz w:val="20"/>
                <w:szCs w:val="20"/>
                <w:color w:val="auto"/>
              </w:rPr>
            </w:pPr>
            <w:r>
              <w:rPr>
                <w:rFonts w:ascii="Times New Roman" w:cs="Times New Roman" w:eastAsia="Times New Roman" w:hAnsi="Times New Roman"/>
                <w:sz w:val="10"/>
                <w:szCs w:val="10"/>
                <w:color w:val="auto"/>
              </w:rPr>
              <w:t>1/24/13</w:t>
            </w:r>
            <w:r>
              <w:rPr>
                <w:rFonts w:ascii="Times New Roman" w:cs="Times New Roman" w:eastAsia="Times New Roman" w:hAnsi="Times New Roman"/>
                <w:sz w:val="14"/>
                <w:szCs w:val="14"/>
                <w:color w:val="auto"/>
                <w:vertAlign w:val="superscript"/>
              </w:rPr>
              <w:t>2</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w w:val="95"/>
              </w:rPr>
              <w:t>$229,973</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4"/>
                <w:szCs w:val="14"/>
                <w:color w:val="auto"/>
              </w:rPr>
              <w:t>344,960</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1/24/13</w:t>
            </w:r>
            <w:r>
              <w:rPr>
                <w:rFonts w:ascii="Times New Roman" w:cs="Times New Roman" w:eastAsia="Times New Roman" w:hAnsi="Times New Roman"/>
                <w:sz w:val="17"/>
                <w:szCs w:val="17"/>
                <w:color w:val="auto"/>
                <w:vertAlign w:val="superscript"/>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41,974</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5/24/12</w:t>
            </w:r>
            <w:r>
              <w:rPr>
                <w:rFonts w:ascii="Times New Roman" w:cs="Times New Roman" w:eastAsia="Times New Roman" w:hAnsi="Times New Roman"/>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125,729</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gridSpan w:val="3"/>
          </w:tcPr>
          <w:p>
            <w:pPr>
              <w:jc w:val="right"/>
              <w:ind w:right="124"/>
              <w:spacing w:after="0" w:line="176" w:lineRule="exact"/>
              <w:rPr>
                <w:sz w:val="20"/>
                <w:szCs w:val="20"/>
                <w:color w:val="auto"/>
              </w:rPr>
            </w:pPr>
            <w:r>
              <w:rPr>
                <w:rFonts w:ascii="Times New Roman" w:cs="Times New Roman" w:eastAsia="Times New Roman" w:hAnsi="Times New Roman"/>
                <w:sz w:val="13"/>
                <w:szCs w:val="13"/>
                <w:color w:val="auto"/>
              </w:rPr>
              <w:t>5/24/12</w:t>
            </w:r>
            <w:r>
              <w:rPr>
                <w:rFonts w:ascii="Times New Roman" w:cs="Times New Roman" w:eastAsia="Times New Roman" w:hAnsi="Times New Roman"/>
                <w:sz w:val="20"/>
                <w:szCs w:val="20"/>
                <w:color w:val="auto"/>
                <w:vertAlign w:val="superscript"/>
              </w:rPr>
              <w:t>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3,637</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69.12</w:t>
            </w:r>
          </w:p>
        </w:tc>
        <w:tc>
          <w:tcPr>
            <w:tcW w:w="88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81,032</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Dana F. Guzzo</w:t>
            </w:r>
          </w:p>
        </w:tc>
        <w:tc>
          <w:tcPr>
            <w:tcW w:w="1060" w:type="dxa"/>
            <w:vAlign w:val="bottom"/>
            <w:gridSpan w:val="3"/>
            <w:shd w:val="clear" w:color="auto" w:fill="E0E0E0"/>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1/24/13</w:t>
            </w:r>
            <w:r>
              <w:rPr>
                <w:rFonts w:ascii="Times New Roman" w:cs="Times New Roman" w:eastAsia="Times New Roman" w:hAnsi="Times New Roman"/>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20" w:type="dxa"/>
            <w:vAlign w:val="bottom"/>
            <w:gridSpan w:val="3"/>
            <w:shd w:val="clear" w:color="auto" w:fill="E0E0E0"/>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5"/>
              </w:rPr>
              <w:t>$175,782</w:t>
            </w:r>
          </w:p>
        </w:tc>
        <w:tc>
          <w:tcPr>
            <w:tcW w:w="120" w:type="dxa"/>
            <w:vAlign w:val="bottom"/>
            <w:shd w:val="clear" w:color="auto" w:fill="E0E0E0"/>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E0E0E0"/>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263,673</w:t>
            </w: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restart"/>
            <w:shd w:val="clear" w:color="auto" w:fill="E0E0E0"/>
          </w:tcPr>
          <w:p>
            <w:pPr>
              <w:jc w:val="right"/>
              <w:ind w:right="60"/>
              <w:spacing w:after="0"/>
              <w:rPr>
                <w:sz w:val="20"/>
                <w:szCs w:val="20"/>
                <w:color w:val="auto"/>
              </w:rPr>
            </w:pPr>
            <w:r>
              <w:rPr>
                <w:rFonts w:ascii="Times New Roman" w:cs="Times New Roman" w:eastAsia="Times New Roman" w:hAnsi="Times New Roman"/>
                <w:sz w:val="14"/>
                <w:szCs w:val="14"/>
                <w:color w:val="auto"/>
              </w:rPr>
              <w:t>388</w:t>
            </w: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Times New Roman" w:cs="Times New Roman" w:eastAsia="Times New Roman" w:hAnsi="Times New Roman"/>
                <w:sz w:val="14"/>
                <w:szCs w:val="14"/>
                <w:color w:val="auto"/>
              </w:rPr>
              <w:t>38,501</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1/24/13</w:t>
            </w:r>
            <w:r>
              <w:rPr>
                <w:rFonts w:ascii="Times New Roman" w:cs="Times New Roman" w:eastAsia="Times New Roman" w:hAnsi="Times New Roman"/>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continue"/>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10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940" w:type="dxa"/>
            <w:vAlign w:val="bottom"/>
            <w:gridSpan w:val="2"/>
            <w:shd w:val="clear" w:color="auto" w:fill="E0E0E0"/>
          </w:tcPr>
          <w:p>
            <w:pPr>
              <w:jc w:val="right"/>
              <w:ind w:right="124"/>
              <w:spacing w:after="0" w:line="122" w:lineRule="exact"/>
              <w:rPr>
                <w:sz w:val="20"/>
                <w:szCs w:val="20"/>
                <w:color w:val="auto"/>
              </w:rPr>
            </w:pPr>
            <w:r>
              <w:rPr>
                <w:rFonts w:ascii="Times New Roman" w:cs="Times New Roman" w:eastAsia="Times New Roman" w:hAnsi="Times New Roman"/>
                <w:sz w:val="10"/>
                <w:szCs w:val="10"/>
                <w:color w:val="auto"/>
              </w:rPr>
              <w:t>5/24/12</w:t>
            </w:r>
            <w:r>
              <w:rPr>
                <w:rFonts w:ascii="Times New Roman" w:cs="Times New Roman" w:eastAsia="Times New Roman" w:hAnsi="Times New Roman"/>
                <w:sz w:val="14"/>
                <w:szCs w:val="14"/>
                <w:color w:val="auto"/>
                <w:vertAlign w:val="superscript"/>
              </w:rPr>
              <w:t>3</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2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700" w:type="dxa"/>
            <w:vAlign w:val="bottom"/>
            <w:gridSpan w:val="2"/>
            <w:shd w:val="clear" w:color="auto" w:fill="E0E0E0"/>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980</w:t>
            </w: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shd w:val="clear" w:color="auto" w:fill="E0E0E0"/>
          </w:tcPr>
          <w:p>
            <w:pPr>
              <w:jc w:val="right"/>
              <w:ind w:right="220"/>
              <w:spacing w:after="0" w:line="122" w:lineRule="exact"/>
              <w:rPr>
                <w:sz w:val="20"/>
                <w:szCs w:val="20"/>
                <w:color w:val="auto"/>
              </w:rPr>
            </w:pPr>
            <w:r>
              <w:rPr>
                <w:rFonts w:ascii="Times New Roman" w:cs="Times New Roman" w:eastAsia="Times New Roman" w:hAnsi="Times New Roman"/>
                <w:sz w:val="14"/>
                <w:szCs w:val="14"/>
                <w:color w:val="auto"/>
              </w:rPr>
              <w:t>67,738</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940" w:type="dxa"/>
            <w:vAlign w:val="bottom"/>
            <w:gridSpan w:val="2"/>
            <w:shd w:val="clear" w:color="auto" w:fill="E0E0E0"/>
          </w:tcPr>
          <w:p>
            <w:pPr>
              <w:jc w:val="right"/>
              <w:ind w:right="124"/>
              <w:spacing w:after="0" w:line="176" w:lineRule="exact"/>
              <w:rPr>
                <w:sz w:val="20"/>
                <w:szCs w:val="20"/>
                <w:color w:val="auto"/>
              </w:rPr>
            </w:pPr>
            <w:r>
              <w:rPr>
                <w:rFonts w:ascii="Times New Roman" w:cs="Times New Roman" w:eastAsia="Times New Roman" w:hAnsi="Times New Roman"/>
                <w:sz w:val="13"/>
                <w:szCs w:val="13"/>
                <w:color w:val="auto"/>
              </w:rPr>
              <w:t>5/24/12</w:t>
            </w:r>
            <w:r>
              <w:rPr>
                <w:rFonts w:ascii="Times New Roman" w:cs="Times New Roman" w:eastAsia="Times New Roman" w:hAnsi="Times New Roman"/>
                <w:sz w:val="20"/>
                <w:szCs w:val="20"/>
                <w:color w:val="auto"/>
                <w:vertAlign w:val="superscript"/>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860" w:type="dxa"/>
            <w:vAlign w:val="bottom"/>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1,959</w:t>
            </w:r>
          </w:p>
        </w:tc>
        <w:tc>
          <w:tcPr>
            <w:tcW w:w="600" w:type="dxa"/>
            <w:vAlign w:val="bottom"/>
            <w:gridSpan w:val="2"/>
            <w:shd w:val="clear" w:color="auto" w:fill="E0E0E0"/>
          </w:tcPr>
          <w:p>
            <w:pPr>
              <w:ind w:left="180"/>
              <w:spacing w:after="0"/>
              <w:rPr>
                <w:sz w:val="20"/>
                <w:szCs w:val="20"/>
                <w:color w:val="auto"/>
              </w:rPr>
            </w:pPr>
            <w:r>
              <w:rPr>
                <w:rFonts w:ascii="Times New Roman" w:cs="Times New Roman" w:eastAsia="Times New Roman" w:hAnsi="Times New Roman"/>
                <w:sz w:val="14"/>
                <w:szCs w:val="14"/>
                <w:color w:val="auto"/>
              </w:rPr>
              <w:t>69.12</w:t>
            </w:r>
          </w:p>
        </w:tc>
        <w:tc>
          <w:tcPr>
            <w:tcW w:w="880" w:type="dxa"/>
            <w:vAlign w:val="bottom"/>
            <w:tcBorders>
              <w:right w:val="single" w:sz="8" w:color="auto"/>
            </w:tcBorders>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4"/>
                <w:szCs w:val="14"/>
                <w:color w:val="auto"/>
              </w:rPr>
              <w:t>43,647</w:t>
            </w:r>
          </w:p>
        </w:tc>
        <w:tc>
          <w:tcPr>
            <w:tcW w:w="0" w:type="dxa"/>
            <w:vAlign w:val="bottom"/>
          </w:tcPr>
          <w:p>
            <w:pPr>
              <w:spacing w:after="0"/>
              <w:rPr>
                <w:sz w:val="1"/>
                <w:szCs w:val="1"/>
                <w:color w:val="auto"/>
              </w:rPr>
            </w:pPr>
          </w:p>
        </w:tc>
      </w:tr>
      <w:tr>
        <w:trPr>
          <w:trHeight w:val="132"/>
        </w:trPr>
        <w:tc>
          <w:tcPr>
            <w:tcW w:w="2600" w:type="dxa"/>
            <w:vAlign w:val="bottom"/>
            <w:tcBorders>
              <w:left w:val="single" w:sz="8" w:color="auto"/>
            </w:tcBorders>
            <w:gridSpan w:val="3"/>
          </w:tcPr>
          <w:p>
            <w:pPr>
              <w:ind w:left="120"/>
              <w:spacing w:after="0" w:line="132" w:lineRule="exact"/>
              <w:rPr>
                <w:sz w:val="20"/>
                <w:szCs w:val="20"/>
                <w:color w:val="auto"/>
              </w:rPr>
            </w:pPr>
            <w:r>
              <w:rPr>
                <w:rFonts w:ascii="Times New Roman" w:cs="Times New Roman" w:eastAsia="Times New Roman" w:hAnsi="Times New Roman"/>
                <w:sz w:val="14"/>
                <w:szCs w:val="14"/>
                <w:b w:val="1"/>
                <w:bCs w:val="1"/>
                <w:i w:val="1"/>
                <w:iCs w:val="1"/>
                <w:color w:val="auto"/>
              </w:rPr>
              <w:t>Former Executive Officer:</w:t>
            </w:r>
          </w:p>
        </w:tc>
        <w:tc>
          <w:tcPr>
            <w:tcW w:w="106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4"/>
                <w:szCs w:val="14"/>
                <w:color w:val="auto"/>
              </w:rPr>
              <w:t>1/24/13</w:t>
            </w:r>
            <w:r>
              <w:rPr>
                <w:rFonts w:ascii="Times New Roman" w:cs="Times New Roman" w:eastAsia="Times New Roman" w:hAnsi="Times New Roman"/>
                <w:sz w:val="22"/>
                <w:szCs w:val="22"/>
                <w:color w:val="auto"/>
                <w:vertAlign w:val="superscript"/>
              </w:rPr>
              <w:t>2</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00" w:type="dxa"/>
            <w:vAlign w:val="bottom"/>
            <w:tcBorders>
              <w:left w:val="single" w:sz="8" w:color="auto"/>
            </w:tcBorders>
            <w:gridSpan w:val="3"/>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Bruce A. Vaio</w:t>
            </w:r>
          </w:p>
        </w:tc>
        <w:tc>
          <w:tcPr>
            <w:tcW w:w="106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w w:val="95"/>
              </w:rPr>
              <w:t>$400,000</w:t>
            </w:r>
          </w:p>
        </w:tc>
        <w:tc>
          <w:tcPr>
            <w:tcW w:w="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line="139" w:lineRule="exact"/>
              <w:rPr>
                <w:sz w:val="20"/>
                <w:szCs w:val="20"/>
                <w:color w:val="auto"/>
              </w:rPr>
            </w:pPr>
            <w:r>
              <w:rPr>
                <w:rFonts w:ascii="Times New Roman" w:cs="Times New Roman" w:eastAsia="Times New Roman" w:hAnsi="Times New Roman"/>
                <w:sz w:val="14"/>
                <w:szCs w:val="14"/>
                <w:color w:val="auto"/>
              </w:rPr>
              <w:t>600,000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4"/>
              <w:spacing w:after="0" w:line="149" w:lineRule="exact"/>
              <w:rPr>
                <w:sz w:val="20"/>
                <w:szCs w:val="20"/>
                <w:color w:val="auto"/>
              </w:rPr>
            </w:pPr>
            <w:r>
              <w:rPr>
                <w:rFonts w:ascii="Times New Roman" w:cs="Times New Roman" w:eastAsia="Times New Roman" w:hAnsi="Times New Roman"/>
                <w:sz w:val="11"/>
                <w:szCs w:val="11"/>
                <w:color w:val="auto"/>
              </w:rPr>
              <w:t>5/24/12</w:t>
            </w:r>
            <w:r>
              <w:rPr>
                <w:rFonts w:ascii="Times New Roman" w:cs="Times New Roman" w:eastAsia="Times New Roman" w:hAnsi="Times New Roman"/>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191,117</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24"/>
              <w:spacing w:after="0" w:line="176" w:lineRule="exact"/>
              <w:rPr>
                <w:sz w:val="20"/>
                <w:szCs w:val="20"/>
                <w:color w:val="auto"/>
              </w:rPr>
            </w:pPr>
            <w:r>
              <w:rPr>
                <w:rFonts w:ascii="Times New Roman" w:cs="Times New Roman" w:eastAsia="Times New Roman" w:hAnsi="Times New Roman"/>
                <w:sz w:val="13"/>
                <w:szCs w:val="13"/>
                <w:color w:val="auto"/>
              </w:rPr>
              <w:t>5/24/12</w:t>
            </w:r>
            <w:r>
              <w:rPr>
                <w:rFonts w:ascii="Times New Roman" w:cs="Times New Roman" w:eastAsia="Times New Roman" w:hAnsi="Times New Roman"/>
                <w:sz w:val="20"/>
                <w:szCs w:val="20"/>
                <w:color w:val="auto"/>
                <w:vertAlign w:val="superscript"/>
              </w:rPr>
              <w:t>4</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5,530</w:t>
            </w:r>
          </w:p>
        </w:tc>
        <w:tc>
          <w:tcPr>
            <w:tcW w:w="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69.12</w:t>
            </w:r>
          </w:p>
        </w:tc>
        <w:tc>
          <w:tcPr>
            <w:tcW w:w="880" w:type="dxa"/>
            <w:vAlign w:val="bottom"/>
            <w:tcBorders>
              <w:bottom w:val="single" w:sz="8" w:color="auto"/>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123,208</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323" w:right="20" w:hanging="323"/>
        <w:spacing w:after="0" w:line="227" w:lineRule="auto"/>
        <w:tabs>
          <w:tab w:leader="none" w:pos="32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column (d) reflect the target level of annual bonus that could have been earned in 2012 that was paid in 2013 pursuant to the Executive Incentive Plan. The amounts shown in column (e) reflect the maximum level of annual bonus that could have been earned in 2012. There is no threshold amount 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Mandatory deferrals of payments under the Incentive Stock Plan into common stock units are included in column (e) of the Summary Compensation Table on page 51. Mr. Nye does not participate in the Executive Incentive Plan.</w:t>
      </w:r>
    </w:p>
    <w:p>
      <w:pPr>
        <w:spacing w:after="0" w:line="59" w:lineRule="exact"/>
        <w:rPr>
          <w:sz w:val="20"/>
          <w:szCs w:val="20"/>
          <w:color w:val="auto"/>
        </w:rPr>
      </w:pPr>
    </w:p>
    <w:p>
      <w:pPr>
        <w:jc w:val="both"/>
        <w:ind w:left="323" w:right="20" w:hanging="323"/>
        <w:spacing w:after="0" w:line="231" w:lineRule="auto"/>
        <w:tabs>
          <w:tab w:leader="none" w:pos="32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shown in column (i) reflect the amount of cash bonus earned in 2012 but paid in 2013 that was deferred in units of common stock under the Incentive Stock Plan. Participants in this program for 2012 were approved on May 24, 2012. These awards are discussed under the heading </w:t>
      </w:r>
      <w:r>
        <w:rPr>
          <w:rFonts w:ascii="Times New Roman" w:cs="Times New Roman" w:eastAsia="Times New Roman" w:hAnsi="Times New Roman"/>
          <w:sz w:val="14"/>
          <w:szCs w:val="14"/>
          <w:i w:val="1"/>
          <w:iCs w:val="1"/>
          <w:color w:val="auto"/>
        </w:rPr>
        <w:t>Performance-Based Stock Purchase Awards</w:t>
      </w:r>
      <w:r>
        <w:rPr>
          <w:rFonts w:ascii="Times New Roman" w:cs="Times New Roman" w:eastAsia="Times New Roman" w:hAnsi="Times New Roman"/>
          <w:sz w:val="14"/>
          <w:szCs w:val="14"/>
          <w:color w:val="auto"/>
        </w:rPr>
        <w:t xml:space="preserve"> on pages 45 to 47. These awards are also included in columns (d) and (e) of this table and the Summary Compensation Table on page 51. For Mr. Vaio, the amount reported reflects the cash bonus he earned in 2012, which is described under the heading </w:t>
      </w:r>
      <w:r>
        <w:rPr>
          <w:rFonts w:ascii="Times New Roman" w:cs="Times New Roman" w:eastAsia="Times New Roman" w:hAnsi="Times New Roman"/>
          <w:sz w:val="14"/>
          <w:szCs w:val="14"/>
          <w:i w:val="1"/>
          <w:iCs w:val="1"/>
          <w:color w:val="auto"/>
        </w:rPr>
        <w:t xml:space="preserve">Value of Payments Upon Termination </w:t>
      </w:r>
      <w:r>
        <w:rPr>
          <w:rFonts w:ascii="Times New Roman" w:cs="Times New Roman" w:eastAsia="Times New Roman" w:hAnsi="Times New Roman"/>
          <w:sz w:val="14"/>
          <w:szCs w:val="14"/>
          <w:color w:val="auto"/>
        </w:rPr>
        <w:t>on page 60.</w:t>
      </w:r>
    </w:p>
    <w:p>
      <w:pPr>
        <w:spacing w:after="0" w:line="55" w:lineRule="exact"/>
        <w:rPr>
          <w:sz w:val="20"/>
          <w:szCs w:val="20"/>
          <w:color w:val="auto"/>
        </w:rPr>
      </w:pPr>
    </w:p>
    <w:p>
      <w:pPr>
        <w:ind w:left="323" w:right="20" w:hanging="323"/>
        <w:spacing w:after="0" w:line="241" w:lineRule="auto"/>
        <w:tabs>
          <w:tab w:leader="none" w:pos="323"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shown in column (i) reflect the number of shares of restricted stock units granted in 2012 to each of the named executive officers pursuant to the Stock-Based Award Plan. These awards are discussed under the heading </w:t>
      </w:r>
      <w:r>
        <w:rPr>
          <w:rFonts w:ascii="Times New Roman" w:cs="Times New Roman" w:eastAsia="Times New Roman" w:hAnsi="Times New Roman"/>
          <w:sz w:val="14"/>
          <w:szCs w:val="14"/>
          <w:i w:val="1"/>
          <w:iCs w:val="1"/>
          <w:color w:val="auto"/>
        </w:rPr>
        <w:t>LTIP Awards</w:t>
      </w:r>
      <w:r>
        <w:rPr>
          <w:rFonts w:ascii="Times New Roman" w:cs="Times New Roman" w:eastAsia="Times New Roman" w:hAnsi="Times New Roman"/>
          <w:sz w:val="14"/>
          <w:szCs w:val="14"/>
          <w:color w:val="auto"/>
        </w:rPr>
        <w:t xml:space="preserve"> on page 45. These awards are also included in column (e) of the Summary Compensation Table on page 51.</w:t>
      </w:r>
    </w:p>
    <w:p>
      <w:pPr>
        <w:spacing w:after="0" w:line="55" w:lineRule="exact"/>
        <w:rPr>
          <w:sz w:val="20"/>
          <w:szCs w:val="20"/>
          <w:color w:val="auto"/>
        </w:rPr>
      </w:pPr>
    </w:p>
    <w:p>
      <w:pPr>
        <w:ind w:left="323" w:right="20" w:hanging="323"/>
        <w:spacing w:after="0" w:line="321" w:lineRule="auto"/>
        <w:tabs>
          <w:tab w:leader="none" w:pos="323"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amounts shown in column (j) reflect the number of options to purchase shares of Martin Marietta’s common stock granted in 2012 to each of the named executive officers pursuant to the Stock-Based Award Plan. These awards are discussed under the heading </w:t>
      </w:r>
      <w:r>
        <w:rPr>
          <w:rFonts w:ascii="Times New Roman" w:cs="Times New Roman" w:eastAsia="Times New Roman" w:hAnsi="Times New Roman"/>
          <w:sz w:val="12"/>
          <w:szCs w:val="12"/>
          <w:i w:val="1"/>
          <w:iCs w:val="1"/>
          <w:color w:val="auto"/>
        </w:rPr>
        <w:t>LTIP Awards</w:t>
      </w:r>
      <w:r>
        <w:rPr>
          <w:rFonts w:ascii="Times New Roman" w:cs="Times New Roman" w:eastAsia="Times New Roman" w:hAnsi="Times New Roman"/>
          <w:sz w:val="12"/>
          <w:szCs w:val="12"/>
          <w:color w:val="auto"/>
        </w:rPr>
        <w:t xml:space="preserve"> on page 45. These awards are also included in column (f) of the Summary Compensation Table on page 51.</w:t>
      </w:r>
    </w:p>
    <w:p>
      <w:pPr>
        <w:spacing w:after="0" w:line="9" w:lineRule="exact"/>
        <w:rPr>
          <w:sz w:val="20"/>
          <w:szCs w:val="20"/>
          <w:color w:val="auto"/>
        </w:rPr>
      </w:pPr>
    </w:p>
    <w:p>
      <w:pPr>
        <w:ind w:left="323" w:right="20" w:hanging="323"/>
        <w:spacing w:after="0" w:line="241" w:lineRule="auto"/>
        <w:tabs>
          <w:tab w:leader="none" w:pos="32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column (l) reflect the grant date fair value of each equity award computed in accordance with FASB ASC Topic 718. The components of these amounts are included in columns (e), (f) and (i) of the Summary Compensation Table on page 51.</w:t>
      </w:r>
    </w:p>
    <w:p>
      <w:pPr>
        <w:spacing w:after="0" w:line="270"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083"/>
          </w:cols>
          <w:pgMar w:left="437" w:top="461" w:right="379" w:bottom="1440" w:gutter="0" w:footer="0" w:header="0"/>
        </w:sectPr>
      </w:pPr>
    </w:p>
    <w:bookmarkStart w:id="57" w:name="page58"/>
    <w:bookmarkEnd w:id="57"/>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354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435475"/>
                    </a:xfrm>
                    <a:prstGeom prst="rect">
                      <a:avLst/>
                    </a:prstGeom>
                    <a:noFill/>
                  </pic:spPr>
                </pic:pic>
              </a:graphicData>
            </a:graphic>
          </wp:anchor>
        </w:drawing>
        <w:t>Stock-based incentive awards have been a significant component of Martin Marietta’s management compensation. In 1998, the Board of Directors adopted and Martin Marietta’s shareholders approved the Stock-Based Award Plan. In 2006, the shareholders approved amendments to the plan increasing the number of shares of Martin Marietta’s common stock available for restricted stock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w:t>
      </w:r>
    </w:p>
    <w:p>
      <w:pPr>
        <w:spacing w:after="0" w:line="139"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As amended, the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The plan also provides for the automatic grant of non-qualified stock options to non-employee Directors of Martin Marietta on an annual basis, or as otherwise determined by the Board of Directors. Since 2005, Martin Marietta’s long-term compensation program consists of a mix of options and restricted stock units for senior level employees and restricted stock for other select employees.</w:t>
      </w:r>
    </w:p>
    <w:p>
      <w:pPr>
        <w:spacing w:after="0" w:line="1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 xml:space="preserve">The awards granted in 2012 were based on the achievement by Martin Marietta of performance measures described under </w:t>
      </w:r>
      <w:r>
        <w:rPr>
          <w:rFonts w:ascii="Times New Roman" w:cs="Times New Roman" w:eastAsia="Times New Roman" w:hAnsi="Times New Roman"/>
          <w:sz w:val="16"/>
          <w:szCs w:val="16"/>
          <w:i w:val="1"/>
          <w:iCs w:val="1"/>
          <w:color w:val="auto"/>
        </w:rPr>
        <w:t>LTIP Awards</w:t>
      </w:r>
      <w:r>
        <w:rPr>
          <w:rFonts w:ascii="Times New Roman" w:cs="Times New Roman" w:eastAsia="Times New Roman" w:hAnsi="Times New Roman"/>
          <w:sz w:val="16"/>
          <w:szCs w:val="16"/>
          <w:color w:val="auto"/>
        </w:rPr>
        <w:t xml:space="preserve"> on pages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to 47.</w:t>
      </w:r>
    </w:p>
    <w:p>
      <w:pPr>
        <w:spacing w:after="0" w:line="159" w:lineRule="exact"/>
        <w:rPr>
          <w:sz w:val="20"/>
          <w:szCs w:val="20"/>
          <w:color w:val="auto"/>
        </w:rPr>
      </w:pPr>
    </w:p>
    <w:p>
      <w:pPr>
        <w:jc w:val="both"/>
        <w:ind w:firstLine="775"/>
        <w:spacing w:after="0" w:line="258" w:lineRule="auto"/>
        <w:rPr>
          <w:sz w:val="20"/>
          <w:szCs w:val="20"/>
          <w:color w:val="auto"/>
        </w:rPr>
      </w:pPr>
      <w:r>
        <w:rPr>
          <w:rFonts w:ascii="Times New Roman" w:cs="Times New Roman" w:eastAsia="Times New Roman" w:hAnsi="Times New Roman"/>
          <w:sz w:val="18"/>
          <w:szCs w:val="18"/>
          <w:color w:val="auto"/>
        </w:rPr>
        <w:t>A maximum of 5,000,000 shares of Martin Marietta’s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136" w:lineRule="exact"/>
        <w:rPr>
          <w:sz w:val="20"/>
          <w:szCs w:val="20"/>
          <w:color w:val="auto"/>
        </w:rPr>
      </w:pPr>
    </w:p>
    <w:p>
      <w:pPr>
        <w:jc w:val="both"/>
        <w:ind w:firstLine="775"/>
        <w:spacing w:after="0" w:line="288" w:lineRule="auto"/>
        <w:rPr>
          <w:sz w:val="20"/>
          <w:szCs w:val="20"/>
          <w:color w:val="auto"/>
        </w:rPr>
      </w:pPr>
      <w:r>
        <w:rPr>
          <w:rFonts w:ascii="Times New Roman" w:cs="Times New Roman" w:eastAsia="Times New Roman" w:hAnsi="Times New Roman"/>
          <w:sz w:val="16"/>
          <w:szCs w:val="16"/>
          <w:color w:val="auto"/>
        </w:rPr>
        <w:t>Stock option awards to the named executive officers are made by the Committee, upon the recommendation of management of Martin Marietta, except for Mr. Nye, for whom the Committee formulates its own decision, and may be awarded based on past performance or as incentive for future efforts. Under the applicable award agreements, the 2012 options will vest and become exercisable in four equal increments on May 24, 2013, 2014, 2015, and 2016, and expire 8 years from the date of grant. Options awarded in 2012 expire 90 days following termination of employment, except in instances following death, disability or retirement. In the event of death, all outstanding options vest immediately and will expire one year following the date of death. For options awarded in 2012,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Martin Marietta’s executive officers, the Committee, determines that all outstanding options will be unaffected by such retirement. In the event of a change of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060"/>
          </w:cols>
          <w:pgMar w:left="440" w:top="463"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20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120255"/>
                    </a:xfrm>
                    <a:prstGeom prst="rect">
                      <a:avLst/>
                    </a:prstGeom>
                    <a:noFill/>
                  </pic:spPr>
                </pic:pic>
              </a:graphicData>
            </a:graphic>
          </wp:anchor>
        </w:drawing>
        <w:t>Outstanding Equity Awards at Fiscal Year-End</w:t>
      </w:r>
    </w:p>
    <w:p>
      <w:pPr>
        <w:spacing w:after="0" w:line="94" w:lineRule="exact"/>
        <w:rPr>
          <w:sz w:val="20"/>
          <w:szCs w:val="20"/>
          <w:color w:val="auto"/>
        </w:rPr>
      </w:pPr>
    </w:p>
    <w:p>
      <w:pPr>
        <w:jc w:val="both"/>
        <w:ind w:right="20" w:firstLine="775"/>
        <w:spacing w:after="0" w:line="262" w:lineRule="auto"/>
        <w:rPr>
          <w:sz w:val="20"/>
          <w:szCs w:val="20"/>
          <w:color w:val="auto"/>
        </w:rPr>
      </w:pPr>
      <w:r>
        <w:rPr>
          <w:rFonts w:ascii="Times New Roman" w:cs="Times New Roman" w:eastAsia="Times New Roman" w:hAnsi="Times New Roman"/>
          <w:sz w:val="18"/>
          <w:szCs w:val="18"/>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2012.</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80" w:type="dxa"/>
            <w:vAlign w:val="bottom"/>
            <w:tcBorders>
              <w:top w:val="single" w:sz="8" w:color="auto"/>
              <w:left w:val="single" w:sz="8" w:color="auto"/>
              <w:bottom w:val="single" w:sz="8" w:color="E0E0E0"/>
            </w:tcBorders>
            <w:shd w:val="clear" w:color="auto" w:fill="E0E0E0"/>
          </w:tcPr>
          <w:p>
            <w:pPr>
              <w:spacing w:after="0"/>
              <w:rPr>
                <w:sz w:val="22"/>
                <w:szCs w:val="22"/>
                <w:color w:val="auto"/>
              </w:rPr>
            </w:pPr>
          </w:p>
        </w:tc>
        <w:tc>
          <w:tcPr>
            <w:tcW w:w="200" w:type="dxa"/>
            <w:vAlign w:val="bottom"/>
            <w:tcBorders>
              <w:top w:val="single" w:sz="8" w:color="auto"/>
              <w:bottom w:val="single" w:sz="8" w:color="E0E0E0"/>
            </w:tcBorders>
            <w:shd w:val="clear" w:color="auto" w:fill="E0E0E0"/>
          </w:tcPr>
          <w:p>
            <w:pPr>
              <w:spacing w:after="0"/>
              <w:rPr>
                <w:sz w:val="22"/>
                <w:szCs w:val="22"/>
                <w:color w:val="auto"/>
              </w:rPr>
            </w:pPr>
          </w:p>
        </w:tc>
        <w:tc>
          <w:tcPr>
            <w:tcW w:w="840" w:type="dxa"/>
            <w:vAlign w:val="bottom"/>
            <w:tcBorders>
              <w:top w:val="single" w:sz="8" w:color="auto"/>
              <w:bottom w:val="single" w:sz="8" w:color="auto"/>
            </w:tcBorders>
            <w:shd w:val="clear" w:color="auto" w:fill="E0E0E0"/>
          </w:tcPr>
          <w:p>
            <w:pPr>
              <w:spacing w:after="0"/>
              <w:rPr>
                <w:sz w:val="22"/>
                <w:szCs w:val="22"/>
                <w:color w:val="auto"/>
              </w:rPr>
            </w:pPr>
          </w:p>
        </w:tc>
        <w:tc>
          <w:tcPr>
            <w:tcW w:w="2100" w:type="dxa"/>
            <w:vAlign w:val="bottom"/>
            <w:tcBorders>
              <w:top w:val="single" w:sz="8" w:color="auto"/>
              <w:bottom w:val="single" w:sz="8" w:color="auto"/>
            </w:tcBorders>
            <w:gridSpan w:val="2"/>
            <w:shd w:val="clear" w:color="auto" w:fill="E0E0E0"/>
          </w:tcPr>
          <w:p>
            <w:pPr>
              <w:ind w:left="8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20" w:type="dxa"/>
            <w:vAlign w:val="bottom"/>
            <w:tcBorders>
              <w:top w:val="single" w:sz="8" w:color="auto"/>
              <w:bottom w:val="single" w:sz="8" w:color="auto"/>
            </w:tcBorders>
            <w:shd w:val="clear" w:color="auto" w:fill="E0E0E0"/>
          </w:tcPr>
          <w:p>
            <w:pPr>
              <w:spacing w:after="0"/>
              <w:rPr>
                <w:sz w:val="22"/>
                <w:szCs w:val="22"/>
                <w:color w:val="auto"/>
              </w:rPr>
            </w:pPr>
          </w:p>
        </w:tc>
        <w:tc>
          <w:tcPr>
            <w:tcW w:w="780" w:type="dxa"/>
            <w:vAlign w:val="bottom"/>
            <w:tcBorders>
              <w:top w:val="single" w:sz="8" w:color="auto"/>
              <w:bottom w:val="single" w:sz="8" w:color="auto"/>
            </w:tcBorders>
            <w:shd w:val="clear" w:color="auto" w:fill="E0E0E0"/>
          </w:tcPr>
          <w:p>
            <w:pPr>
              <w:spacing w:after="0"/>
              <w:rPr>
                <w:sz w:val="22"/>
                <w:szCs w:val="22"/>
                <w:color w:val="auto"/>
              </w:rPr>
            </w:pPr>
          </w:p>
        </w:tc>
        <w:tc>
          <w:tcPr>
            <w:tcW w:w="260" w:type="dxa"/>
            <w:vAlign w:val="bottom"/>
            <w:tcBorders>
              <w:top w:val="single" w:sz="8" w:color="auto"/>
              <w:bottom w:val="single" w:sz="8" w:color="E0E0E0"/>
            </w:tcBorders>
            <w:shd w:val="clear" w:color="auto" w:fill="E0E0E0"/>
          </w:tcPr>
          <w:p>
            <w:pPr>
              <w:spacing w:after="0"/>
              <w:rPr>
                <w:sz w:val="22"/>
                <w:szCs w:val="22"/>
                <w:color w:val="auto"/>
              </w:rPr>
            </w:pPr>
          </w:p>
        </w:tc>
        <w:tc>
          <w:tcPr>
            <w:tcW w:w="780" w:type="dxa"/>
            <w:vAlign w:val="bottom"/>
            <w:tcBorders>
              <w:top w:val="single" w:sz="8" w:color="auto"/>
              <w:bottom w:val="single" w:sz="8" w:color="auto"/>
            </w:tcBorders>
            <w:shd w:val="clear" w:color="auto" w:fill="E0E0E0"/>
          </w:tcPr>
          <w:p>
            <w:pPr>
              <w:spacing w:after="0"/>
              <w:rPr>
                <w:sz w:val="22"/>
                <w:szCs w:val="22"/>
                <w:color w:val="auto"/>
              </w:rPr>
            </w:pPr>
          </w:p>
        </w:tc>
        <w:tc>
          <w:tcPr>
            <w:tcW w:w="200" w:type="dxa"/>
            <w:vAlign w:val="bottom"/>
            <w:tcBorders>
              <w:top w:val="single" w:sz="8" w:color="auto"/>
              <w:bottom w:val="single" w:sz="8" w:color="auto"/>
            </w:tcBorders>
            <w:shd w:val="clear" w:color="auto" w:fill="E0E0E0"/>
          </w:tcPr>
          <w:p>
            <w:pPr>
              <w:spacing w:after="0"/>
              <w:rPr>
                <w:sz w:val="22"/>
                <w:szCs w:val="22"/>
                <w:color w:val="auto"/>
              </w:rPr>
            </w:pPr>
          </w:p>
        </w:tc>
        <w:tc>
          <w:tcPr>
            <w:tcW w:w="1700" w:type="dxa"/>
            <w:vAlign w:val="bottom"/>
            <w:tcBorders>
              <w:top w:val="single" w:sz="8" w:color="auto"/>
              <w:bottom w:val="single" w:sz="8" w:color="auto"/>
            </w:tcBorders>
            <w:gridSpan w:val="2"/>
            <w:shd w:val="clear" w:color="auto" w:fill="E0E0E0"/>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20" w:type="dxa"/>
            <w:vAlign w:val="bottom"/>
            <w:tcBorders>
              <w:top w:val="single" w:sz="8" w:color="auto"/>
              <w:bottom w:val="single" w:sz="8" w:color="auto"/>
              <w:right w:val="single" w:sz="8" w:color="auto"/>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480" w:type="dxa"/>
            <w:vAlign w:val="bottom"/>
            <w:tcBorders>
              <w:left w:val="single" w:sz="8" w:color="auto"/>
            </w:tcBorders>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840" w:type="dxa"/>
            <w:vAlign w:val="bottom"/>
            <w:shd w:val="clear" w:color="auto" w:fill="E0E0E0"/>
          </w:tcPr>
          <w:p>
            <w:pPr>
              <w:spacing w:after="0"/>
              <w:rPr>
                <w:sz w:val="10"/>
                <w:szCs w:val="10"/>
                <w:color w:val="auto"/>
              </w:rPr>
            </w:pPr>
          </w:p>
        </w:tc>
        <w:tc>
          <w:tcPr>
            <w:tcW w:w="1120" w:type="dxa"/>
            <w:vAlign w:val="bottom"/>
            <w:shd w:val="clear" w:color="auto" w:fill="E0E0E0"/>
          </w:tcPr>
          <w:p>
            <w:pPr>
              <w:spacing w:after="0"/>
              <w:rPr>
                <w:sz w:val="10"/>
                <w:szCs w:val="10"/>
                <w:color w:val="auto"/>
              </w:rPr>
            </w:pPr>
          </w:p>
        </w:tc>
        <w:tc>
          <w:tcPr>
            <w:tcW w:w="980" w:type="dxa"/>
            <w:vAlign w:val="bottom"/>
            <w:shd w:val="clear" w:color="auto" w:fill="E0E0E0"/>
          </w:tcPr>
          <w:p>
            <w:pPr>
              <w:spacing w:after="0"/>
              <w:rPr>
                <w:sz w:val="10"/>
                <w:szCs w:val="10"/>
                <w:color w:val="auto"/>
              </w:rPr>
            </w:pPr>
          </w:p>
        </w:tc>
        <w:tc>
          <w:tcPr>
            <w:tcW w:w="720" w:type="dxa"/>
            <w:vAlign w:val="bottom"/>
            <w:shd w:val="clear" w:color="auto" w:fill="E0E0E0"/>
          </w:tcPr>
          <w:p>
            <w:pPr>
              <w:spacing w:after="0"/>
              <w:rPr>
                <w:sz w:val="10"/>
                <w:szCs w:val="10"/>
                <w:color w:val="auto"/>
              </w:rPr>
            </w:pPr>
          </w:p>
        </w:tc>
        <w:tc>
          <w:tcPr>
            <w:tcW w:w="780" w:type="dxa"/>
            <w:vAlign w:val="bottom"/>
            <w:shd w:val="clear" w:color="auto" w:fill="E0E0E0"/>
          </w:tcPr>
          <w:p>
            <w:pPr>
              <w:spacing w:after="0"/>
              <w:rPr>
                <w:sz w:val="10"/>
                <w:szCs w:val="10"/>
                <w:color w:val="auto"/>
              </w:rPr>
            </w:pPr>
          </w:p>
        </w:tc>
        <w:tc>
          <w:tcPr>
            <w:tcW w:w="260" w:type="dxa"/>
            <w:vAlign w:val="bottom"/>
            <w:shd w:val="clear" w:color="auto" w:fill="E0E0E0"/>
          </w:tcPr>
          <w:p>
            <w:pPr>
              <w:spacing w:after="0"/>
              <w:rPr>
                <w:sz w:val="10"/>
                <w:szCs w:val="10"/>
                <w:color w:val="auto"/>
              </w:rPr>
            </w:pPr>
          </w:p>
        </w:tc>
        <w:tc>
          <w:tcPr>
            <w:tcW w:w="78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700" w:type="dxa"/>
            <w:vAlign w:val="bottom"/>
            <w:shd w:val="clear" w:color="auto" w:fill="E0E0E0"/>
          </w:tcPr>
          <w:p>
            <w:pPr>
              <w:spacing w:after="0"/>
              <w:rPr>
                <w:sz w:val="10"/>
                <w:szCs w:val="10"/>
                <w:color w:val="auto"/>
              </w:rPr>
            </w:pPr>
          </w:p>
        </w:tc>
        <w:tc>
          <w:tcPr>
            <w:tcW w:w="1000" w:type="dxa"/>
            <w:vAlign w:val="bottom"/>
            <w:shd w:val="clear" w:color="auto" w:fill="E0E0E0"/>
          </w:tcPr>
          <w:p>
            <w:pPr>
              <w:spacing w:after="0"/>
              <w:rPr>
                <w:sz w:val="10"/>
                <w:szCs w:val="10"/>
                <w:color w:val="auto"/>
              </w:rPr>
            </w:pPr>
          </w:p>
        </w:tc>
        <w:tc>
          <w:tcPr>
            <w:tcW w:w="1020" w:type="dxa"/>
            <w:vAlign w:val="bottom"/>
            <w:tcBorders>
              <w:right w:val="single" w:sz="8" w:color="auto"/>
            </w:tcBorders>
            <w:shd w:val="clear" w:color="auto" w:fill="E0E0E0"/>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Payout</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Value or</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1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1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Securities</w:t>
            </w: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Units</w:t>
            </w:r>
          </w:p>
        </w:tc>
        <w:tc>
          <w:tcPr>
            <w:tcW w:w="900" w:type="dxa"/>
            <w:vAlign w:val="bottom"/>
            <w:gridSpan w:val="2"/>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1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72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Stock</w:t>
            </w: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 of</w:t>
            </w: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11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7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900" w:type="dxa"/>
            <w:vAlign w:val="bottom"/>
            <w:gridSpan w:val="2"/>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 That</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52"/>
        </w:trPr>
        <w:tc>
          <w:tcPr>
            <w:tcW w:w="2480" w:type="dxa"/>
            <w:vAlign w:val="bottom"/>
            <w:tcBorders>
              <w:left w:val="single" w:sz="8" w:color="auto"/>
            </w:tcBorders>
            <w:shd w:val="clear" w:color="auto" w:fill="E0E0E0"/>
          </w:tcPr>
          <w:p>
            <w:pPr>
              <w:spacing w:after="0"/>
              <w:rPr>
                <w:sz w:val="13"/>
                <w:szCs w:val="13"/>
                <w:color w:val="auto"/>
              </w:rPr>
            </w:pPr>
          </w:p>
        </w:tc>
        <w:tc>
          <w:tcPr>
            <w:tcW w:w="200" w:type="dxa"/>
            <w:vAlign w:val="bottom"/>
            <w:shd w:val="clear" w:color="auto" w:fill="E0E0E0"/>
          </w:tcPr>
          <w:p>
            <w:pPr>
              <w:spacing w:after="0"/>
              <w:rPr>
                <w:sz w:val="13"/>
                <w:szCs w:val="13"/>
                <w:color w:val="auto"/>
              </w:rPr>
            </w:pPr>
          </w:p>
        </w:tc>
        <w:tc>
          <w:tcPr>
            <w:tcW w:w="840" w:type="dxa"/>
            <w:vAlign w:val="bottom"/>
            <w:shd w:val="clear" w:color="auto" w:fill="E0E0E0"/>
          </w:tcPr>
          <w:p>
            <w:pPr>
              <w:jc w:val="center"/>
              <w:ind w:right="72"/>
              <w:spacing w:after="0" w:line="152"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120" w:type="dxa"/>
            <w:vAlign w:val="bottom"/>
            <w:shd w:val="clear" w:color="auto" w:fill="E0E0E0"/>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80" w:type="dxa"/>
            <w:vAlign w:val="bottom"/>
            <w:shd w:val="clear" w:color="auto" w:fill="E0E0E0"/>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20" w:type="dxa"/>
            <w:vAlign w:val="bottom"/>
            <w:shd w:val="clear" w:color="auto" w:fill="E0E0E0"/>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40" w:type="dxa"/>
            <w:vAlign w:val="bottom"/>
            <w:gridSpan w:val="2"/>
            <w:shd w:val="clear" w:color="auto" w:fill="E0E0E0"/>
          </w:tcPr>
          <w:p>
            <w:pPr>
              <w:jc w:val="center"/>
              <w:ind w:right="140"/>
              <w:spacing w:after="0" w:line="152"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shd w:val="clear" w:color="auto" w:fill="E0E0E0"/>
          </w:tcPr>
          <w:p>
            <w:pPr>
              <w:jc w:val="center"/>
              <w:ind w:right="182"/>
              <w:spacing w:after="0" w:line="152"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900" w:type="dxa"/>
            <w:vAlign w:val="bottom"/>
            <w:gridSpan w:val="2"/>
            <w:shd w:val="clear" w:color="auto" w:fill="E0E0E0"/>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000" w:type="dxa"/>
            <w:vAlign w:val="bottom"/>
            <w:shd w:val="clear" w:color="auto" w:fill="E0E0E0"/>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020" w:type="dxa"/>
            <w:vAlign w:val="bottom"/>
            <w:tcBorders>
              <w:right w:val="single" w:sz="8" w:color="auto"/>
            </w:tcBorders>
            <w:shd w:val="clear" w:color="auto" w:fill="E0E0E0"/>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That Have</w:t>
            </w: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2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040" w:type="dxa"/>
            <w:vAlign w:val="bottom"/>
            <w:gridSpan w:val="2"/>
            <w:shd w:val="clear" w:color="auto" w:fill="E0E0E0"/>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780" w:type="dxa"/>
            <w:vAlign w:val="bottom"/>
            <w:shd w:val="clear" w:color="auto" w:fill="E0E0E0"/>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jc w:val="center"/>
              <w:ind w:right="153"/>
              <w:spacing w:after="0" w:line="149" w:lineRule="exact"/>
              <w:rPr>
                <w:sz w:val="20"/>
                <w:szCs w:val="20"/>
                <w:color w:val="auto"/>
              </w:rPr>
            </w:pPr>
            <w:r>
              <w:rPr>
                <w:rFonts w:ascii="Times New Roman" w:cs="Times New Roman" w:eastAsia="Times New Roman" w:hAnsi="Times New Roman"/>
                <w:sz w:val="11"/>
                <w:szCs w:val="11"/>
                <w:b w:val="1"/>
                <w:bCs w:val="1"/>
                <w:color w:val="auto"/>
              </w:rPr>
              <w:t>Vested</w:t>
            </w:r>
            <w:r>
              <w:rPr>
                <w:rFonts w:ascii="Times New Roman" w:cs="Times New Roman" w:eastAsia="Times New Roman" w:hAnsi="Times New Roman"/>
                <w:sz w:val="17"/>
                <w:szCs w:val="17"/>
                <w:b w:val="1"/>
                <w:bCs w:val="1"/>
                <w:color w:val="auto"/>
                <w:vertAlign w:val="superscript"/>
              </w:rPr>
              <w:t>1</w:t>
            </w:r>
          </w:p>
        </w:tc>
        <w:tc>
          <w:tcPr>
            <w:tcW w:w="10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020" w:type="dxa"/>
            <w:vAlign w:val="bottom"/>
            <w:tcBorders>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0" w:type="dxa"/>
            <w:vAlign w:val="bottom"/>
          </w:tcPr>
          <w:p>
            <w:pPr>
              <w:spacing w:after="0"/>
              <w:rPr>
                <w:sz w:val="1"/>
                <w:szCs w:val="1"/>
                <w:color w:val="auto"/>
              </w:rPr>
            </w:pPr>
          </w:p>
        </w:tc>
      </w:tr>
      <w:tr>
        <w:trPr>
          <w:trHeight w:val="176"/>
        </w:trPr>
        <w:tc>
          <w:tcPr>
            <w:tcW w:w="2480" w:type="dxa"/>
            <w:vAlign w:val="bottom"/>
            <w:tcBorders>
              <w:left w:val="single" w:sz="8" w:color="auto"/>
            </w:tcBorders>
            <w:shd w:val="clear" w:color="auto" w:fill="E0E0E0"/>
          </w:tcPr>
          <w:p>
            <w:pPr>
              <w:ind w:left="1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shd w:val="clear" w:color="auto" w:fill="E0E0E0"/>
          </w:tcPr>
          <w:p>
            <w:pPr>
              <w:spacing w:after="0"/>
              <w:rPr>
                <w:sz w:val="15"/>
                <w:szCs w:val="15"/>
                <w:color w:val="auto"/>
              </w:rPr>
            </w:pPr>
          </w:p>
        </w:tc>
        <w:tc>
          <w:tcPr>
            <w:tcW w:w="840" w:type="dxa"/>
            <w:vAlign w:val="bottom"/>
            <w:shd w:val="clear" w:color="auto" w:fill="E0E0E0"/>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112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9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shd w:val="clear" w:color="auto" w:fill="E0E0E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780" w:type="dxa"/>
            <w:vAlign w:val="bottom"/>
            <w:shd w:val="clear" w:color="auto" w:fill="E0E0E0"/>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shd w:val="clear" w:color="auto" w:fill="E0E0E0"/>
          </w:tcPr>
          <w:p>
            <w:pPr>
              <w:spacing w:after="0"/>
              <w:rPr>
                <w:sz w:val="15"/>
                <w:szCs w:val="15"/>
                <w:color w:val="auto"/>
              </w:rPr>
            </w:pPr>
          </w:p>
        </w:tc>
        <w:tc>
          <w:tcPr>
            <w:tcW w:w="700" w:type="dxa"/>
            <w:vAlign w:val="bottom"/>
            <w:shd w:val="clear" w:color="auto" w:fill="E0E0E0"/>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Borders>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56"/>
        </w:trPr>
        <w:tc>
          <w:tcPr>
            <w:tcW w:w="2480" w:type="dxa"/>
            <w:vAlign w:val="bottom"/>
            <w:tcBorders>
              <w:left w:val="single" w:sz="8" w:color="auto"/>
              <w:bottom w:val="single" w:sz="8" w:color="auto"/>
            </w:tcBorders>
            <w:shd w:val="clear" w:color="auto" w:fill="E0E0E0"/>
          </w:tcPr>
          <w:p>
            <w:pPr>
              <w:ind w:left="122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Borders>
              <w:bottom w:val="single" w:sz="8" w:color="auto"/>
            </w:tcBorders>
            <w:shd w:val="clear" w:color="auto" w:fill="E0E0E0"/>
          </w:tcPr>
          <w:p>
            <w:pPr>
              <w:spacing w:after="0"/>
              <w:rPr>
                <w:sz w:val="13"/>
                <w:szCs w:val="13"/>
                <w:color w:val="auto"/>
              </w:rPr>
            </w:pPr>
          </w:p>
        </w:tc>
        <w:tc>
          <w:tcPr>
            <w:tcW w:w="840" w:type="dxa"/>
            <w:vAlign w:val="bottom"/>
            <w:tcBorders>
              <w:bottom w:val="single" w:sz="8" w:color="auto"/>
            </w:tcBorders>
            <w:shd w:val="clear" w:color="auto" w:fill="E0E0E0"/>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120" w:type="dxa"/>
            <w:vAlign w:val="bottom"/>
            <w:tcBorders>
              <w:bottom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9"/>
              </w:rPr>
              <w:t>(c)</w:t>
            </w:r>
          </w:p>
        </w:tc>
        <w:tc>
          <w:tcPr>
            <w:tcW w:w="980" w:type="dxa"/>
            <w:vAlign w:val="bottom"/>
            <w:tcBorders>
              <w:bottom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720" w:type="dxa"/>
            <w:vAlign w:val="bottom"/>
            <w:tcBorders>
              <w:bottom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1040" w:type="dxa"/>
            <w:vAlign w:val="bottom"/>
            <w:tcBorders>
              <w:bottom w:val="single" w:sz="8" w:color="auto"/>
            </w:tcBorders>
            <w:gridSpan w:val="2"/>
            <w:shd w:val="clear" w:color="auto" w:fill="E0E0E0"/>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780" w:type="dxa"/>
            <w:vAlign w:val="bottom"/>
            <w:tcBorders>
              <w:bottom w:val="single" w:sz="8" w:color="auto"/>
            </w:tcBorders>
            <w:shd w:val="clear" w:color="auto" w:fill="E0E0E0"/>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200" w:type="dxa"/>
            <w:vAlign w:val="bottom"/>
            <w:tcBorders>
              <w:bottom w:val="single" w:sz="8" w:color="auto"/>
            </w:tcBorders>
            <w:shd w:val="clear" w:color="auto" w:fill="E0E0E0"/>
          </w:tcPr>
          <w:p>
            <w:pPr>
              <w:spacing w:after="0"/>
              <w:rPr>
                <w:sz w:val="13"/>
                <w:szCs w:val="13"/>
                <w:color w:val="auto"/>
              </w:rPr>
            </w:pPr>
          </w:p>
        </w:tc>
        <w:tc>
          <w:tcPr>
            <w:tcW w:w="700" w:type="dxa"/>
            <w:vAlign w:val="bottom"/>
            <w:tcBorders>
              <w:bottom w:val="single" w:sz="8" w:color="auto"/>
            </w:tcBorders>
            <w:shd w:val="clear" w:color="auto" w:fill="E0E0E0"/>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w w:val="93"/>
              </w:rPr>
              <w:t>(h)</w:t>
            </w:r>
          </w:p>
        </w:tc>
        <w:tc>
          <w:tcPr>
            <w:tcW w:w="1000" w:type="dxa"/>
            <w:vAlign w:val="bottom"/>
            <w:tcBorders>
              <w:bottom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1020" w:type="dxa"/>
            <w:vAlign w:val="bottom"/>
            <w:tcBorders>
              <w:bottom w:val="single" w:sz="8" w:color="auto"/>
              <w:right w:val="single" w:sz="8" w:color="auto"/>
            </w:tcBorders>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(j)</w:t>
            </w:r>
          </w:p>
        </w:tc>
        <w:tc>
          <w:tcPr>
            <w:tcW w:w="0" w:type="dxa"/>
            <w:vAlign w:val="bottom"/>
          </w:tcPr>
          <w:p>
            <w:pPr>
              <w:spacing w:after="0"/>
              <w:rPr>
                <w:sz w:val="1"/>
                <w:szCs w:val="1"/>
                <w:color w:val="auto"/>
              </w:rPr>
            </w:pPr>
          </w:p>
        </w:tc>
      </w:tr>
      <w:tr>
        <w:trPr>
          <w:trHeight w:val="122"/>
        </w:trPr>
        <w:tc>
          <w:tcPr>
            <w:tcW w:w="2480" w:type="dxa"/>
            <w:vAlign w:val="bottom"/>
            <w:tcBorders>
              <w:left w:val="single" w:sz="8" w:color="auto"/>
            </w:tcBorders>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840" w:type="dxa"/>
            <w:vAlign w:val="bottom"/>
            <w:shd w:val="clear" w:color="auto" w:fill="E0E0E0"/>
          </w:tcPr>
          <w:p>
            <w:pPr>
              <w:jc w:val="right"/>
              <w:ind w:right="52"/>
              <w:spacing w:after="0" w:line="122" w:lineRule="exact"/>
              <w:rPr>
                <w:sz w:val="20"/>
                <w:szCs w:val="20"/>
                <w:color w:val="auto"/>
              </w:rPr>
            </w:pPr>
            <w:r>
              <w:rPr>
                <w:rFonts w:ascii="Times New Roman" w:cs="Times New Roman" w:eastAsia="Times New Roman" w:hAnsi="Times New Roman"/>
                <w:sz w:val="14"/>
                <w:szCs w:val="14"/>
                <w:color w:val="auto"/>
              </w:rPr>
              <w:t>13,165</w:t>
            </w:r>
          </w:p>
        </w:tc>
        <w:tc>
          <w:tcPr>
            <w:tcW w:w="1120" w:type="dxa"/>
            <w:vAlign w:val="bottom"/>
            <w:shd w:val="clear" w:color="auto" w:fill="E0E0E0"/>
          </w:tcPr>
          <w:p>
            <w:pPr>
              <w:jc w:val="right"/>
              <w:ind w:right="116"/>
              <w:spacing w:after="0" w:line="122"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0"/>
                <w:szCs w:val="10"/>
                <w:color w:val="auto"/>
              </w:rPr>
            </w:pPr>
          </w:p>
        </w:tc>
        <w:tc>
          <w:tcPr>
            <w:tcW w:w="720" w:type="dxa"/>
            <w:vAlign w:val="bottom"/>
            <w:shd w:val="clear" w:color="auto" w:fill="E0E0E0"/>
          </w:tcPr>
          <w:p>
            <w:pPr>
              <w:jc w:val="right"/>
              <w:ind w:right="72"/>
              <w:spacing w:after="0" w:line="122" w:lineRule="exact"/>
              <w:rPr>
                <w:sz w:val="20"/>
                <w:szCs w:val="20"/>
                <w:color w:val="auto"/>
              </w:rPr>
            </w:pPr>
            <w:r>
              <w:rPr>
                <w:rFonts w:ascii="Times New Roman" w:cs="Times New Roman" w:eastAsia="Times New Roman" w:hAnsi="Times New Roman"/>
                <w:sz w:val="14"/>
                <w:szCs w:val="14"/>
                <w:color w:val="auto"/>
              </w:rPr>
              <w:t>151.92</w:t>
            </w:r>
          </w:p>
        </w:tc>
        <w:tc>
          <w:tcPr>
            <w:tcW w:w="1040" w:type="dxa"/>
            <w:vAlign w:val="bottom"/>
            <w:gridSpan w:val="2"/>
            <w:shd w:val="clear" w:color="auto" w:fill="E0E0E0"/>
          </w:tcPr>
          <w:p>
            <w:pPr>
              <w:jc w:val="right"/>
              <w:ind w:right="260"/>
              <w:spacing w:after="0" w:line="122" w:lineRule="exact"/>
              <w:rPr>
                <w:sz w:val="20"/>
                <w:szCs w:val="20"/>
                <w:color w:val="auto"/>
              </w:rPr>
            </w:pPr>
            <w:r>
              <w:rPr>
                <w:rFonts w:ascii="Times New Roman" w:cs="Times New Roman" w:eastAsia="Times New Roman" w:hAnsi="Times New Roman"/>
                <w:sz w:val="14"/>
                <w:szCs w:val="14"/>
                <w:color w:val="auto"/>
              </w:rPr>
              <w:t>5/22/2015</w:t>
            </w:r>
          </w:p>
        </w:tc>
        <w:tc>
          <w:tcPr>
            <w:tcW w:w="780" w:type="dxa"/>
            <w:vAlign w:val="bottom"/>
            <w:shd w:val="clear" w:color="auto" w:fill="E0E0E0"/>
          </w:tcPr>
          <w:p>
            <w:pPr>
              <w:jc w:val="right"/>
              <w:ind w:right="122"/>
              <w:spacing w:after="0" w:line="122" w:lineRule="exact"/>
              <w:rPr>
                <w:sz w:val="20"/>
                <w:szCs w:val="20"/>
                <w:color w:val="auto"/>
              </w:rPr>
            </w:pPr>
            <w:r>
              <w:rPr>
                <w:rFonts w:ascii="Times New Roman" w:cs="Times New Roman" w:eastAsia="Times New Roman" w:hAnsi="Times New Roman"/>
                <w:sz w:val="10"/>
                <w:szCs w:val="10"/>
                <w:color w:val="auto"/>
              </w:rPr>
              <w:t>7,520</w:t>
            </w:r>
            <w:r>
              <w:rPr>
                <w:rFonts w:ascii="Times New Roman" w:cs="Times New Roman" w:eastAsia="Times New Roman" w:hAnsi="Times New Roman"/>
                <w:sz w:val="14"/>
                <w:szCs w:val="14"/>
                <w:color w:val="auto"/>
                <w:vertAlign w:val="superscript"/>
              </w:rPr>
              <w:t>6</w:t>
            </w:r>
          </w:p>
        </w:tc>
        <w:tc>
          <w:tcPr>
            <w:tcW w:w="200" w:type="dxa"/>
            <w:vAlign w:val="bottom"/>
            <w:shd w:val="clear" w:color="auto" w:fill="E0E0E0"/>
          </w:tcPr>
          <w:p>
            <w:pPr>
              <w:ind w:left="120"/>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22" w:lineRule="exact"/>
              <w:rPr>
                <w:sz w:val="20"/>
                <w:szCs w:val="20"/>
                <w:color w:val="auto"/>
              </w:rPr>
            </w:pPr>
            <w:r>
              <w:rPr>
                <w:rFonts w:ascii="Times New Roman" w:cs="Times New Roman" w:eastAsia="Times New Roman" w:hAnsi="Times New Roman"/>
                <w:sz w:val="14"/>
                <w:szCs w:val="14"/>
                <w:color w:val="auto"/>
              </w:rPr>
              <w:t>708,986</w:t>
            </w:r>
          </w:p>
        </w:tc>
        <w:tc>
          <w:tcPr>
            <w:tcW w:w="1000" w:type="dxa"/>
            <w:vAlign w:val="bottom"/>
            <w:shd w:val="clear" w:color="auto" w:fill="E0E0E0"/>
          </w:tcPr>
          <w:p>
            <w:pPr>
              <w:spacing w:after="0"/>
              <w:rPr>
                <w:sz w:val="10"/>
                <w:szCs w:val="10"/>
                <w:color w:val="auto"/>
              </w:rPr>
            </w:pPr>
          </w:p>
        </w:tc>
        <w:tc>
          <w:tcPr>
            <w:tcW w:w="10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15,707</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117.77</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5/28/2016</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5,598</w:t>
            </w:r>
            <w:r>
              <w:rPr>
                <w:rFonts w:ascii="Times New Roman" w:cs="Times New Roman" w:eastAsia="Times New Roman" w:hAnsi="Times New Roman"/>
                <w:sz w:val="17"/>
                <w:szCs w:val="17"/>
                <w:color w:val="auto"/>
                <w:vertAlign w:val="superscript"/>
              </w:rPr>
              <w:t>7</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527,779</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vMerge w:val="restart"/>
            <w:shd w:val="clear" w:color="auto" w:fill="E0E0E0"/>
          </w:tcPr>
          <w:p>
            <w:pPr>
              <w:ind w:left="120"/>
              <w:spacing w:after="0"/>
              <w:rPr>
                <w:sz w:val="20"/>
                <w:szCs w:val="20"/>
                <w:color w:val="auto"/>
              </w:rPr>
            </w:pPr>
            <w:r>
              <w:rPr>
                <w:rFonts w:ascii="Times New Roman" w:cs="Times New Roman" w:eastAsia="Times New Roman" w:hAnsi="Times New Roman"/>
                <w:sz w:val="14"/>
                <w:szCs w:val="14"/>
                <w:b w:val="1"/>
                <w:bCs w:val="1"/>
                <w:color w:val="auto"/>
              </w:rPr>
              <w:t>C. Howard Nye</w:t>
            </w: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11,279</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3,760</w:t>
            </w:r>
            <w:r>
              <w:rPr>
                <w:rFonts w:ascii="Times New Roman" w:cs="Times New Roman" w:eastAsia="Times New Roman" w:hAnsi="Times New Roman"/>
                <w:sz w:val="17"/>
                <w:szCs w:val="17"/>
                <w:color w:val="auto"/>
                <w:vertAlign w:val="superscript"/>
              </w:rPr>
              <w:t>2</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79.79</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5/27/2017</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6,307</w:t>
            </w:r>
            <w:r>
              <w:rPr>
                <w:rFonts w:ascii="Times New Roman" w:cs="Times New Roman" w:eastAsia="Times New Roman" w:hAnsi="Times New Roman"/>
                <w:sz w:val="17"/>
                <w:szCs w:val="17"/>
                <w:color w:val="auto"/>
                <w:vertAlign w:val="superscript"/>
              </w:rPr>
              <w:t>8</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594,624</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80" w:type="dxa"/>
            <w:vAlign w:val="bottom"/>
            <w:tcBorders>
              <w:left w:val="single" w:sz="8" w:color="auto"/>
            </w:tcBorders>
            <w:vMerge w:val="continue"/>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840" w:type="dxa"/>
            <w:vAlign w:val="bottom"/>
            <w:vMerge w:val="restart"/>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5,598</w:t>
            </w:r>
          </w:p>
        </w:tc>
        <w:tc>
          <w:tcPr>
            <w:tcW w:w="1120" w:type="dxa"/>
            <w:vAlign w:val="bottom"/>
            <w:vMerge w:val="restart"/>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5,598</w:t>
            </w:r>
            <w:r>
              <w:rPr>
                <w:rFonts w:ascii="Times New Roman" w:cs="Times New Roman" w:eastAsia="Times New Roman" w:hAnsi="Times New Roman"/>
                <w:sz w:val="17"/>
                <w:szCs w:val="17"/>
                <w:color w:val="auto"/>
                <w:vertAlign w:val="superscript"/>
              </w:rPr>
              <w:t>3</w:t>
            </w:r>
          </w:p>
        </w:tc>
        <w:tc>
          <w:tcPr>
            <w:tcW w:w="980" w:type="dxa"/>
            <w:vAlign w:val="bottom"/>
            <w:shd w:val="clear" w:color="auto" w:fill="E0E0E0"/>
          </w:tcPr>
          <w:p>
            <w:pPr>
              <w:spacing w:after="0"/>
              <w:rPr>
                <w:sz w:val="10"/>
                <w:szCs w:val="10"/>
                <w:color w:val="auto"/>
              </w:rPr>
            </w:pPr>
          </w:p>
        </w:tc>
        <w:tc>
          <w:tcPr>
            <w:tcW w:w="720" w:type="dxa"/>
            <w:vAlign w:val="bottom"/>
            <w:vMerge w:val="restart"/>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95.27</w:t>
            </w:r>
          </w:p>
        </w:tc>
        <w:tc>
          <w:tcPr>
            <w:tcW w:w="1040" w:type="dxa"/>
            <w:vAlign w:val="bottom"/>
            <w:gridSpan w:val="2"/>
            <w:vMerge w:val="restart"/>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5/27/2018</w:t>
            </w:r>
          </w:p>
        </w:tc>
        <w:tc>
          <w:tcPr>
            <w:tcW w:w="780" w:type="dxa"/>
            <w:vAlign w:val="bottom"/>
            <w:vMerge w:val="restart"/>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8,159</w:t>
            </w:r>
            <w:r>
              <w:rPr>
                <w:rFonts w:ascii="Times New Roman" w:cs="Times New Roman" w:eastAsia="Times New Roman" w:hAnsi="Times New Roman"/>
                <w:sz w:val="17"/>
                <w:szCs w:val="17"/>
                <w:color w:val="auto"/>
                <w:vertAlign w:val="superscript"/>
              </w:rPr>
              <w:t>9</w:t>
            </w:r>
          </w:p>
        </w:tc>
        <w:tc>
          <w:tcPr>
            <w:tcW w:w="200" w:type="dxa"/>
            <w:vAlign w:val="bottom"/>
            <w:vMerge w:val="restart"/>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769,231</w:t>
            </w:r>
          </w:p>
        </w:tc>
        <w:tc>
          <w:tcPr>
            <w:tcW w:w="1000" w:type="dxa"/>
            <w:vAlign w:val="bottom"/>
            <w:shd w:val="clear" w:color="auto" w:fill="E0E0E0"/>
          </w:tcPr>
          <w:p>
            <w:pPr>
              <w:spacing w:after="0"/>
              <w:rPr>
                <w:sz w:val="10"/>
                <w:szCs w:val="10"/>
                <w:color w:val="auto"/>
              </w:rPr>
            </w:pPr>
          </w:p>
        </w:tc>
        <w:tc>
          <w:tcPr>
            <w:tcW w:w="10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480" w:type="dxa"/>
            <w:vAlign w:val="bottom"/>
            <w:tcBorders>
              <w:left w:val="single" w:sz="8" w:color="auto"/>
            </w:tcBorders>
            <w:shd w:val="clear" w:color="auto" w:fill="E0E0E0"/>
          </w:tcPr>
          <w:p>
            <w:pPr>
              <w:spacing w:after="0"/>
              <w:rPr>
                <w:sz w:val="2"/>
                <w:szCs w:val="2"/>
                <w:color w:val="auto"/>
              </w:rPr>
            </w:pPr>
          </w:p>
        </w:tc>
        <w:tc>
          <w:tcPr>
            <w:tcW w:w="200" w:type="dxa"/>
            <w:vAlign w:val="bottom"/>
            <w:shd w:val="clear" w:color="auto" w:fill="E0E0E0"/>
          </w:tcPr>
          <w:p>
            <w:pPr>
              <w:spacing w:after="0"/>
              <w:rPr>
                <w:sz w:val="2"/>
                <w:szCs w:val="2"/>
                <w:color w:val="auto"/>
              </w:rPr>
            </w:pPr>
          </w:p>
        </w:tc>
        <w:tc>
          <w:tcPr>
            <w:tcW w:w="840" w:type="dxa"/>
            <w:vAlign w:val="bottom"/>
            <w:vMerge w:val="continue"/>
            <w:shd w:val="clear" w:color="auto" w:fill="E0E0E0"/>
          </w:tcPr>
          <w:p>
            <w:pPr>
              <w:spacing w:after="0"/>
              <w:rPr>
                <w:sz w:val="2"/>
                <w:szCs w:val="2"/>
                <w:color w:val="auto"/>
              </w:rPr>
            </w:pPr>
          </w:p>
        </w:tc>
        <w:tc>
          <w:tcPr>
            <w:tcW w:w="1120" w:type="dxa"/>
            <w:vAlign w:val="bottom"/>
            <w:vMerge w:val="continue"/>
            <w:shd w:val="clear" w:color="auto" w:fill="E0E0E0"/>
          </w:tcPr>
          <w:p>
            <w:pPr>
              <w:spacing w:after="0"/>
              <w:rPr>
                <w:sz w:val="2"/>
                <w:szCs w:val="2"/>
                <w:color w:val="auto"/>
              </w:rPr>
            </w:pPr>
          </w:p>
        </w:tc>
        <w:tc>
          <w:tcPr>
            <w:tcW w:w="980" w:type="dxa"/>
            <w:vAlign w:val="bottom"/>
            <w:shd w:val="clear" w:color="auto" w:fill="E0E0E0"/>
          </w:tcPr>
          <w:p>
            <w:pPr>
              <w:spacing w:after="0"/>
              <w:rPr>
                <w:sz w:val="2"/>
                <w:szCs w:val="2"/>
                <w:color w:val="auto"/>
              </w:rPr>
            </w:pPr>
          </w:p>
        </w:tc>
        <w:tc>
          <w:tcPr>
            <w:tcW w:w="720" w:type="dxa"/>
            <w:vAlign w:val="bottom"/>
            <w:vMerge w:val="continue"/>
            <w:shd w:val="clear" w:color="auto" w:fill="E0E0E0"/>
          </w:tcPr>
          <w:p>
            <w:pPr>
              <w:spacing w:after="0"/>
              <w:rPr>
                <w:sz w:val="2"/>
                <w:szCs w:val="2"/>
                <w:color w:val="auto"/>
              </w:rPr>
            </w:pPr>
          </w:p>
        </w:tc>
        <w:tc>
          <w:tcPr>
            <w:tcW w:w="1040" w:type="dxa"/>
            <w:vAlign w:val="bottom"/>
            <w:gridSpan w:val="2"/>
            <w:vMerge w:val="continue"/>
            <w:shd w:val="clear" w:color="auto" w:fill="E0E0E0"/>
          </w:tcPr>
          <w:p>
            <w:pPr>
              <w:spacing w:after="0"/>
              <w:rPr>
                <w:sz w:val="2"/>
                <w:szCs w:val="2"/>
                <w:color w:val="auto"/>
              </w:rPr>
            </w:pPr>
          </w:p>
        </w:tc>
        <w:tc>
          <w:tcPr>
            <w:tcW w:w="780" w:type="dxa"/>
            <w:vAlign w:val="bottom"/>
            <w:vMerge w:val="continue"/>
            <w:shd w:val="clear" w:color="auto" w:fill="E0E0E0"/>
          </w:tcPr>
          <w:p>
            <w:pPr>
              <w:spacing w:after="0"/>
              <w:rPr>
                <w:sz w:val="2"/>
                <w:szCs w:val="2"/>
                <w:color w:val="auto"/>
              </w:rPr>
            </w:pPr>
          </w:p>
        </w:tc>
        <w:tc>
          <w:tcPr>
            <w:tcW w:w="200" w:type="dxa"/>
            <w:vAlign w:val="bottom"/>
            <w:vMerge w:val="continue"/>
            <w:shd w:val="clear" w:color="auto" w:fill="E0E0E0"/>
          </w:tcPr>
          <w:p>
            <w:pPr>
              <w:spacing w:after="0"/>
              <w:rPr>
                <w:sz w:val="2"/>
                <w:szCs w:val="2"/>
                <w:color w:val="auto"/>
              </w:rPr>
            </w:pPr>
          </w:p>
        </w:tc>
        <w:tc>
          <w:tcPr>
            <w:tcW w:w="700" w:type="dxa"/>
            <w:vAlign w:val="bottom"/>
            <w:vMerge w:val="continue"/>
            <w:shd w:val="clear" w:color="auto" w:fill="E0E0E0"/>
          </w:tcPr>
          <w:p>
            <w:pPr>
              <w:spacing w:after="0"/>
              <w:rPr>
                <w:sz w:val="2"/>
                <w:szCs w:val="2"/>
                <w:color w:val="auto"/>
              </w:rPr>
            </w:pPr>
          </w:p>
        </w:tc>
        <w:tc>
          <w:tcPr>
            <w:tcW w:w="1000" w:type="dxa"/>
            <w:vAlign w:val="bottom"/>
            <w:shd w:val="clear" w:color="auto" w:fill="E0E0E0"/>
          </w:tcPr>
          <w:p>
            <w:pPr>
              <w:spacing w:after="0"/>
              <w:rPr>
                <w:sz w:val="2"/>
                <w:szCs w:val="2"/>
                <w:color w:val="auto"/>
              </w:rPr>
            </w:pPr>
          </w:p>
        </w:tc>
        <w:tc>
          <w:tcPr>
            <w:tcW w:w="1020" w:type="dxa"/>
            <w:vAlign w:val="bottom"/>
            <w:tcBorders>
              <w:right w:val="single" w:sz="8" w:color="auto"/>
            </w:tcBorders>
            <w:shd w:val="clear" w:color="auto" w:fill="E0E0E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40" w:type="dxa"/>
            <w:vAlign w:val="bottom"/>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9,457</w:t>
            </w:r>
            <w:r>
              <w:rPr>
                <w:rFonts w:ascii="Times New Roman" w:cs="Times New Roman" w:eastAsia="Times New Roman" w:hAnsi="Times New Roman"/>
                <w:sz w:val="17"/>
                <w:szCs w:val="17"/>
                <w:color w:val="auto"/>
                <w:vertAlign w:val="superscript"/>
              </w:rPr>
              <w:t>4</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86.90</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5/12/2019</w:t>
            </w:r>
          </w:p>
        </w:tc>
        <w:tc>
          <w:tcPr>
            <w:tcW w:w="780" w:type="dxa"/>
            <w:vAlign w:val="bottom"/>
            <w:shd w:val="clear" w:color="auto" w:fill="E0E0E0"/>
          </w:tcPr>
          <w:p>
            <w:pPr>
              <w:jc w:val="right"/>
              <w:ind w:right="62"/>
              <w:spacing w:after="0" w:line="149" w:lineRule="exact"/>
              <w:rPr>
                <w:sz w:val="20"/>
                <w:szCs w:val="20"/>
                <w:color w:val="auto"/>
              </w:rPr>
            </w:pPr>
            <w:r>
              <w:rPr>
                <w:rFonts w:ascii="Times New Roman" w:cs="Times New Roman" w:eastAsia="Times New Roman" w:hAnsi="Times New Roman"/>
                <w:sz w:val="11"/>
                <w:szCs w:val="11"/>
                <w:color w:val="auto"/>
              </w:rPr>
              <w:t>3,099</w:t>
            </w:r>
            <w:r>
              <w:rPr>
                <w:rFonts w:ascii="Times New Roman" w:cs="Times New Roman" w:eastAsia="Times New Roman" w:hAnsi="Times New Roman"/>
                <w:sz w:val="17"/>
                <w:szCs w:val="17"/>
                <w:color w:val="auto"/>
                <w:vertAlign w:val="superscript"/>
              </w:rPr>
              <w:t>10</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292,174</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80" w:type="dxa"/>
            <w:vAlign w:val="bottom"/>
            <w:tcBorders>
              <w:left w:val="single" w:sz="8" w:color="auto"/>
            </w:tcBorders>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840" w:type="dxa"/>
            <w:vAlign w:val="bottom"/>
            <w:shd w:val="clear" w:color="auto" w:fill="E0E0E0"/>
          </w:tcPr>
          <w:p>
            <w:pPr>
              <w:jc w:val="right"/>
              <w:ind w:right="52"/>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shd w:val="clear" w:color="auto" w:fill="E0E0E0"/>
          </w:tcPr>
          <w:p>
            <w:pPr>
              <w:jc w:val="right"/>
              <w:ind w:right="56"/>
              <w:spacing w:after="0" w:line="189" w:lineRule="exact"/>
              <w:rPr>
                <w:sz w:val="20"/>
                <w:szCs w:val="20"/>
                <w:color w:val="auto"/>
              </w:rPr>
            </w:pPr>
            <w:r>
              <w:rPr>
                <w:rFonts w:ascii="Times New Roman" w:cs="Times New Roman" w:eastAsia="Times New Roman" w:hAnsi="Times New Roman"/>
                <w:sz w:val="13"/>
                <w:szCs w:val="13"/>
                <w:color w:val="auto"/>
              </w:rPr>
              <w:t>16,317</w:t>
            </w:r>
            <w:r>
              <w:rPr>
                <w:rFonts w:ascii="Times New Roman" w:cs="Times New Roman" w:eastAsia="Times New Roman" w:hAnsi="Times New Roman"/>
                <w:sz w:val="21"/>
                <w:szCs w:val="21"/>
                <w:color w:val="auto"/>
                <w:vertAlign w:val="superscript"/>
              </w:rPr>
              <w:t>5</w:t>
            </w:r>
          </w:p>
        </w:tc>
        <w:tc>
          <w:tcPr>
            <w:tcW w:w="98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72"/>
              <w:spacing w:after="0"/>
              <w:rPr>
                <w:sz w:val="20"/>
                <w:szCs w:val="20"/>
                <w:color w:val="auto"/>
              </w:rPr>
            </w:pPr>
            <w:r>
              <w:rPr>
                <w:rFonts w:ascii="Times New Roman" w:cs="Times New Roman" w:eastAsia="Times New Roman" w:hAnsi="Times New Roman"/>
                <w:sz w:val="14"/>
                <w:szCs w:val="14"/>
                <w:color w:val="auto"/>
              </w:rPr>
              <w:t>69.12</w:t>
            </w:r>
          </w:p>
        </w:tc>
        <w:tc>
          <w:tcPr>
            <w:tcW w:w="104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4"/>
                <w:szCs w:val="14"/>
                <w:color w:val="auto"/>
              </w:rPr>
              <w:t>5/24/2020</w:t>
            </w:r>
          </w:p>
        </w:tc>
        <w:tc>
          <w:tcPr>
            <w:tcW w:w="780" w:type="dxa"/>
            <w:vAlign w:val="bottom"/>
            <w:shd w:val="clear" w:color="auto" w:fill="E0E0E0"/>
          </w:tcPr>
          <w:p>
            <w:pPr>
              <w:jc w:val="right"/>
              <w:ind w:right="62"/>
              <w:spacing w:after="0" w:line="189" w:lineRule="exact"/>
              <w:rPr>
                <w:sz w:val="20"/>
                <w:szCs w:val="20"/>
                <w:color w:val="auto"/>
              </w:rPr>
            </w:pPr>
            <w:r>
              <w:rPr>
                <w:rFonts w:ascii="Times New Roman" w:cs="Times New Roman" w:eastAsia="Times New Roman" w:hAnsi="Times New Roman"/>
                <w:sz w:val="13"/>
                <w:szCs w:val="13"/>
                <w:color w:val="auto"/>
              </w:rPr>
              <w:t>2,688</w:t>
            </w:r>
            <w:r>
              <w:rPr>
                <w:rFonts w:ascii="Times New Roman" w:cs="Times New Roman" w:eastAsia="Times New Roman" w:hAnsi="Times New Roman"/>
                <w:sz w:val="21"/>
                <w:szCs w:val="21"/>
                <w:color w:val="auto"/>
                <w:vertAlign w:val="superscript"/>
              </w:rPr>
              <w:t>11</w:t>
            </w:r>
          </w:p>
        </w:tc>
        <w:tc>
          <w:tcPr>
            <w:tcW w:w="200" w:type="dxa"/>
            <w:vAlign w:val="bottom"/>
            <w:shd w:val="clear" w:color="auto" w:fill="E0E0E0"/>
          </w:tcPr>
          <w:p>
            <w:pPr>
              <w:spacing w:after="0"/>
              <w:rPr>
                <w:sz w:val="16"/>
                <w:szCs w:val="16"/>
                <w:color w:val="auto"/>
              </w:rPr>
            </w:pPr>
          </w:p>
        </w:tc>
        <w:tc>
          <w:tcPr>
            <w:tcW w:w="700" w:type="dxa"/>
            <w:vAlign w:val="bottom"/>
            <w:shd w:val="clear" w:color="auto" w:fill="E0E0E0"/>
          </w:tcPr>
          <w:p>
            <w:pPr>
              <w:jc w:val="right"/>
              <w:ind w:right="73"/>
              <w:spacing w:after="0"/>
              <w:rPr>
                <w:sz w:val="20"/>
                <w:szCs w:val="20"/>
                <w:color w:val="auto"/>
              </w:rPr>
            </w:pPr>
            <w:r>
              <w:rPr>
                <w:rFonts w:ascii="Times New Roman" w:cs="Times New Roman" w:eastAsia="Times New Roman" w:hAnsi="Times New Roman"/>
                <w:sz w:val="14"/>
                <w:szCs w:val="14"/>
                <w:color w:val="auto"/>
              </w:rPr>
              <w:t>253,425</w:t>
            </w:r>
          </w:p>
        </w:tc>
        <w:tc>
          <w:tcPr>
            <w:tcW w:w="1000" w:type="dxa"/>
            <w:vAlign w:val="bottom"/>
            <w:shd w:val="clear" w:color="auto" w:fill="E0E0E0"/>
          </w:tcPr>
          <w:p>
            <w:pPr>
              <w:spacing w:after="0"/>
              <w:rPr>
                <w:sz w:val="16"/>
                <w:szCs w:val="16"/>
                <w:color w:val="auto"/>
              </w:rPr>
            </w:pPr>
          </w:p>
        </w:tc>
        <w:tc>
          <w:tcPr>
            <w:tcW w:w="102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48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4"/>
                <w:szCs w:val="14"/>
                <w:color w:val="auto"/>
              </w:rPr>
              <w:t>2,812</w:t>
            </w:r>
          </w:p>
        </w:tc>
        <w:tc>
          <w:tcPr>
            <w:tcW w:w="1120" w:type="dxa"/>
            <w:vAlign w:val="bottom"/>
          </w:tcPr>
          <w:p>
            <w:pPr>
              <w:jc w:val="right"/>
              <w:ind w:right="116"/>
              <w:spacing w:after="0" w:line="122"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0"/>
                <w:szCs w:val="10"/>
                <w:color w:val="auto"/>
              </w:rPr>
            </w:pPr>
          </w:p>
        </w:tc>
        <w:tc>
          <w:tcPr>
            <w:tcW w:w="720" w:type="dxa"/>
            <w:vAlign w:val="bottom"/>
          </w:tcPr>
          <w:p>
            <w:pPr>
              <w:jc w:val="right"/>
              <w:ind w:right="72"/>
              <w:spacing w:after="0" w:line="122" w:lineRule="exact"/>
              <w:rPr>
                <w:sz w:val="20"/>
                <w:szCs w:val="20"/>
                <w:color w:val="auto"/>
              </w:rPr>
            </w:pPr>
            <w:r>
              <w:rPr>
                <w:rFonts w:ascii="Times New Roman" w:cs="Times New Roman" w:eastAsia="Times New Roman" w:hAnsi="Times New Roman"/>
                <w:sz w:val="14"/>
                <w:szCs w:val="14"/>
                <w:color w:val="auto"/>
              </w:rPr>
              <w:t>61.05</w:t>
            </w:r>
          </w:p>
        </w:tc>
        <w:tc>
          <w:tcPr>
            <w:tcW w:w="10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4"/>
                <w:szCs w:val="14"/>
                <w:color w:val="auto"/>
              </w:rPr>
              <w:t>5/24/2013</w:t>
            </w:r>
          </w:p>
        </w:tc>
        <w:tc>
          <w:tcPr>
            <w:tcW w:w="780" w:type="dxa"/>
            <w:vAlign w:val="bottom"/>
          </w:tcPr>
          <w:p>
            <w:pPr>
              <w:jc w:val="right"/>
              <w:ind w:right="122"/>
              <w:spacing w:after="0" w:line="122" w:lineRule="exact"/>
              <w:rPr>
                <w:sz w:val="20"/>
                <w:szCs w:val="20"/>
                <w:color w:val="auto"/>
              </w:rPr>
            </w:pPr>
            <w:r>
              <w:rPr>
                <w:rFonts w:ascii="Times New Roman" w:cs="Times New Roman" w:eastAsia="Times New Roman" w:hAnsi="Times New Roman"/>
                <w:sz w:val="10"/>
                <w:szCs w:val="10"/>
                <w:color w:val="auto"/>
              </w:rPr>
              <w:t>4,530</w:t>
            </w:r>
            <w:r>
              <w:rPr>
                <w:rFonts w:ascii="Times New Roman" w:cs="Times New Roman" w:eastAsia="Times New Roman" w:hAnsi="Times New Roman"/>
                <w:sz w:val="14"/>
                <w:szCs w:val="14"/>
                <w:color w:val="auto"/>
                <w:vertAlign w:val="superscript"/>
              </w:rPr>
              <w:t>6</w:t>
            </w:r>
          </w:p>
        </w:tc>
        <w:tc>
          <w:tcPr>
            <w:tcW w:w="200" w:type="dxa"/>
            <w:vAlign w:val="bottom"/>
          </w:tcPr>
          <w:p>
            <w:pPr>
              <w:ind w:left="120"/>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22" w:lineRule="exact"/>
              <w:rPr>
                <w:sz w:val="20"/>
                <w:szCs w:val="20"/>
                <w:color w:val="auto"/>
              </w:rPr>
            </w:pPr>
            <w:r>
              <w:rPr>
                <w:rFonts w:ascii="Times New Roman" w:cs="Times New Roman" w:eastAsia="Times New Roman" w:hAnsi="Times New Roman"/>
                <w:sz w:val="14"/>
                <w:szCs w:val="14"/>
                <w:color w:val="auto"/>
              </w:rPr>
              <w:t>427,088</w:t>
            </w:r>
          </w:p>
        </w:tc>
        <w:tc>
          <w:tcPr>
            <w:tcW w:w="10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6,815</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78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1,897</w:t>
            </w:r>
            <w:r>
              <w:rPr>
                <w:rFonts w:ascii="Times New Roman" w:cs="Times New Roman" w:eastAsia="Times New Roman" w:hAnsi="Times New Roman"/>
                <w:sz w:val="17"/>
                <w:szCs w:val="17"/>
                <w:color w:val="auto"/>
                <w:vertAlign w:val="superscript"/>
              </w:rPr>
              <w:t>7</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178,849</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8/17/2014</w:t>
            </w:r>
          </w:p>
        </w:tc>
        <w:tc>
          <w:tcPr>
            <w:tcW w:w="78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2,137</w:t>
            </w:r>
            <w:r>
              <w:rPr>
                <w:rFonts w:ascii="Times New Roman" w:cs="Times New Roman" w:eastAsia="Times New Roman" w:hAnsi="Times New Roman"/>
                <w:sz w:val="17"/>
                <w:szCs w:val="17"/>
                <w:color w:val="auto"/>
                <w:vertAlign w:val="superscript"/>
              </w:rPr>
              <w:t>8</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201,476</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8,602</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78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2,765</w:t>
            </w:r>
            <w:r>
              <w:rPr>
                <w:rFonts w:ascii="Times New Roman" w:cs="Times New Roman" w:eastAsia="Times New Roman" w:hAnsi="Times New Roman"/>
                <w:sz w:val="17"/>
                <w:szCs w:val="17"/>
                <w:color w:val="auto"/>
                <w:vertAlign w:val="superscript"/>
              </w:rPr>
              <w:t>9</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260,684</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Anne H. Lloyd</w:t>
            </w: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10,263</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117.77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5/28/2016</w:t>
            </w:r>
          </w:p>
        </w:tc>
        <w:tc>
          <w:tcPr>
            <w:tcW w:w="780" w:type="dxa"/>
            <w:vAlign w:val="bottom"/>
          </w:tcPr>
          <w:p>
            <w:pPr>
              <w:jc w:val="right"/>
              <w:ind w:right="62"/>
              <w:spacing w:after="0" w:line="149" w:lineRule="exact"/>
              <w:rPr>
                <w:sz w:val="20"/>
                <w:szCs w:val="20"/>
                <w:color w:val="auto"/>
              </w:rPr>
            </w:pPr>
            <w:r>
              <w:rPr>
                <w:rFonts w:ascii="Times New Roman" w:cs="Times New Roman" w:eastAsia="Times New Roman" w:hAnsi="Times New Roman"/>
                <w:sz w:val="11"/>
                <w:szCs w:val="11"/>
                <w:color w:val="auto"/>
              </w:rPr>
              <w:t>805</w:t>
            </w:r>
            <w:r>
              <w:rPr>
                <w:rFonts w:ascii="Times New Roman" w:cs="Times New Roman" w:eastAsia="Times New Roman" w:hAnsi="Times New Roman"/>
                <w:sz w:val="17"/>
                <w:szCs w:val="17"/>
                <w:color w:val="auto"/>
                <w:vertAlign w:val="superscript"/>
              </w:rPr>
              <w:t>10</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75,895</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6,795</w:t>
            </w:r>
          </w:p>
        </w:tc>
        <w:tc>
          <w:tcPr>
            <w:tcW w:w="11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2,265</w:t>
            </w:r>
            <w:r>
              <w:rPr>
                <w:rFonts w:ascii="Times New Roman" w:cs="Times New Roman" w:eastAsia="Times New Roman" w:hAnsi="Times New Roman"/>
                <w:sz w:val="17"/>
                <w:szCs w:val="17"/>
                <w:color w:val="auto"/>
                <w:vertAlign w:val="superscript"/>
              </w:rPr>
              <w:t>2</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79.79</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5/27/2017</w:t>
            </w:r>
          </w:p>
        </w:tc>
        <w:tc>
          <w:tcPr>
            <w:tcW w:w="780" w:type="dxa"/>
            <w:vAlign w:val="bottom"/>
          </w:tcPr>
          <w:p>
            <w:pPr>
              <w:jc w:val="right"/>
              <w:ind w:right="62"/>
              <w:spacing w:after="0" w:line="149" w:lineRule="exact"/>
              <w:rPr>
                <w:sz w:val="20"/>
                <w:szCs w:val="20"/>
                <w:color w:val="auto"/>
              </w:rPr>
            </w:pPr>
            <w:r>
              <w:rPr>
                <w:rFonts w:ascii="Times New Roman" w:cs="Times New Roman" w:eastAsia="Times New Roman" w:hAnsi="Times New Roman"/>
                <w:sz w:val="11"/>
                <w:szCs w:val="11"/>
                <w:color w:val="auto"/>
              </w:rPr>
              <w:t>692</w:t>
            </w:r>
            <w:r>
              <w:rPr>
                <w:rFonts w:ascii="Times New Roman" w:cs="Times New Roman" w:eastAsia="Times New Roman" w:hAnsi="Times New Roman"/>
                <w:sz w:val="17"/>
                <w:szCs w:val="17"/>
                <w:color w:val="auto"/>
                <w:vertAlign w:val="superscript"/>
              </w:rPr>
              <w:t>11</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65,242</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1,897</w:t>
            </w:r>
          </w:p>
        </w:tc>
        <w:tc>
          <w:tcPr>
            <w:tcW w:w="11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1,897</w:t>
            </w:r>
            <w:r>
              <w:rPr>
                <w:rFonts w:ascii="Times New Roman" w:cs="Times New Roman" w:eastAsia="Times New Roman" w:hAnsi="Times New Roman"/>
                <w:sz w:val="17"/>
                <w:szCs w:val="17"/>
                <w:color w:val="auto"/>
                <w:vertAlign w:val="superscript"/>
              </w:rPr>
              <w:t>3</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95.27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5/27/2018</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11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3,206</w:t>
            </w:r>
            <w:r>
              <w:rPr>
                <w:rFonts w:ascii="Times New Roman" w:cs="Times New Roman" w:eastAsia="Times New Roman" w:hAnsi="Times New Roman"/>
                <w:sz w:val="17"/>
                <w:szCs w:val="17"/>
                <w:color w:val="auto"/>
                <w:vertAlign w:val="superscript"/>
              </w:rPr>
              <w:t>4</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86.90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5/12/2019</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80" w:type="dxa"/>
            <w:vAlign w:val="bottom"/>
            <w:tcBorders>
              <w:left w:val="single" w:sz="8" w:color="auto"/>
            </w:tcBorders>
          </w:tcPr>
          <w:p>
            <w:pPr>
              <w:spacing w:after="0"/>
              <w:rPr>
                <w:sz w:val="16"/>
                <w:szCs w:val="16"/>
                <w:color w:val="auto"/>
              </w:rPr>
            </w:pPr>
          </w:p>
        </w:tc>
        <w:tc>
          <w:tcPr>
            <w:tcW w:w="10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3"/>
                <w:szCs w:val="13"/>
                <w:color w:val="auto"/>
              </w:rPr>
              <w:t>5,530</w:t>
            </w:r>
            <w:r>
              <w:rPr>
                <w:rFonts w:ascii="Times New Roman" w:cs="Times New Roman" w:eastAsia="Times New Roman" w:hAnsi="Times New Roman"/>
                <w:sz w:val="21"/>
                <w:szCs w:val="21"/>
                <w:color w:val="auto"/>
                <w:vertAlign w:val="superscript"/>
              </w:rPr>
              <w:t>5</w:t>
            </w:r>
          </w:p>
        </w:tc>
        <w:tc>
          <w:tcPr>
            <w:tcW w:w="980" w:type="dxa"/>
            <w:vAlign w:val="bottom"/>
          </w:tcPr>
          <w:p>
            <w:pPr>
              <w:spacing w:after="0"/>
              <w:rPr>
                <w:sz w:val="16"/>
                <w:szCs w:val="16"/>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69.12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5/24/2020</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480" w:type="dxa"/>
            <w:vAlign w:val="bottom"/>
            <w:tcBorders>
              <w:left w:val="single" w:sz="8" w:color="auto"/>
            </w:tcBorders>
            <w:shd w:val="clear" w:color="auto" w:fill="E0E0E0"/>
          </w:tcPr>
          <w:p>
            <w:pPr>
              <w:spacing w:after="0"/>
              <w:rPr>
                <w:sz w:val="10"/>
                <w:szCs w:val="10"/>
                <w:color w:val="auto"/>
              </w:rPr>
            </w:pPr>
          </w:p>
        </w:tc>
        <w:tc>
          <w:tcPr>
            <w:tcW w:w="1040" w:type="dxa"/>
            <w:vAlign w:val="bottom"/>
            <w:gridSpan w:val="2"/>
            <w:shd w:val="clear" w:color="auto" w:fill="E0E0E0"/>
          </w:tcPr>
          <w:p>
            <w:pPr>
              <w:jc w:val="right"/>
              <w:ind w:right="52"/>
              <w:spacing w:after="0" w:line="122" w:lineRule="exact"/>
              <w:rPr>
                <w:sz w:val="20"/>
                <w:szCs w:val="20"/>
                <w:color w:val="auto"/>
              </w:rPr>
            </w:pPr>
            <w:r>
              <w:rPr>
                <w:rFonts w:ascii="Times New Roman" w:cs="Times New Roman" w:eastAsia="Times New Roman" w:hAnsi="Times New Roman"/>
                <w:sz w:val="14"/>
                <w:szCs w:val="14"/>
                <w:color w:val="auto"/>
              </w:rPr>
              <w:t>4,686</w:t>
            </w:r>
          </w:p>
        </w:tc>
        <w:tc>
          <w:tcPr>
            <w:tcW w:w="1120" w:type="dxa"/>
            <w:vAlign w:val="bottom"/>
            <w:shd w:val="clear" w:color="auto" w:fill="E0E0E0"/>
          </w:tcPr>
          <w:p>
            <w:pPr>
              <w:jc w:val="right"/>
              <w:ind w:right="116"/>
              <w:spacing w:after="0" w:line="122"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0"/>
                <w:szCs w:val="10"/>
                <w:color w:val="auto"/>
              </w:rPr>
            </w:pPr>
          </w:p>
        </w:tc>
        <w:tc>
          <w:tcPr>
            <w:tcW w:w="720" w:type="dxa"/>
            <w:vAlign w:val="bottom"/>
            <w:shd w:val="clear" w:color="auto" w:fill="E0E0E0"/>
          </w:tcPr>
          <w:p>
            <w:pPr>
              <w:jc w:val="right"/>
              <w:ind w:right="72"/>
              <w:spacing w:after="0" w:line="122" w:lineRule="exact"/>
              <w:rPr>
                <w:sz w:val="20"/>
                <w:szCs w:val="20"/>
                <w:color w:val="auto"/>
              </w:rPr>
            </w:pPr>
            <w:r>
              <w:rPr>
                <w:rFonts w:ascii="Times New Roman" w:cs="Times New Roman" w:eastAsia="Times New Roman" w:hAnsi="Times New Roman"/>
                <w:sz w:val="14"/>
                <w:szCs w:val="14"/>
                <w:color w:val="auto"/>
              </w:rPr>
              <w:t>61.05</w:t>
            </w:r>
          </w:p>
        </w:tc>
        <w:tc>
          <w:tcPr>
            <w:tcW w:w="1040" w:type="dxa"/>
            <w:vAlign w:val="bottom"/>
            <w:gridSpan w:val="2"/>
            <w:shd w:val="clear" w:color="auto" w:fill="E0E0E0"/>
          </w:tcPr>
          <w:p>
            <w:pPr>
              <w:jc w:val="right"/>
              <w:ind w:right="260"/>
              <w:spacing w:after="0" w:line="122" w:lineRule="exact"/>
              <w:rPr>
                <w:sz w:val="20"/>
                <w:szCs w:val="20"/>
                <w:color w:val="auto"/>
              </w:rPr>
            </w:pPr>
            <w:r>
              <w:rPr>
                <w:rFonts w:ascii="Times New Roman" w:cs="Times New Roman" w:eastAsia="Times New Roman" w:hAnsi="Times New Roman"/>
                <w:sz w:val="14"/>
                <w:szCs w:val="14"/>
                <w:color w:val="auto"/>
              </w:rPr>
              <w:t>5/24/2013</w:t>
            </w:r>
          </w:p>
        </w:tc>
        <w:tc>
          <w:tcPr>
            <w:tcW w:w="780" w:type="dxa"/>
            <w:vAlign w:val="bottom"/>
            <w:shd w:val="clear" w:color="auto" w:fill="E0E0E0"/>
          </w:tcPr>
          <w:p>
            <w:pPr>
              <w:jc w:val="right"/>
              <w:ind w:right="122"/>
              <w:spacing w:after="0" w:line="122" w:lineRule="exact"/>
              <w:rPr>
                <w:sz w:val="20"/>
                <w:szCs w:val="20"/>
                <w:color w:val="auto"/>
              </w:rPr>
            </w:pPr>
            <w:r>
              <w:rPr>
                <w:rFonts w:ascii="Times New Roman" w:cs="Times New Roman" w:eastAsia="Times New Roman" w:hAnsi="Times New Roman"/>
                <w:sz w:val="10"/>
                <w:szCs w:val="10"/>
                <w:color w:val="auto"/>
              </w:rPr>
              <w:t>3,697</w:t>
            </w:r>
            <w:r>
              <w:rPr>
                <w:rFonts w:ascii="Times New Roman" w:cs="Times New Roman" w:eastAsia="Times New Roman" w:hAnsi="Times New Roman"/>
                <w:sz w:val="14"/>
                <w:szCs w:val="14"/>
                <w:color w:val="auto"/>
                <w:vertAlign w:val="superscript"/>
              </w:rPr>
              <w:t>6</w:t>
            </w:r>
          </w:p>
        </w:tc>
        <w:tc>
          <w:tcPr>
            <w:tcW w:w="200" w:type="dxa"/>
            <w:vAlign w:val="bottom"/>
            <w:shd w:val="clear" w:color="auto" w:fill="E0E0E0"/>
          </w:tcPr>
          <w:p>
            <w:pPr>
              <w:ind w:left="120"/>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22" w:lineRule="exact"/>
              <w:rPr>
                <w:sz w:val="20"/>
                <w:szCs w:val="20"/>
                <w:color w:val="auto"/>
              </w:rPr>
            </w:pPr>
            <w:r>
              <w:rPr>
                <w:rFonts w:ascii="Times New Roman" w:cs="Times New Roman" w:eastAsia="Times New Roman" w:hAnsi="Times New Roman"/>
                <w:sz w:val="14"/>
                <w:szCs w:val="14"/>
                <w:color w:val="auto"/>
              </w:rPr>
              <w:t>348,553</w:t>
            </w:r>
          </w:p>
        </w:tc>
        <w:tc>
          <w:tcPr>
            <w:tcW w:w="1000" w:type="dxa"/>
            <w:vAlign w:val="bottom"/>
            <w:shd w:val="clear" w:color="auto" w:fill="E0E0E0"/>
          </w:tcPr>
          <w:p>
            <w:pPr>
              <w:spacing w:after="0"/>
              <w:rPr>
                <w:sz w:val="10"/>
                <w:szCs w:val="10"/>
                <w:color w:val="auto"/>
              </w:rPr>
            </w:pPr>
          </w:p>
        </w:tc>
        <w:tc>
          <w:tcPr>
            <w:tcW w:w="10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5,608</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1,548</w:t>
            </w:r>
            <w:r>
              <w:rPr>
                <w:rFonts w:ascii="Times New Roman" w:cs="Times New Roman" w:eastAsia="Times New Roman" w:hAnsi="Times New Roman"/>
                <w:sz w:val="17"/>
                <w:szCs w:val="17"/>
                <w:color w:val="auto"/>
                <w:vertAlign w:val="superscript"/>
              </w:rPr>
              <w:t>7</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145,945</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8/17/2014</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1,745</w:t>
            </w:r>
            <w:r>
              <w:rPr>
                <w:rFonts w:ascii="Times New Roman" w:cs="Times New Roman" w:eastAsia="Times New Roman" w:hAnsi="Times New Roman"/>
                <w:sz w:val="17"/>
                <w:szCs w:val="17"/>
                <w:color w:val="auto"/>
                <w:vertAlign w:val="superscript"/>
              </w:rPr>
              <w:t>8</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164,519</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7,021</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2,257</w:t>
            </w:r>
            <w:r>
              <w:rPr>
                <w:rFonts w:ascii="Times New Roman" w:cs="Times New Roman" w:eastAsia="Times New Roman" w:hAnsi="Times New Roman"/>
                <w:sz w:val="17"/>
                <w:szCs w:val="17"/>
                <w:color w:val="auto"/>
                <w:vertAlign w:val="superscript"/>
              </w:rPr>
              <w:t>9</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212,790</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Roselyn R. Bar</w:t>
            </w: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8,377</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117.77</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5/28/2016</w:t>
            </w:r>
          </w:p>
        </w:tc>
        <w:tc>
          <w:tcPr>
            <w:tcW w:w="780" w:type="dxa"/>
            <w:vAlign w:val="bottom"/>
            <w:shd w:val="clear" w:color="auto" w:fill="E0E0E0"/>
          </w:tcPr>
          <w:p>
            <w:pPr>
              <w:jc w:val="right"/>
              <w:ind w:right="62"/>
              <w:spacing w:after="0" w:line="149" w:lineRule="exact"/>
              <w:rPr>
                <w:sz w:val="20"/>
                <w:szCs w:val="20"/>
                <w:color w:val="auto"/>
              </w:rPr>
            </w:pPr>
            <w:r>
              <w:rPr>
                <w:rFonts w:ascii="Times New Roman" w:cs="Times New Roman" w:eastAsia="Times New Roman" w:hAnsi="Times New Roman"/>
                <w:sz w:val="11"/>
                <w:szCs w:val="11"/>
                <w:color w:val="auto"/>
              </w:rPr>
              <w:t>886</w:t>
            </w:r>
            <w:r>
              <w:rPr>
                <w:rFonts w:ascii="Times New Roman" w:cs="Times New Roman" w:eastAsia="Times New Roman" w:hAnsi="Times New Roman"/>
                <w:sz w:val="17"/>
                <w:szCs w:val="17"/>
                <w:color w:val="auto"/>
                <w:vertAlign w:val="superscript"/>
              </w:rPr>
              <w:t>10</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83,532</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5,545</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1,849</w:t>
            </w:r>
            <w:r>
              <w:rPr>
                <w:rFonts w:ascii="Times New Roman" w:cs="Times New Roman" w:eastAsia="Times New Roman" w:hAnsi="Times New Roman"/>
                <w:sz w:val="17"/>
                <w:szCs w:val="17"/>
                <w:color w:val="auto"/>
                <w:vertAlign w:val="superscript"/>
              </w:rPr>
              <w:t>2</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79.79</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5/27/2017</w:t>
            </w:r>
          </w:p>
        </w:tc>
        <w:tc>
          <w:tcPr>
            <w:tcW w:w="780" w:type="dxa"/>
            <w:vAlign w:val="bottom"/>
            <w:shd w:val="clear" w:color="auto" w:fill="E0E0E0"/>
          </w:tcPr>
          <w:p>
            <w:pPr>
              <w:jc w:val="right"/>
              <w:ind w:right="62"/>
              <w:spacing w:after="0" w:line="149" w:lineRule="exact"/>
              <w:rPr>
                <w:sz w:val="20"/>
                <w:szCs w:val="20"/>
                <w:color w:val="auto"/>
              </w:rPr>
            </w:pPr>
            <w:r>
              <w:rPr>
                <w:rFonts w:ascii="Times New Roman" w:cs="Times New Roman" w:eastAsia="Times New Roman" w:hAnsi="Times New Roman"/>
                <w:sz w:val="11"/>
                <w:szCs w:val="11"/>
                <w:color w:val="auto"/>
              </w:rPr>
              <w:t>635</w:t>
            </w:r>
            <w:r>
              <w:rPr>
                <w:rFonts w:ascii="Times New Roman" w:cs="Times New Roman" w:eastAsia="Times New Roman" w:hAnsi="Times New Roman"/>
                <w:sz w:val="17"/>
                <w:szCs w:val="17"/>
                <w:color w:val="auto"/>
                <w:vertAlign w:val="superscript"/>
              </w:rPr>
              <w:t>11</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59,868</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1,548</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1,548</w:t>
            </w:r>
            <w:r>
              <w:rPr>
                <w:rFonts w:ascii="Times New Roman" w:cs="Times New Roman" w:eastAsia="Times New Roman" w:hAnsi="Times New Roman"/>
                <w:sz w:val="17"/>
                <w:szCs w:val="17"/>
                <w:color w:val="auto"/>
                <w:vertAlign w:val="superscript"/>
              </w:rPr>
              <w:t>3</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95.27</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5/27/2018</w:t>
            </w: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2,614</w:t>
            </w:r>
            <w:r>
              <w:rPr>
                <w:rFonts w:ascii="Times New Roman" w:cs="Times New Roman" w:eastAsia="Times New Roman" w:hAnsi="Times New Roman"/>
                <w:sz w:val="17"/>
                <w:szCs w:val="17"/>
                <w:color w:val="auto"/>
                <w:vertAlign w:val="superscript"/>
              </w:rPr>
              <w:t>4</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86.90</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5/12/2019</w:t>
            </w: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80" w:type="dxa"/>
            <w:vAlign w:val="bottom"/>
            <w:tcBorders>
              <w:left w:val="single" w:sz="8" w:color="auto"/>
            </w:tcBorders>
            <w:shd w:val="clear" w:color="auto" w:fill="E0E0E0"/>
          </w:tcPr>
          <w:p>
            <w:pPr>
              <w:spacing w:after="0"/>
              <w:rPr>
                <w:sz w:val="16"/>
                <w:szCs w:val="16"/>
                <w:color w:val="auto"/>
              </w:rPr>
            </w:pPr>
          </w:p>
        </w:tc>
        <w:tc>
          <w:tcPr>
            <w:tcW w:w="1040" w:type="dxa"/>
            <w:vAlign w:val="bottom"/>
            <w:gridSpan w:val="2"/>
            <w:shd w:val="clear" w:color="auto" w:fill="E0E0E0"/>
          </w:tcPr>
          <w:p>
            <w:pPr>
              <w:jc w:val="right"/>
              <w:ind w:right="52"/>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shd w:val="clear" w:color="auto" w:fill="E0E0E0"/>
          </w:tcPr>
          <w:p>
            <w:pPr>
              <w:jc w:val="right"/>
              <w:ind w:right="56"/>
              <w:spacing w:after="0" w:line="189" w:lineRule="exact"/>
              <w:rPr>
                <w:sz w:val="20"/>
                <w:szCs w:val="20"/>
                <w:color w:val="auto"/>
              </w:rPr>
            </w:pPr>
            <w:r>
              <w:rPr>
                <w:rFonts w:ascii="Times New Roman" w:cs="Times New Roman" w:eastAsia="Times New Roman" w:hAnsi="Times New Roman"/>
                <w:sz w:val="13"/>
                <w:szCs w:val="13"/>
                <w:color w:val="auto"/>
              </w:rPr>
              <w:t>4,513</w:t>
            </w:r>
            <w:r>
              <w:rPr>
                <w:rFonts w:ascii="Times New Roman" w:cs="Times New Roman" w:eastAsia="Times New Roman" w:hAnsi="Times New Roman"/>
                <w:sz w:val="21"/>
                <w:szCs w:val="21"/>
                <w:color w:val="auto"/>
                <w:vertAlign w:val="superscript"/>
              </w:rPr>
              <w:t>5</w:t>
            </w:r>
          </w:p>
        </w:tc>
        <w:tc>
          <w:tcPr>
            <w:tcW w:w="98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72"/>
              <w:spacing w:after="0"/>
              <w:rPr>
                <w:sz w:val="20"/>
                <w:szCs w:val="20"/>
                <w:color w:val="auto"/>
              </w:rPr>
            </w:pPr>
            <w:r>
              <w:rPr>
                <w:rFonts w:ascii="Times New Roman" w:cs="Times New Roman" w:eastAsia="Times New Roman" w:hAnsi="Times New Roman"/>
                <w:sz w:val="14"/>
                <w:szCs w:val="14"/>
                <w:color w:val="auto"/>
              </w:rPr>
              <w:t>69.12</w:t>
            </w:r>
          </w:p>
        </w:tc>
        <w:tc>
          <w:tcPr>
            <w:tcW w:w="104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4"/>
                <w:szCs w:val="14"/>
                <w:color w:val="auto"/>
              </w:rPr>
              <w:t>5/24/2020</w:t>
            </w:r>
          </w:p>
        </w:tc>
        <w:tc>
          <w:tcPr>
            <w:tcW w:w="7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700" w:type="dxa"/>
            <w:vAlign w:val="bottom"/>
            <w:shd w:val="clear" w:color="auto" w:fill="E0E0E0"/>
          </w:tcPr>
          <w:p>
            <w:pPr>
              <w:spacing w:after="0"/>
              <w:rPr>
                <w:sz w:val="16"/>
                <w:szCs w:val="16"/>
                <w:color w:val="auto"/>
              </w:rPr>
            </w:pPr>
          </w:p>
        </w:tc>
        <w:tc>
          <w:tcPr>
            <w:tcW w:w="1000" w:type="dxa"/>
            <w:vAlign w:val="bottom"/>
            <w:shd w:val="clear" w:color="auto" w:fill="E0E0E0"/>
          </w:tcPr>
          <w:p>
            <w:pPr>
              <w:spacing w:after="0"/>
              <w:rPr>
                <w:sz w:val="16"/>
                <w:szCs w:val="16"/>
                <w:color w:val="auto"/>
              </w:rPr>
            </w:pPr>
          </w:p>
        </w:tc>
        <w:tc>
          <w:tcPr>
            <w:tcW w:w="102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2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Donald A. McCunniff</w:t>
            </w:r>
          </w:p>
        </w:tc>
        <w:tc>
          <w:tcPr>
            <w:tcW w:w="10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3,637</w:t>
            </w:r>
            <w:r>
              <w:rPr>
                <w:rFonts w:ascii="Times New Roman" w:cs="Times New Roman" w:eastAsia="Times New Roman" w:hAnsi="Times New Roman"/>
                <w:sz w:val="22"/>
                <w:szCs w:val="22"/>
                <w:color w:val="auto"/>
                <w:vertAlign w:val="superscript"/>
              </w:rPr>
              <w:t>5</w:t>
            </w:r>
          </w:p>
        </w:tc>
        <w:tc>
          <w:tcPr>
            <w:tcW w:w="98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69.12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5/24/2020</w:t>
            </w:r>
          </w:p>
        </w:tc>
        <w:tc>
          <w:tcPr>
            <w:tcW w:w="780" w:type="dxa"/>
            <w:vAlign w:val="bottom"/>
          </w:tcPr>
          <w:p>
            <w:pPr>
              <w:jc w:val="right"/>
              <w:ind w:right="182"/>
              <w:spacing w:after="0"/>
              <w:rPr>
                <w:sz w:val="20"/>
                <w:szCs w:val="20"/>
                <w:color w:val="auto"/>
              </w:rPr>
            </w:pPr>
            <w:r>
              <w:rPr>
                <w:rFonts w:ascii="Times New Roman" w:cs="Times New Roman" w:eastAsia="Times New Roman" w:hAnsi="Times New Roman"/>
                <w:sz w:val="14"/>
                <w:szCs w:val="14"/>
                <w:color w:val="auto"/>
              </w:rPr>
              <w:t>1,819</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171,495</w:t>
            </w: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80" w:type="dxa"/>
            <w:vAlign w:val="bottom"/>
            <w:tcBorders>
              <w:left w:val="single" w:sz="8" w:color="auto"/>
            </w:tcBorders>
            <w:shd w:val="clear" w:color="auto" w:fill="E0E0E0"/>
          </w:tcPr>
          <w:p>
            <w:pPr>
              <w:spacing w:after="0"/>
              <w:rPr>
                <w:sz w:val="10"/>
                <w:szCs w:val="10"/>
                <w:color w:val="auto"/>
              </w:rPr>
            </w:pPr>
          </w:p>
        </w:tc>
        <w:tc>
          <w:tcPr>
            <w:tcW w:w="1040" w:type="dxa"/>
            <w:vAlign w:val="bottom"/>
            <w:gridSpan w:val="2"/>
            <w:shd w:val="clear" w:color="auto" w:fill="E0E0E0"/>
          </w:tcPr>
          <w:p>
            <w:pPr>
              <w:jc w:val="right"/>
              <w:ind w:right="52"/>
              <w:spacing w:after="0" w:line="122" w:lineRule="exact"/>
              <w:rPr>
                <w:sz w:val="20"/>
                <w:szCs w:val="20"/>
                <w:color w:val="auto"/>
              </w:rPr>
            </w:pPr>
            <w:r>
              <w:rPr>
                <w:rFonts w:ascii="Times New Roman" w:cs="Times New Roman" w:eastAsia="Times New Roman" w:hAnsi="Times New Roman"/>
                <w:sz w:val="14"/>
                <w:szCs w:val="14"/>
                <w:color w:val="auto"/>
              </w:rPr>
              <w:t>927</w:t>
            </w:r>
          </w:p>
        </w:tc>
        <w:tc>
          <w:tcPr>
            <w:tcW w:w="1120" w:type="dxa"/>
            <w:vAlign w:val="bottom"/>
            <w:shd w:val="clear" w:color="auto" w:fill="E0E0E0"/>
          </w:tcPr>
          <w:p>
            <w:pPr>
              <w:jc w:val="right"/>
              <w:ind w:right="116"/>
              <w:spacing w:after="0" w:line="122"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0"/>
                <w:szCs w:val="10"/>
                <w:color w:val="auto"/>
              </w:rPr>
            </w:pPr>
          </w:p>
        </w:tc>
        <w:tc>
          <w:tcPr>
            <w:tcW w:w="720" w:type="dxa"/>
            <w:vAlign w:val="bottom"/>
            <w:shd w:val="clear" w:color="auto" w:fill="E0E0E0"/>
          </w:tcPr>
          <w:p>
            <w:pPr>
              <w:jc w:val="right"/>
              <w:ind w:right="72"/>
              <w:spacing w:after="0" w:line="122" w:lineRule="exact"/>
              <w:rPr>
                <w:sz w:val="20"/>
                <w:szCs w:val="20"/>
                <w:color w:val="auto"/>
              </w:rPr>
            </w:pPr>
            <w:r>
              <w:rPr>
                <w:rFonts w:ascii="Times New Roman" w:cs="Times New Roman" w:eastAsia="Times New Roman" w:hAnsi="Times New Roman"/>
                <w:sz w:val="14"/>
                <w:szCs w:val="14"/>
                <w:color w:val="auto"/>
              </w:rPr>
              <w:t>61.05</w:t>
            </w:r>
          </w:p>
        </w:tc>
        <w:tc>
          <w:tcPr>
            <w:tcW w:w="1040" w:type="dxa"/>
            <w:vAlign w:val="bottom"/>
            <w:gridSpan w:val="2"/>
            <w:shd w:val="clear" w:color="auto" w:fill="E0E0E0"/>
          </w:tcPr>
          <w:p>
            <w:pPr>
              <w:jc w:val="right"/>
              <w:ind w:right="260"/>
              <w:spacing w:after="0" w:line="122" w:lineRule="exact"/>
              <w:rPr>
                <w:sz w:val="20"/>
                <w:szCs w:val="20"/>
                <w:color w:val="auto"/>
              </w:rPr>
            </w:pPr>
            <w:r>
              <w:rPr>
                <w:rFonts w:ascii="Times New Roman" w:cs="Times New Roman" w:eastAsia="Times New Roman" w:hAnsi="Times New Roman"/>
                <w:sz w:val="14"/>
                <w:szCs w:val="14"/>
                <w:color w:val="auto"/>
              </w:rPr>
              <w:t>5/24/2013</w:t>
            </w:r>
          </w:p>
        </w:tc>
        <w:tc>
          <w:tcPr>
            <w:tcW w:w="780" w:type="dxa"/>
            <w:vAlign w:val="bottom"/>
            <w:shd w:val="clear" w:color="auto" w:fill="E0E0E0"/>
          </w:tcPr>
          <w:p>
            <w:pPr>
              <w:jc w:val="right"/>
              <w:ind w:right="122"/>
              <w:spacing w:after="0" w:line="122" w:lineRule="exact"/>
              <w:rPr>
                <w:sz w:val="20"/>
                <w:szCs w:val="20"/>
                <w:color w:val="auto"/>
              </w:rPr>
            </w:pPr>
            <w:r>
              <w:rPr>
                <w:rFonts w:ascii="Times New Roman" w:cs="Times New Roman" w:eastAsia="Times New Roman" w:hAnsi="Times New Roman"/>
                <w:sz w:val="10"/>
                <w:szCs w:val="10"/>
                <w:color w:val="auto"/>
              </w:rPr>
              <w:t>551</w:t>
            </w:r>
            <w:r>
              <w:rPr>
                <w:rFonts w:ascii="Times New Roman" w:cs="Times New Roman" w:eastAsia="Times New Roman" w:hAnsi="Times New Roman"/>
                <w:sz w:val="14"/>
                <w:szCs w:val="14"/>
                <w:color w:val="auto"/>
                <w:vertAlign w:val="superscript"/>
              </w:rPr>
              <w:t>6</w:t>
            </w:r>
          </w:p>
        </w:tc>
        <w:tc>
          <w:tcPr>
            <w:tcW w:w="200" w:type="dxa"/>
            <w:vAlign w:val="bottom"/>
            <w:shd w:val="clear" w:color="auto" w:fill="E0E0E0"/>
          </w:tcPr>
          <w:p>
            <w:pPr>
              <w:ind w:left="120"/>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22" w:lineRule="exact"/>
              <w:rPr>
                <w:sz w:val="20"/>
                <w:szCs w:val="20"/>
                <w:color w:val="auto"/>
              </w:rPr>
            </w:pPr>
            <w:r>
              <w:rPr>
                <w:rFonts w:ascii="Times New Roman" w:cs="Times New Roman" w:eastAsia="Times New Roman" w:hAnsi="Times New Roman"/>
                <w:sz w:val="14"/>
                <w:szCs w:val="14"/>
                <w:color w:val="auto"/>
              </w:rPr>
              <w:t>51,948</w:t>
            </w:r>
          </w:p>
        </w:tc>
        <w:tc>
          <w:tcPr>
            <w:tcW w:w="1000" w:type="dxa"/>
            <w:vAlign w:val="bottom"/>
            <w:shd w:val="clear" w:color="auto" w:fill="E0E0E0"/>
          </w:tcPr>
          <w:p>
            <w:pPr>
              <w:spacing w:after="0"/>
              <w:rPr>
                <w:sz w:val="10"/>
                <w:szCs w:val="10"/>
                <w:color w:val="auto"/>
              </w:rPr>
            </w:pPr>
          </w:p>
        </w:tc>
        <w:tc>
          <w:tcPr>
            <w:tcW w:w="10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231</w:t>
            </w:r>
            <w:r>
              <w:rPr>
                <w:rFonts w:ascii="Times New Roman" w:cs="Times New Roman" w:eastAsia="Times New Roman" w:hAnsi="Times New Roman"/>
                <w:sz w:val="17"/>
                <w:szCs w:val="17"/>
                <w:color w:val="auto"/>
                <w:vertAlign w:val="superscript"/>
              </w:rPr>
              <w:t>7</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21,779</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08/17/2014</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293</w:t>
            </w:r>
            <w:r>
              <w:rPr>
                <w:rFonts w:ascii="Times New Roman" w:cs="Times New Roman" w:eastAsia="Times New Roman" w:hAnsi="Times New Roman"/>
                <w:sz w:val="17"/>
                <w:szCs w:val="17"/>
                <w:color w:val="auto"/>
                <w:vertAlign w:val="superscript"/>
              </w:rPr>
              <w:t>8</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27,624</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780" w:type="dxa"/>
            <w:vAlign w:val="bottom"/>
            <w:shd w:val="clear" w:color="auto" w:fill="E0E0E0"/>
          </w:tcPr>
          <w:p>
            <w:pPr>
              <w:jc w:val="right"/>
              <w:ind w:right="122"/>
              <w:spacing w:after="0" w:line="149" w:lineRule="exact"/>
              <w:rPr>
                <w:sz w:val="20"/>
                <w:szCs w:val="20"/>
                <w:color w:val="auto"/>
              </w:rPr>
            </w:pPr>
            <w:r>
              <w:rPr>
                <w:rFonts w:ascii="Times New Roman" w:cs="Times New Roman" w:eastAsia="Times New Roman" w:hAnsi="Times New Roman"/>
                <w:sz w:val="11"/>
                <w:szCs w:val="11"/>
                <w:color w:val="auto"/>
              </w:rPr>
              <w:t>980</w:t>
            </w:r>
            <w:r>
              <w:rPr>
                <w:rFonts w:ascii="Times New Roman" w:cs="Times New Roman" w:eastAsia="Times New Roman" w:hAnsi="Times New Roman"/>
                <w:sz w:val="17"/>
                <w:szCs w:val="17"/>
                <w:color w:val="auto"/>
                <w:vertAlign w:val="superscript"/>
              </w:rPr>
              <w:t>9</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92,394</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Dana F. Guzzo</w:t>
            </w: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1120" w:type="dxa"/>
            <w:vAlign w:val="bottom"/>
            <w:shd w:val="clear" w:color="auto" w:fill="E0E0E0"/>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117.77</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5/28/2016</w:t>
            </w:r>
          </w:p>
        </w:tc>
        <w:tc>
          <w:tcPr>
            <w:tcW w:w="780" w:type="dxa"/>
            <w:vAlign w:val="bottom"/>
            <w:shd w:val="clear" w:color="auto" w:fill="E0E0E0"/>
          </w:tcPr>
          <w:p>
            <w:pPr>
              <w:jc w:val="right"/>
              <w:ind w:right="62"/>
              <w:spacing w:after="0" w:line="149" w:lineRule="exact"/>
              <w:rPr>
                <w:sz w:val="20"/>
                <w:szCs w:val="20"/>
                <w:color w:val="auto"/>
              </w:rPr>
            </w:pPr>
            <w:r>
              <w:rPr>
                <w:rFonts w:ascii="Times New Roman" w:cs="Times New Roman" w:eastAsia="Times New Roman" w:hAnsi="Times New Roman"/>
                <w:sz w:val="11"/>
                <w:szCs w:val="11"/>
                <w:color w:val="auto"/>
              </w:rPr>
              <w:t>338</w:t>
            </w:r>
            <w:r>
              <w:rPr>
                <w:rFonts w:ascii="Times New Roman" w:cs="Times New Roman" w:eastAsia="Times New Roman" w:hAnsi="Times New Roman"/>
                <w:sz w:val="17"/>
                <w:szCs w:val="17"/>
                <w:color w:val="auto"/>
                <w:vertAlign w:val="superscript"/>
              </w:rPr>
              <w:t>10</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31,867</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276</w:t>
            </w:r>
            <w:r>
              <w:rPr>
                <w:rFonts w:ascii="Times New Roman" w:cs="Times New Roman" w:eastAsia="Times New Roman" w:hAnsi="Times New Roman"/>
                <w:sz w:val="17"/>
                <w:szCs w:val="17"/>
                <w:color w:val="auto"/>
                <w:vertAlign w:val="superscript"/>
              </w:rPr>
              <w:t>2</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79.79</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5/27/2017</w:t>
            </w:r>
          </w:p>
        </w:tc>
        <w:tc>
          <w:tcPr>
            <w:tcW w:w="780" w:type="dxa"/>
            <w:vAlign w:val="bottom"/>
            <w:shd w:val="clear" w:color="auto" w:fill="E0E0E0"/>
          </w:tcPr>
          <w:p>
            <w:pPr>
              <w:jc w:val="right"/>
              <w:ind w:right="62"/>
              <w:spacing w:after="0" w:line="149" w:lineRule="exact"/>
              <w:rPr>
                <w:sz w:val="20"/>
                <w:szCs w:val="20"/>
                <w:color w:val="auto"/>
              </w:rPr>
            </w:pPr>
            <w:r>
              <w:rPr>
                <w:rFonts w:ascii="Times New Roman" w:cs="Times New Roman" w:eastAsia="Times New Roman" w:hAnsi="Times New Roman"/>
                <w:sz w:val="11"/>
                <w:szCs w:val="11"/>
                <w:color w:val="auto"/>
              </w:rPr>
              <w:t>235</w:t>
            </w:r>
            <w:r>
              <w:rPr>
                <w:rFonts w:ascii="Times New Roman" w:cs="Times New Roman" w:eastAsia="Times New Roman" w:hAnsi="Times New Roman"/>
                <w:sz w:val="17"/>
                <w:szCs w:val="17"/>
                <w:color w:val="auto"/>
                <w:vertAlign w:val="superscript"/>
              </w:rPr>
              <w:t>11</w:t>
            </w:r>
          </w:p>
        </w:tc>
        <w:tc>
          <w:tcPr>
            <w:tcW w:w="200" w:type="dxa"/>
            <w:vAlign w:val="bottom"/>
            <w:shd w:val="clear" w:color="auto" w:fill="E0E0E0"/>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E0E0E0"/>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22,156</w:t>
            </w: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231</w:t>
            </w:r>
            <w:r>
              <w:rPr>
                <w:rFonts w:ascii="Times New Roman" w:cs="Times New Roman" w:eastAsia="Times New Roman" w:hAnsi="Times New Roman"/>
                <w:sz w:val="17"/>
                <w:szCs w:val="17"/>
                <w:color w:val="auto"/>
                <w:vertAlign w:val="superscript"/>
              </w:rPr>
              <w:t>3</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95.27</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5/27/2018</w:t>
            </w: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120" w:type="dxa"/>
            <w:vAlign w:val="bottom"/>
            <w:shd w:val="clear" w:color="auto" w:fill="E0E0E0"/>
          </w:tcPr>
          <w:p>
            <w:pPr>
              <w:jc w:val="right"/>
              <w:ind w:right="56"/>
              <w:spacing w:after="0" w:line="149" w:lineRule="exact"/>
              <w:rPr>
                <w:sz w:val="20"/>
                <w:szCs w:val="20"/>
                <w:color w:val="auto"/>
              </w:rPr>
            </w:pPr>
            <w:r>
              <w:rPr>
                <w:rFonts w:ascii="Times New Roman" w:cs="Times New Roman" w:eastAsia="Times New Roman" w:hAnsi="Times New Roman"/>
                <w:sz w:val="11"/>
                <w:szCs w:val="11"/>
                <w:color w:val="auto"/>
              </w:rPr>
              <w:t>437</w:t>
            </w:r>
            <w:r>
              <w:rPr>
                <w:rFonts w:ascii="Times New Roman" w:cs="Times New Roman" w:eastAsia="Times New Roman" w:hAnsi="Times New Roman"/>
                <w:sz w:val="17"/>
                <w:szCs w:val="17"/>
                <w:color w:val="auto"/>
                <w:vertAlign w:val="superscript"/>
              </w:rPr>
              <w:t>4</w:t>
            </w:r>
          </w:p>
        </w:tc>
        <w:tc>
          <w:tcPr>
            <w:tcW w:w="98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86.90</w:t>
            </w:r>
          </w:p>
        </w:tc>
        <w:tc>
          <w:tcPr>
            <w:tcW w:w="1040" w:type="dxa"/>
            <w:vAlign w:val="bottom"/>
            <w:gridSpan w:val="2"/>
            <w:shd w:val="clear" w:color="auto" w:fill="E0E0E0"/>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5/12/2019</w:t>
            </w:r>
          </w:p>
        </w:tc>
        <w:tc>
          <w:tcPr>
            <w:tcW w:w="7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80" w:type="dxa"/>
            <w:vAlign w:val="bottom"/>
            <w:tcBorders>
              <w:left w:val="single" w:sz="8" w:color="auto"/>
            </w:tcBorders>
            <w:shd w:val="clear" w:color="auto" w:fill="E0E0E0"/>
          </w:tcPr>
          <w:p>
            <w:pPr>
              <w:spacing w:after="0"/>
              <w:rPr>
                <w:sz w:val="16"/>
                <w:szCs w:val="16"/>
                <w:color w:val="auto"/>
              </w:rPr>
            </w:pPr>
          </w:p>
        </w:tc>
        <w:tc>
          <w:tcPr>
            <w:tcW w:w="1040" w:type="dxa"/>
            <w:vAlign w:val="bottom"/>
            <w:gridSpan w:val="2"/>
            <w:shd w:val="clear" w:color="auto" w:fill="E0E0E0"/>
          </w:tcPr>
          <w:p>
            <w:pPr>
              <w:jc w:val="right"/>
              <w:ind w:right="52"/>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shd w:val="clear" w:color="auto" w:fill="E0E0E0"/>
          </w:tcPr>
          <w:p>
            <w:pPr>
              <w:jc w:val="right"/>
              <w:ind w:right="56"/>
              <w:spacing w:after="0" w:line="189" w:lineRule="exact"/>
              <w:rPr>
                <w:sz w:val="20"/>
                <w:szCs w:val="20"/>
                <w:color w:val="auto"/>
              </w:rPr>
            </w:pPr>
            <w:r>
              <w:rPr>
                <w:rFonts w:ascii="Times New Roman" w:cs="Times New Roman" w:eastAsia="Times New Roman" w:hAnsi="Times New Roman"/>
                <w:sz w:val="13"/>
                <w:szCs w:val="13"/>
                <w:color w:val="auto"/>
              </w:rPr>
              <w:t>1,959</w:t>
            </w:r>
            <w:r>
              <w:rPr>
                <w:rFonts w:ascii="Times New Roman" w:cs="Times New Roman" w:eastAsia="Times New Roman" w:hAnsi="Times New Roman"/>
                <w:sz w:val="21"/>
                <w:szCs w:val="21"/>
                <w:color w:val="auto"/>
                <w:vertAlign w:val="superscript"/>
              </w:rPr>
              <w:t>5</w:t>
            </w:r>
          </w:p>
        </w:tc>
        <w:tc>
          <w:tcPr>
            <w:tcW w:w="980" w:type="dxa"/>
            <w:vAlign w:val="bottom"/>
            <w:shd w:val="clear" w:color="auto" w:fill="E0E0E0"/>
          </w:tcPr>
          <w:p>
            <w:pPr>
              <w:spacing w:after="0"/>
              <w:rPr>
                <w:sz w:val="16"/>
                <w:szCs w:val="16"/>
                <w:color w:val="auto"/>
              </w:rPr>
            </w:pPr>
          </w:p>
        </w:tc>
        <w:tc>
          <w:tcPr>
            <w:tcW w:w="720" w:type="dxa"/>
            <w:vAlign w:val="bottom"/>
            <w:shd w:val="clear" w:color="auto" w:fill="E0E0E0"/>
          </w:tcPr>
          <w:p>
            <w:pPr>
              <w:jc w:val="right"/>
              <w:ind w:right="72"/>
              <w:spacing w:after="0"/>
              <w:rPr>
                <w:sz w:val="20"/>
                <w:szCs w:val="20"/>
                <w:color w:val="auto"/>
              </w:rPr>
            </w:pPr>
            <w:r>
              <w:rPr>
                <w:rFonts w:ascii="Times New Roman" w:cs="Times New Roman" w:eastAsia="Times New Roman" w:hAnsi="Times New Roman"/>
                <w:sz w:val="14"/>
                <w:szCs w:val="14"/>
                <w:color w:val="auto"/>
              </w:rPr>
              <w:t>69.12</w:t>
            </w:r>
          </w:p>
        </w:tc>
        <w:tc>
          <w:tcPr>
            <w:tcW w:w="104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14"/>
                <w:szCs w:val="14"/>
                <w:color w:val="auto"/>
              </w:rPr>
              <w:t>5/24/2020</w:t>
            </w:r>
          </w:p>
        </w:tc>
        <w:tc>
          <w:tcPr>
            <w:tcW w:w="7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700" w:type="dxa"/>
            <w:vAlign w:val="bottom"/>
            <w:shd w:val="clear" w:color="auto" w:fill="E0E0E0"/>
          </w:tcPr>
          <w:p>
            <w:pPr>
              <w:spacing w:after="0"/>
              <w:rPr>
                <w:sz w:val="16"/>
                <w:szCs w:val="16"/>
                <w:color w:val="auto"/>
              </w:rPr>
            </w:pPr>
          </w:p>
        </w:tc>
        <w:tc>
          <w:tcPr>
            <w:tcW w:w="1000" w:type="dxa"/>
            <w:vAlign w:val="bottom"/>
            <w:shd w:val="clear" w:color="auto" w:fill="E0E0E0"/>
          </w:tcPr>
          <w:p>
            <w:pPr>
              <w:spacing w:after="0"/>
              <w:rPr>
                <w:sz w:val="16"/>
                <w:szCs w:val="16"/>
                <w:color w:val="auto"/>
              </w:rPr>
            </w:pPr>
          </w:p>
        </w:tc>
        <w:tc>
          <w:tcPr>
            <w:tcW w:w="102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Borders>
              <w:left w:val="single" w:sz="8" w:color="auto"/>
            </w:tcBorders>
          </w:tcPr>
          <w:p>
            <w:pPr>
              <w:spacing w:after="0"/>
              <w:rPr>
                <w:sz w:val="11"/>
                <w:szCs w:val="11"/>
                <w:color w:val="auto"/>
              </w:rPr>
            </w:pPr>
          </w:p>
        </w:tc>
        <w:tc>
          <w:tcPr>
            <w:tcW w:w="1040" w:type="dxa"/>
            <w:vAlign w:val="bottom"/>
            <w:gridSpan w:val="2"/>
          </w:tcPr>
          <w:p>
            <w:pPr>
              <w:jc w:val="right"/>
              <w:ind w:right="52"/>
              <w:spacing w:after="0" w:line="135" w:lineRule="exact"/>
              <w:rPr>
                <w:sz w:val="20"/>
                <w:szCs w:val="20"/>
                <w:color w:val="auto"/>
              </w:rPr>
            </w:pPr>
            <w:r>
              <w:rPr>
                <w:rFonts w:ascii="Times New Roman" w:cs="Times New Roman" w:eastAsia="Times New Roman" w:hAnsi="Times New Roman"/>
                <w:sz w:val="14"/>
                <w:szCs w:val="14"/>
                <w:color w:val="auto"/>
              </w:rPr>
              <w:t>4,686</w:t>
            </w:r>
          </w:p>
        </w:tc>
        <w:tc>
          <w:tcPr>
            <w:tcW w:w="1120" w:type="dxa"/>
            <w:vAlign w:val="bottom"/>
          </w:tcPr>
          <w:p>
            <w:pPr>
              <w:jc w:val="right"/>
              <w:ind w:right="116"/>
              <w:spacing w:after="0" w:line="135"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1"/>
                <w:szCs w:val="11"/>
                <w:color w:val="auto"/>
              </w:rPr>
            </w:pPr>
          </w:p>
        </w:tc>
        <w:tc>
          <w:tcPr>
            <w:tcW w:w="720" w:type="dxa"/>
            <w:vAlign w:val="bottom"/>
          </w:tcPr>
          <w:p>
            <w:pPr>
              <w:jc w:val="right"/>
              <w:ind w:right="72"/>
              <w:spacing w:after="0" w:line="135" w:lineRule="exact"/>
              <w:rPr>
                <w:sz w:val="20"/>
                <w:szCs w:val="20"/>
                <w:color w:val="auto"/>
              </w:rPr>
            </w:pPr>
            <w:r>
              <w:rPr>
                <w:rFonts w:ascii="Times New Roman" w:cs="Times New Roman" w:eastAsia="Times New Roman" w:hAnsi="Times New Roman"/>
                <w:sz w:val="14"/>
                <w:szCs w:val="14"/>
                <w:color w:val="auto"/>
              </w:rPr>
              <w:t>61.05</w:t>
            </w:r>
          </w:p>
        </w:tc>
        <w:tc>
          <w:tcPr>
            <w:tcW w:w="10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4"/>
                <w:szCs w:val="14"/>
                <w:color w:val="auto"/>
              </w:rPr>
              <w:t>5/24/2013</w:t>
            </w:r>
          </w:p>
        </w:tc>
        <w:tc>
          <w:tcPr>
            <w:tcW w:w="780" w:type="dxa"/>
            <w:vAlign w:val="bottom"/>
          </w:tcPr>
          <w:p>
            <w:pPr>
              <w:jc w:val="right"/>
              <w:ind w:right="182"/>
              <w:spacing w:after="0" w:line="135" w:lineRule="exact"/>
              <w:rPr>
                <w:sz w:val="20"/>
                <w:szCs w:val="20"/>
                <w:color w:val="auto"/>
              </w:rPr>
            </w:pPr>
            <w:r>
              <w:rPr>
                <w:rFonts w:ascii="Times New Roman" w:cs="Times New Roman" w:eastAsia="Times New Roman" w:hAnsi="Times New Roman"/>
                <w:sz w:val="10"/>
                <w:szCs w:val="10"/>
                <w:color w:val="auto"/>
              </w:rPr>
              <w:t>4,530</w:t>
            </w:r>
            <w:r>
              <w:rPr>
                <w:rFonts w:ascii="Times New Roman" w:cs="Times New Roman" w:eastAsia="Times New Roman" w:hAnsi="Times New Roman"/>
                <w:sz w:val="15"/>
                <w:szCs w:val="15"/>
                <w:color w:val="auto"/>
                <w:vertAlign w:val="superscript"/>
              </w:rPr>
              <w:t>6</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35" w:lineRule="exact"/>
              <w:rPr>
                <w:sz w:val="20"/>
                <w:szCs w:val="20"/>
                <w:color w:val="auto"/>
              </w:rPr>
            </w:pPr>
            <w:r>
              <w:rPr>
                <w:rFonts w:ascii="Times New Roman" w:cs="Times New Roman" w:eastAsia="Times New Roman" w:hAnsi="Times New Roman"/>
                <w:sz w:val="14"/>
                <w:szCs w:val="14"/>
                <w:color w:val="auto"/>
              </w:rPr>
              <w:t>427,088</w:t>
            </w:r>
          </w:p>
        </w:tc>
        <w:tc>
          <w:tcPr>
            <w:tcW w:w="10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8,762</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89.02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5/22/2014</w:t>
            </w:r>
          </w:p>
        </w:tc>
        <w:tc>
          <w:tcPr>
            <w:tcW w:w="78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1"/>
                <w:szCs w:val="11"/>
                <w:color w:val="auto"/>
              </w:rPr>
              <w:t>1,897</w:t>
            </w:r>
            <w:r>
              <w:rPr>
                <w:rFonts w:ascii="Times New Roman" w:cs="Times New Roman" w:eastAsia="Times New Roman" w:hAnsi="Times New Roman"/>
                <w:sz w:val="17"/>
                <w:szCs w:val="17"/>
                <w:color w:val="auto"/>
                <w:vertAlign w:val="superscript"/>
              </w:rPr>
              <w:t>7</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178,849</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8,602</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151.92</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5/22/2015</w:t>
            </w:r>
          </w:p>
        </w:tc>
        <w:tc>
          <w:tcPr>
            <w:tcW w:w="78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1"/>
                <w:szCs w:val="11"/>
                <w:color w:val="auto"/>
              </w:rPr>
              <w:t>2,137</w:t>
            </w:r>
            <w:r>
              <w:rPr>
                <w:rFonts w:ascii="Times New Roman" w:cs="Times New Roman" w:eastAsia="Times New Roman" w:hAnsi="Times New Roman"/>
                <w:sz w:val="17"/>
                <w:szCs w:val="17"/>
                <w:color w:val="auto"/>
                <w:vertAlign w:val="superscript"/>
              </w:rPr>
              <w:t>8</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201,476</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Former Executive Officer:</w:t>
            </w: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10,263</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117.77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5/28/2016</w:t>
            </w:r>
          </w:p>
        </w:tc>
        <w:tc>
          <w:tcPr>
            <w:tcW w:w="78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1"/>
                <w:szCs w:val="11"/>
                <w:color w:val="auto"/>
              </w:rPr>
              <w:t>2,765</w:t>
            </w:r>
            <w:r>
              <w:rPr>
                <w:rFonts w:ascii="Times New Roman" w:cs="Times New Roman" w:eastAsia="Times New Roman" w:hAnsi="Times New Roman"/>
                <w:sz w:val="17"/>
                <w:szCs w:val="17"/>
                <w:color w:val="auto"/>
                <w:vertAlign w:val="superscript"/>
              </w:rPr>
              <w:t>9</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260,684</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Bruce A. Vaio</w:t>
            </w: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6,795</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1"/>
                <w:szCs w:val="11"/>
                <w:color w:val="auto"/>
              </w:rPr>
              <w:t>2,265</w:t>
            </w:r>
            <w:r>
              <w:rPr>
                <w:rFonts w:ascii="Times New Roman" w:cs="Times New Roman" w:eastAsia="Times New Roman" w:hAnsi="Times New Roman"/>
                <w:sz w:val="17"/>
                <w:szCs w:val="17"/>
                <w:color w:val="auto"/>
                <w:vertAlign w:val="superscript"/>
              </w:rPr>
              <w:t>2</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79.79</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5/27/2017</w:t>
            </w:r>
          </w:p>
        </w:tc>
        <w:tc>
          <w:tcPr>
            <w:tcW w:w="78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1"/>
                <w:szCs w:val="11"/>
                <w:color w:val="auto"/>
              </w:rPr>
              <w:t xml:space="preserve">1,181 </w:t>
            </w:r>
            <w:r>
              <w:rPr>
                <w:rFonts w:ascii="Times New Roman" w:cs="Times New Roman" w:eastAsia="Times New Roman" w:hAnsi="Times New Roman"/>
                <w:sz w:val="17"/>
                <w:szCs w:val="17"/>
                <w:color w:val="auto"/>
                <w:vertAlign w:val="superscript"/>
              </w:rPr>
              <w:t>10</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111,345</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1,897</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1"/>
                <w:szCs w:val="11"/>
                <w:color w:val="auto"/>
              </w:rPr>
              <w:t>1,897</w:t>
            </w:r>
            <w:r>
              <w:rPr>
                <w:rFonts w:ascii="Times New Roman" w:cs="Times New Roman" w:eastAsia="Times New Roman" w:hAnsi="Times New Roman"/>
                <w:sz w:val="17"/>
                <w:szCs w:val="17"/>
                <w:color w:val="auto"/>
                <w:vertAlign w:val="superscript"/>
              </w:rPr>
              <w:t>3</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95.27</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5/27/2018</w:t>
            </w:r>
          </w:p>
        </w:tc>
        <w:tc>
          <w:tcPr>
            <w:tcW w:w="78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1"/>
                <w:szCs w:val="11"/>
                <w:color w:val="auto"/>
              </w:rPr>
              <w:t>818</w:t>
            </w:r>
            <w:r>
              <w:rPr>
                <w:rFonts w:ascii="Times New Roman" w:cs="Times New Roman" w:eastAsia="Times New Roman" w:hAnsi="Times New Roman"/>
                <w:sz w:val="17"/>
                <w:szCs w:val="17"/>
                <w:color w:val="auto"/>
                <w:vertAlign w:val="superscript"/>
              </w:rPr>
              <w:t>11</w:t>
            </w:r>
          </w:p>
        </w:tc>
        <w:tc>
          <w:tcPr>
            <w:tcW w:w="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77,121</w:t>
            </w: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112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1"/>
                <w:szCs w:val="11"/>
                <w:color w:val="auto"/>
              </w:rPr>
              <w:t>3,206</w:t>
            </w:r>
            <w:r>
              <w:rPr>
                <w:rFonts w:ascii="Times New Roman" w:cs="Times New Roman" w:eastAsia="Times New Roman" w:hAnsi="Times New Roman"/>
                <w:sz w:val="17"/>
                <w:szCs w:val="17"/>
                <w:color w:val="auto"/>
                <w:vertAlign w:val="superscript"/>
              </w:rPr>
              <w:t>4</w:t>
            </w:r>
          </w:p>
        </w:tc>
        <w:tc>
          <w:tcPr>
            <w:tcW w:w="9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86.90</w:t>
            </w: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5/12/2019</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8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tcBorders>
              <w:bottom w:val="single" w:sz="8" w:color="auto"/>
            </w:tcBorders>
          </w:tcPr>
          <w:p>
            <w:pPr>
              <w:jc w:val="right"/>
              <w:ind w:right="116"/>
              <w:spacing w:after="0" w:line="176" w:lineRule="exact"/>
              <w:rPr>
                <w:sz w:val="20"/>
                <w:szCs w:val="20"/>
                <w:color w:val="auto"/>
              </w:rPr>
            </w:pPr>
            <w:r>
              <w:rPr>
                <w:rFonts w:ascii="Times New Roman" w:cs="Times New Roman" w:eastAsia="Times New Roman" w:hAnsi="Times New Roman"/>
                <w:sz w:val="13"/>
                <w:szCs w:val="13"/>
                <w:color w:val="auto"/>
              </w:rPr>
              <w:t>5,530</w:t>
            </w:r>
            <w:r>
              <w:rPr>
                <w:rFonts w:ascii="Times New Roman" w:cs="Times New Roman" w:eastAsia="Times New Roman" w:hAnsi="Times New Roman"/>
                <w:sz w:val="20"/>
                <w:szCs w:val="20"/>
                <w:color w:val="auto"/>
                <w:vertAlign w:val="superscript"/>
              </w:rPr>
              <w:t>5</w:t>
            </w:r>
          </w:p>
        </w:tc>
        <w:tc>
          <w:tcPr>
            <w:tcW w:w="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69.12</w:t>
            </w: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5/24/2020</w:t>
            </w: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080"/>
          </w:cols>
          <w:pgMar w:left="440" w:top="459" w:right="379" w:bottom="1440" w:gutter="0" w:footer="0" w:header="0"/>
        </w:sectPr>
      </w:pPr>
    </w:p>
    <w:bookmarkStart w:id="59" w:name="page60"/>
    <w:bookmarkEnd w:id="59"/>
    <w:p>
      <w:pPr>
        <w:ind w:left="323" w:hanging="255"/>
        <w:spacing w:after="0"/>
        <w:tabs>
          <w:tab w:leader="none" w:pos="32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194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5919470"/>
                    </a:xfrm>
                    <a:prstGeom prst="rect">
                      <a:avLst/>
                    </a:prstGeom>
                    <a:noFill/>
                  </pic:spPr>
                </pic:pic>
              </a:graphicData>
            </a:graphic>
          </wp:anchor>
        </w:drawing>
        <w:t>Based on the closing price of our common stock as of December 31, 2012 ($94.28).</w:t>
      </w:r>
    </w:p>
    <w:p>
      <w:pPr>
        <w:spacing w:after="0" w:line="68" w:lineRule="exact"/>
        <w:rPr>
          <w:rFonts w:ascii="Times New Roman" w:cs="Times New Roman" w:eastAsia="Times New Roman" w:hAnsi="Times New Roman"/>
          <w:sz w:val="14"/>
          <w:szCs w:val="14"/>
          <w:color w:val="auto"/>
        </w:rPr>
      </w:pPr>
    </w:p>
    <w:p>
      <w:pPr>
        <w:ind w:left="63"/>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Options exercisable on May 27, 2013.</w:t>
      </w:r>
    </w:p>
    <w:p>
      <w:pPr>
        <w:spacing w:after="0" w:line="68" w:lineRule="exact"/>
        <w:rPr>
          <w:rFonts w:ascii="Times New Roman" w:cs="Times New Roman" w:eastAsia="Times New Roman" w:hAnsi="Times New Roman"/>
          <w:sz w:val="14"/>
          <w:szCs w:val="14"/>
          <w:color w:val="auto"/>
        </w:rPr>
      </w:pPr>
    </w:p>
    <w:p>
      <w:pPr>
        <w:ind w:left="63"/>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Options exercisable ratably in installments on May 27, 2013 and 2014.</w:t>
      </w:r>
    </w:p>
    <w:p>
      <w:pPr>
        <w:spacing w:after="0" w:line="68" w:lineRule="exact"/>
        <w:rPr>
          <w:rFonts w:ascii="Times New Roman" w:cs="Times New Roman" w:eastAsia="Times New Roman" w:hAnsi="Times New Roman"/>
          <w:sz w:val="14"/>
          <w:szCs w:val="14"/>
          <w:color w:val="auto"/>
        </w:rPr>
      </w:pPr>
    </w:p>
    <w:p>
      <w:pPr>
        <w:ind w:left="63"/>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Options exercisable ratably in installments on May 12, 2013, 2014 and 2015.</w:t>
      </w:r>
    </w:p>
    <w:p>
      <w:pPr>
        <w:spacing w:after="0" w:line="68" w:lineRule="exact"/>
        <w:rPr>
          <w:rFonts w:ascii="Times New Roman" w:cs="Times New Roman" w:eastAsia="Times New Roman" w:hAnsi="Times New Roman"/>
          <w:sz w:val="14"/>
          <w:szCs w:val="14"/>
          <w:color w:val="auto"/>
        </w:rPr>
      </w:pPr>
    </w:p>
    <w:p>
      <w:pPr>
        <w:ind w:left="63" w:right="6260"/>
        <w:spacing w:after="0" w:line="3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Options exercisable ratably in installments on May 24, 2013, 2014, 2015 and 2016. 6 Restricted stock units restrictions lapse on May 27, 2013.</w:t>
      </w:r>
    </w:p>
    <w:p>
      <w:pPr>
        <w:jc w:val="both"/>
        <w:ind w:left="63" w:right="7660"/>
        <w:spacing w:after="0" w:line="3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Restricted stock units restrictions lapse on May 27, 2014. 8 Restricted stock units restrictions lapse on May 12, 2015. 9 Restricted stock units restrictions lapse on May 24, 2015.</w:t>
      </w:r>
    </w:p>
    <w:p>
      <w:pPr>
        <w:spacing w:after="0" w:line="1" w:lineRule="exact"/>
        <w:rPr>
          <w:sz w:val="20"/>
          <w:szCs w:val="20"/>
          <w:color w:val="auto"/>
        </w:rPr>
      </w:pPr>
    </w:p>
    <w:p>
      <w:pPr>
        <w:ind w:left="323" w:hanging="323"/>
        <w:spacing w:after="0"/>
        <w:tabs>
          <w:tab w:leader="none" w:pos="32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Stock Plan units restrictions lapse on December 1, 2013.</w:t>
      </w:r>
    </w:p>
    <w:p>
      <w:pPr>
        <w:spacing w:after="0" w:line="68" w:lineRule="exact"/>
        <w:rPr>
          <w:rFonts w:ascii="Times New Roman" w:cs="Times New Roman" w:eastAsia="Times New Roman" w:hAnsi="Times New Roman"/>
          <w:sz w:val="14"/>
          <w:szCs w:val="14"/>
          <w:color w:val="auto"/>
        </w:rPr>
      </w:pPr>
    </w:p>
    <w:p>
      <w:pPr>
        <w:ind w:left="323" w:hanging="323"/>
        <w:spacing w:after="0"/>
        <w:tabs>
          <w:tab w:leader="none" w:pos="32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Stock Plan units restrictions lapse on December 1, 2014.</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w:t>
      </w:r>
    </w:p>
    <w:p>
      <w:pPr>
        <w:spacing w:after="0" w:line="94" w:lineRule="exact"/>
        <w:rPr>
          <w:sz w:val="20"/>
          <w:szCs w:val="20"/>
          <w:color w:val="auto"/>
        </w:rPr>
      </w:pPr>
    </w:p>
    <w:p>
      <w:pPr>
        <w:jc w:val="both"/>
        <w:ind w:left="3" w:right="20" w:firstLine="775"/>
        <w:spacing w:after="0" w:line="262" w:lineRule="auto"/>
        <w:rPr>
          <w:sz w:val="20"/>
          <w:szCs w:val="20"/>
          <w:color w:val="auto"/>
        </w:rPr>
      </w:pPr>
      <w:r>
        <w:rPr>
          <w:rFonts w:ascii="Times New Roman" w:cs="Times New Roman" w:eastAsia="Times New Roman" w:hAnsi="Times New Roman"/>
          <w:sz w:val="18"/>
          <w:szCs w:val="18"/>
          <w:color w:val="auto"/>
        </w:rPr>
        <w:t>The table below shows on an aggregated basis for each of the named executive officers information on (1) the exercise of options for the purchase of Martin Marietta’s common stock and (2) the vesting of stock, including restricted stock units and Incentive Stock Plan units, during the last completed fiscal year. There are no awards of stock appreciation rights for Martin Marietta’s common stock or other similar instruments.</w:t>
      </w:r>
    </w:p>
    <w:p>
      <w:pPr>
        <w:spacing w:after="0" w:line="211"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208" w:lineRule="exact"/>
        <w:rPr>
          <w:sz w:val="20"/>
          <w:szCs w:val="20"/>
          <w:color w:val="auto"/>
        </w:rPr>
      </w:pPr>
    </w:p>
    <w:tbl>
      <w:tblPr>
        <w:tblLayout w:type="fixed"/>
        <w:tblInd w:w="13" w:type="dxa"/>
        <w:tblCellMar>
          <w:top w:w="0" w:type="dxa"/>
          <w:left w:w="0" w:type="dxa"/>
          <w:bottom w:w="0" w:type="dxa"/>
          <w:right w:w="0" w:type="dxa"/>
        </w:tblCellMar>
      </w:tblPr>
      <w:tr>
        <w:trPr>
          <w:trHeight w:val="257"/>
        </w:trPr>
        <w:tc>
          <w:tcPr>
            <w:tcW w:w="1100" w:type="dxa"/>
            <w:vAlign w:val="bottom"/>
            <w:tcBorders>
              <w:top w:val="single" w:sz="8" w:color="auto"/>
              <w:left w:val="single" w:sz="8" w:color="auto"/>
              <w:bottom w:val="single" w:sz="8" w:color="E0E0E0"/>
            </w:tcBorders>
            <w:shd w:val="clear" w:color="auto" w:fill="E0E0E0"/>
          </w:tcPr>
          <w:p>
            <w:pPr>
              <w:spacing w:after="0"/>
              <w:rPr>
                <w:sz w:val="22"/>
                <w:szCs w:val="22"/>
                <w:color w:val="auto"/>
              </w:rPr>
            </w:pPr>
          </w:p>
        </w:tc>
        <w:tc>
          <w:tcPr>
            <w:tcW w:w="1080" w:type="dxa"/>
            <w:vAlign w:val="bottom"/>
            <w:tcBorders>
              <w:top w:val="single" w:sz="8" w:color="auto"/>
              <w:bottom w:val="single" w:sz="8" w:color="E0E0E0"/>
            </w:tcBorders>
            <w:shd w:val="clear" w:color="auto" w:fill="E0E0E0"/>
          </w:tcPr>
          <w:p>
            <w:pPr>
              <w:spacing w:after="0"/>
              <w:rPr>
                <w:sz w:val="22"/>
                <w:szCs w:val="22"/>
                <w:color w:val="auto"/>
              </w:rPr>
            </w:pPr>
          </w:p>
        </w:tc>
        <w:tc>
          <w:tcPr>
            <w:tcW w:w="2240" w:type="dxa"/>
            <w:vAlign w:val="bottom"/>
            <w:tcBorders>
              <w:top w:val="single" w:sz="8" w:color="auto"/>
              <w:bottom w:val="single" w:sz="8" w:color="E0E0E0"/>
            </w:tcBorders>
            <w:shd w:val="clear" w:color="auto" w:fill="E0E0E0"/>
          </w:tcPr>
          <w:p>
            <w:pPr>
              <w:spacing w:after="0"/>
              <w:rPr>
                <w:sz w:val="22"/>
                <w:szCs w:val="22"/>
                <w:color w:val="auto"/>
              </w:rPr>
            </w:pPr>
          </w:p>
        </w:tc>
        <w:tc>
          <w:tcPr>
            <w:tcW w:w="420" w:type="dxa"/>
            <w:vAlign w:val="bottom"/>
            <w:tcBorders>
              <w:top w:val="single" w:sz="8" w:color="auto"/>
              <w:bottom w:val="single" w:sz="8" w:color="E0E0E0"/>
            </w:tcBorders>
            <w:shd w:val="clear" w:color="auto" w:fill="E0E0E0"/>
          </w:tcPr>
          <w:p>
            <w:pPr>
              <w:spacing w:after="0"/>
              <w:rPr>
                <w:sz w:val="22"/>
                <w:szCs w:val="22"/>
                <w:color w:val="auto"/>
              </w:rPr>
            </w:pPr>
          </w:p>
        </w:tc>
        <w:tc>
          <w:tcPr>
            <w:tcW w:w="18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80" w:type="dxa"/>
            <w:vAlign w:val="bottom"/>
            <w:tcBorders>
              <w:top w:val="single" w:sz="8" w:color="auto"/>
              <w:bottom w:val="single" w:sz="8" w:color="auto"/>
            </w:tcBorders>
            <w:shd w:val="clear" w:color="auto" w:fill="E0E0E0"/>
          </w:tcPr>
          <w:p>
            <w:pPr>
              <w:spacing w:after="0"/>
              <w:rPr>
                <w:sz w:val="22"/>
                <w:szCs w:val="22"/>
                <w:color w:val="auto"/>
              </w:rPr>
            </w:pPr>
          </w:p>
        </w:tc>
        <w:tc>
          <w:tcPr>
            <w:tcW w:w="840" w:type="dxa"/>
            <w:vAlign w:val="bottom"/>
            <w:tcBorders>
              <w:top w:val="single" w:sz="8" w:color="auto"/>
              <w:bottom w:val="single" w:sz="8" w:color="E0E0E0"/>
            </w:tcBorders>
            <w:shd w:val="clear" w:color="auto" w:fill="E0E0E0"/>
          </w:tcPr>
          <w:p>
            <w:pPr>
              <w:spacing w:after="0"/>
              <w:rPr>
                <w:sz w:val="22"/>
                <w:szCs w:val="22"/>
                <w:color w:val="auto"/>
              </w:rPr>
            </w:pPr>
          </w:p>
        </w:tc>
        <w:tc>
          <w:tcPr>
            <w:tcW w:w="18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40" w:type="dxa"/>
            <w:vAlign w:val="bottom"/>
            <w:tcBorders>
              <w:top w:val="single" w:sz="8" w:color="auto"/>
              <w:bottom w:val="single" w:sz="8" w:color="auto"/>
            </w:tcBorders>
            <w:shd w:val="clear" w:color="auto" w:fill="E0E0E0"/>
          </w:tcPr>
          <w:p>
            <w:pPr>
              <w:spacing w:after="0"/>
              <w:rPr>
                <w:sz w:val="22"/>
                <w:szCs w:val="22"/>
                <w:color w:val="auto"/>
              </w:rPr>
            </w:pPr>
          </w:p>
        </w:tc>
        <w:tc>
          <w:tcPr>
            <w:tcW w:w="340" w:type="dxa"/>
            <w:vAlign w:val="bottom"/>
            <w:tcBorders>
              <w:top w:val="single" w:sz="8" w:color="auto"/>
              <w:bottom w:val="single" w:sz="8" w:color="E0E0E0"/>
              <w:right w:val="single" w:sz="8" w:color="auto"/>
            </w:tcBorders>
            <w:shd w:val="clear" w:color="auto" w:fill="E0E0E0"/>
          </w:tcPr>
          <w:p>
            <w:pPr>
              <w:spacing w:after="0"/>
              <w:rPr>
                <w:sz w:val="22"/>
                <w:szCs w:val="22"/>
                <w:color w:val="auto"/>
              </w:rPr>
            </w:pPr>
          </w:p>
        </w:tc>
      </w:tr>
      <w:tr>
        <w:trPr>
          <w:trHeight w:val="125"/>
        </w:trPr>
        <w:tc>
          <w:tcPr>
            <w:tcW w:w="1100" w:type="dxa"/>
            <w:vAlign w:val="bottom"/>
            <w:tcBorders>
              <w:left w:val="single" w:sz="8" w:color="auto"/>
            </w:tcBorders>
            <w:shd w:val="clear" w:color="auto" w:fill="E0E0E0"/>
          </w:tcPr>
          <w:p>
            <w:pPr>
              <w:spacing w:after="0"/>
              <w:rPr>
                <w:sz w:val="10"/>
                <w:szCs w:val="10"/>
                <w:color w:val="auto"/>
              </w:rPr>
            </w:pPr>
          </w:p>
        </w:tc>
        <w:tc>
          <w:tcPr>
            <w:tcW w:w="1080" w:type="dxa"/>
            <w:vAlign w:val="bottom"/>
            <w:shd w:val="clear" w:color="auto" w:fill="E0E0E0"/>
          </w:tcPr>
          <w:p>
            <w:pPr>
              <w:spacing w:after="0"/>
              <w:rPr>
                <w:sz w:val="10"/>
                <w:szCs w:val="10"/>
                <w:color w:val="auto"/>
              </w:rPr>
            </w:pPr>
          </w:p>
        </w:tc>
        <w:tc>
          <w:tcPr>
            <w:tcW w:w="2240" w:type="dxa"/>
            <w:vAlign w:val="bottom"/>
            <w:shd w:val="clear" w:color="auto" w:fill="E0E0E0"/>
          </w:tcPr>
          <w:p>
            <w:pPr>
              <w:spacing w:after="0"/>
              <w:rPr>
                <w:sz w:val="10"/>
                <w:szCs w:val="10"/>
                <w:color w:val="auto"/>
              </w:rPr>
            </w:pPr>
          </w:p>
        </w:tc>
        <w:tc>
          <w:tcPr>
            <w:tcW w:w="420" w:type="dxa"/>
            <w:vAlign w:val="bottom"/>
            <w:shd w:val="clear" w:color="auto" w:fill="E0E0E0"/>
          </w:tcPr>
          <w:p>
            <w:pPr>
              <w:spacing w:after="0"/>
              <w:rPr>
                <w:sz w:val="10"/>
                <w:szCs w:val="10"/>
                <w:color w:val="auto"/>
              </w:rPr>
            </w:pPr>
          </w:p>
        </w:tc>
        <w:tc>
          <w:tcPr>
            <w:tcW w:w="1800" w:type="dxa"/>
            <w:vAlign w:val="bottom"/>
            <w:shd w:val="clear" w:color="auto" w:fill="E0E0E0"/>
          </w:tcPr>
          <w:p>
            <w:pPr>
              <w:jc w:val="center"/>
              <w:ind w:right="787"/>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80" w:type="dxa"/>
            <w:vAlign w:val="bottom"/>
            <w:shd w:val="clear" w:color="auto" w:fill="E0E0E0"/>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840" w:type="dxa"/>
            <w:vAlign w:val="bottom"/>
            <w:shd w:val="clear" w:color="auto" w:fill="E0E0E0"/>
          </w:tcPr>
          <w:p>
            <w:pPr>
              <w:spacing w:after="0"/>
              <w:rPr>
                <w:sz w:val="10"/>
                <w:szCs w:val="10"/>
                <w:color w:val="auto"/>
              </w:rPr>
            </w:pPr>
          </w:p>
        </w:tc>
        <w:tc>
          <w:tcPr>
            <w:tcW w:w="1840" w:type="dxa"/>
            <w:vAlign w:val="bottom"/>
            <w:shd w:val="clear" w:color="auto" w:fill="E0E0E0"/>
          </w:tcPr>
          <w:p>
            <w:pPr>
              <w:jc w:val="center"/>
              <w:ind w:right="782"/>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40" w:type="dxa"/>
            <w:vAlign w:val="bottom"/>
            <w:shd w:val="clear" w:color="auto" w:fill="E0E0E0"/>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340" w:type="dxa"/>
            <w:vAlign w:val="bottom"/>
            <w:tcBorders>
              <w:right w:val="single" w:sz="8" w:color="auto"/>
            </w:tcBorders>
            <w:shd w:val="clear" w:color="auto" w:fill="E0E0E0"/>
          </w:tcPr>
          <w:p>
            <w:pPr>
              <w:spacing w:after="0"/>
              <w:rPr>
                <w:sz w:val="10"/>
                <w:szCs w:val="10"/>
                <w:color w:val="auto"/>
              </w:rPr>
            </w:pPr>
          </w:p>
        </w:tc>
      </w:tr>
      <w:tr>
        <w:trPr>
          <w:trHeight w:val="138"/>
        </w:trPr>
        <w:tc>
          <w:tcPr>
            <w:tcW w:w="1100" w:type="dxa"/>
            <w:vAlign w:val="bottom"/>
            <w:tcBorders>
              <w:left w:val="single" w:sz="8" w:color="auto"/>
            </w:tcBorders>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224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1800" w:type="dxa"/>
            <w:vAlign w:val="bottom"/>
            <w:shd w:val="clear" w:color="auto" w:fill="E0E0E0"/>
          </w:tcPr>
          <w:p>
            <w:pPr>
              <w:jc w:val="center"/>
              <w:ind w:right="767"/>
              <w:spacing w:after="0" w:line="139" w:lineRule="exact"/>
              <w:rPr>
                <w:sz w:val="20"/>
                <w:szCs w:val="20"/>
                <w:color w:val="auto"/>
              </w:rPr>
            </w:pPr>
            <w:r>
              <w:rPr>
                <w:rFonts w:ascii="Times New Roman" w:cs="Times New Roman" w:eastAsia="Times New Roman" w:hAnsi="Times New Roman"/>
                <w:sz w:val="14"/>
                <w:szCs w:val="14"/>
                <w:b w:val="1"/>
                <w:bCs w:val="1"/>
                <w:color w:val="auto"/>
                <w:w w:val="96"/>
              </w:rPr>
              <w:t>Shares Acquired</w:t>
            </w:r>
          </w:p>
        </w:tc>
        <w:tc>
          <w:tcPr>
            <w:tcW w:w="1520" w:type="dxa"/>
            <w:vAlign w:val="bottom"/>
            <w:gridSpan w:val="2"/>
            <w:shd w:val="clear" w:color="auto" w:fill="E0E0E0"/>
          </w:tcPr>
          <w:p>
            <w:pPr>
              <w:jc w:val="center"/>
              <w:ind w:right="8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Realized on</w:t>
            </w:r>
          </w:p>
        </w:tc>
        <w:tc>
          <w:tcPr>
            <w:tcW w:w="1840" w:type="dxa"/>
            <w:vAlign w:val="bottom"/>
            <w:shd w:val="clear" w:color="auto" w:fill="E0E0E0"/>
          </w:tcPr>
          <w:p>
            <w:pPr>
              <w:jc w:val="center"/>
              <w:ind w:right="782"/>
              <w:spacing w:after="0" w:line="139" w:lineRule="exact"/>
              <w:rPr>
                <w:sz w:val="20"/>
                <w:szCs w:val="20"/>
                <w:color w:val="auto"/>
              </w:rPr>
            </w:pPr>
            <w:r>
              <w:rPr>
                <w:rFonts w:ascii="Times New Roman" w:cs="Times New Roman" w:eastAsia="Times New Roman" w:hAnsi="Times New Roman"/>
                <w:sz w:val="14"/>
                <w:szCs w:val="14"/>
                <w:b w:val="1"/>
                <w:bCs w:val="1"/>
                <w:color w:val="auto"/>
                <w:w w:val="94"/>
              </w:rPr>
              <w:t>Shares Acquired</w:t>
            </w:r>
          </w:p>
        </w:tc>
        <w:tc>
          <w:tcPr>
            <w:tcW w:w="1080" w:type="dxa"/>
            <w:vAlign w:val="bottom"/>
            <w:tcBorders>
              <w:right w:val="single" w:sz="8" w:color="auto"/>
            </w:tcBorders>
            <w:gridSpan w:val="2"/>
            <w:shd w:val="clear" w:color="auto" w:fill="E0E0E0"/>
          </w:tcPr>
          <w:p>
            <w:pPr>
              <w:jc w:val="center"/>
              <w:ind w:right="3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Realized on</w:t>
            </w:r>
          </w:p>
        </w:tc>
      </w:tr>
      <w:tr>
        <w:trPr>
          <w:trHeight w:val="159"/>
        </w:trPr>
        <w:tc>
          <w:tcPr>
            <w:tcW w:w="1100" w:type="dxa"/>
            <w:vAlign w:val="bottom"/>
            <w:tcBorders>
              <w:left w:val="single" w:sz="8" w:color="auto"/>
            </w:tcBorders>
            <w:shd w:val="clear" w:color="auto" w:fill="E0E0E0"/>
          </w:tcPr>
          <w:p>
            <w:pPr>
              <w:spacing w:after="0"/>
              <w:rPr>
                <w:sz w:val="13"/>
                <w:szCs w:val="13"/>
                <w:color w:val="auto"/>
              </w:rPr>
            </w:pPr>
          </w:p>
        </w:tc>
        <w:tc>
          <w:tcPr>
            <w:tcW w:w="1080" w:type="dxa"/>
            <w:vAlign w:val="bottom"/>
            <w:shd w:val="clear" w:color="auto" w:fill="E0E0E0"/>
          </w:tcPr>
          <w:p>
            <w:pPr>
              <w:spacing w:after="0"/>
              <w:rPr>
                <w:sz w:val="13"/>
                <w:szCs w:val="13"/>
                <w:color w:val="auto"/>
              </w:rPr>
            </w:pPr>
          </w:p>
        </w:tc>
        <w:tc>
          <w:tcPr>
            <w:tcW w:w="2240" w:type="dxa"/>
            <w:vAlign w:val="bottom"/>
            <w:shd w:val="clear" w:color="auto" w:fill="E0E0E0"/>
          </w:tcPr>
          <w:p>
            <w:pPr>
              <w:spacing w:after="0"/>
              <w:rPr>
                <w:sz w:val="13"/>
                <w:szCs w:val="13"/>
                <w:color w:val="auto"/>
              </w:rPr>
            </w:pPr>
          </w:p>
        </w:tc>
        <w:tc>
          <w:tcPr>
            <w:tcW w:w="420" w:type="dxa"/>
            <w:vAlign w:val="bottom"/>
            <w:shd w:val="clear" w:color="auto" w:fill="E0E0E0"/>
          </w:tcPr>
          <w:p>
            <w:pPr>
              <w:spacing w:after="0"/>
              <w:rPr>
                <w:sz w:val="13"/>
                <w:szCs w:val="13"/>
                <w:color w:val="auto"/>
              </w:rPr>
            </w:pPr>
          </w:p>
        </w:tc>
        <w:tc>
          <w:tcPr>
            <w:tcW w:w="1800" w:type="dxa"/>
            <w:vAlign w:val="bottom"/>
            <w:shd w:val="clear" w:color="auto" w:fill="E0E0E0"/>
          </w:tcPr>
          <w:p>
            <w:pPr>
              <w:jc w:val="center"/>
              <w:ind w:right="787"/>
              <w:spacing w:after="0" w:line="159" w:lineRule="exact"/>
              <w:rPr>
                <w:sz w:val="20"/>
                <w:szCs w:val="20"/>
                <w:color w:val="auto"/>
              </w:rPr>
            </w:pPr>
            <w:r>
              <w:rPr>
                <w:rFonts w:ascii="Times New Roman" w:cs="Times New Roman" w:eastAsia="Times New Roman" w:hAnsi="Times New Roman"/>
                <w:sz w:val="14"/>
                <w:szCs w:val="14"/>
                <w:b w:val="1"/>
                <w:bCs w:val="1"/>
                <w:color w:val="auto"/>
                <w:w w:val="95"/>
              </w:rPr>
              <w:t>on Exercise</w:t>
            </w:r>
          </w:p>
        </w:tc>
        <w:tc>
          <w:tcPr>
            <w:tcW w:w="1520" w:type="dxa"/>
            <w:vAlign w:val="bottom"/>
            <w:gridSpan w:val="2"/>
            <w:shd w:val="clear" w:color="auto" w:fill="E0E0E0"/>
          </w:tcPr>
          <w:p>
            <w:pPr>
              <w:jc w:val="center"/>
              <w:ind w:right="840"/>
              <w:spacing w:after="0" w:line="15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40" w:type="dxa"/>
            <w:vAlign w:val="bottom"/>
            <w:shd w:val="clear" w:color="auto" w:fill="E0E0E0"/>
          </w:tcPr>
          <w:p>
            <w:pPr>
              <w:jc w:val="center"/>
              <w:ind w:right="762"/>
              <w:spacing w:after="0" w:line="159" w:lineRule="exact"/>
              <w:rPr>
                <w:sz w:val="20"/>
                <w:szCs w:val="20"/>
                <w:color w:val="auto"/>
              </w:rPr>
            </w:pPr>
            <w:r>
              <w:rPr>
                <w:rFonts w:ascii="Times New Roman" w:cs="Times New Roman" w:eastAsia="Times New Roman" w:hAnsi="Times New Roman"/>
                <w:sz w:val="14"/>
                <w:szCs w:val="14"/>
                <w:b w:val="1"/>
                <w:bCs w:val="1"/>
                <w:color w:val="auto"/>
                <w:w w:val="94"/>
              </w:rPr>
              <w:t>on Vesting</w:t>
            </w:r>
          </w:p>
        </w:tc>
        <w:tc>
          <w:tcPr>
            <w:tcW w:w="1080" w:type="dxa"/>
            <w:vAlign w:val="bottom"/>
            <w:tcBorders>
              <w:right w:val="single" w:sz="8" w:color="auto"/>
            </w:tcBorders>
            <w:gridSpan w:val="2"/>
            <w:shd w:val="clear" w:color="auto" w:fill="E0E0E0"/>
          </w:tcPr>
          <w:p>
            <w:pPr>
              <w:jc w:val="center"/>
              <w:ind w:right="360"/>
              <w:spacing w:after="0" w:line="159" w:lineRule="exact"/>
              <w:rPr>
                <w:sz w:val="20"/>
                <w:szCs w:val="20"/>
                <w:color w:val="auto"/>
              </w:rPr>
            </w:pPr>
            <w:r>
              <w:rPr>
                <w:rFonts w:ascii="Times New Roman" w:cs="Times New Roman" w:eastAsia="Times New Roman" w:hAnsi="Times New Roman"/>
                <w:sz w:val="12"/>
                <w:szCs w:val="12"/>
                <w:b w:val="1"/>
                <w:bCs w:val="1"/>
                <w:color w:val="auto"/>
              </w:rPr>
              <w:t>Vesting</w:t>
            </w:r>
            <w:r>
              <w:rPr>
                <w:rFonts w:ascii="Times New Roman" w:cs="Times New Roman" w:eastAsia="Times New Roman" w:hAnsi="Times New Roman"/>
                <w:sz w:val="18"/>
                <w:szCs w:val="18"/>
                <w:b w:val="1"/>
                <w:bCs w:val="1"/>
                <w:color w:val="auto"/>
                <w:vertAlign w:val="superscript"/>
              </w:rPr>
              <w:t>1</w:t>
            </w:r>
          </w:p>
        </w:tc>
      </w:tr>
      <w:tr>
        <w:trPr>
          <w:trHeight w:val="179"/>
        </w:trPr>
        <w:tc>
          <w:tcPr>
            <w:tcW w:w="1100" w:type="dxa"/>
            <w:vAlign w:val="bottom"/>
            <w:tcBorders>
              <w:left w:val="single" w:sz="8" w:color="auto"/>
            </w:tcBorders>
            <w:shd w:val="clear" w:color="auto" w:fill="E0E0E0"/>
          </w:tcPr>
          <w:p>
            <w:pPr>
              <w:spacing w:after="0"/>
              <w:rPr>
                <w:sz w:val="15"/>
                <w:szCs w:val="15"/>
                <w:color w:val="auto"/>
              </w:rPr>
            </w:pPr>
          </w:p>
        </w:tc>
        <w:tc>
          <w:tcPr>
            <w:tcW w:w="3320" w:type="dxa"/>
            <w:vAlign w:val="bottom"/>
            <w:gridSpan w:val="2"/>
            <w:shd w:val="clear" w:color="auto" w:fill="E0E0E0"/>
          </w:tcPr>
          <w:p>
            <w:pPr>
              <w:jc w:val="center"/>
              <w:ind w:right="912"/>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0" w:type="dxa"/>
            <w:vAlign w:val="bottom"/>
            <w:shd w:val="clear" w:color="auto" w:fill="E0E0E0"/>
          </w:tcPr>
          <w:p>
            <w:pPr>
              <w:spacing w:after="0"/>
              <w:rPr>
                <w:sz w:val="15"/>
                <w:szCs w:val="15"/>
                <w:color w:val="auto"/>
              </w:rPr>
            </w:pPr>
          </w:p>
        </w:tc>
        <w:tc>
          <w:tcPr>
            <w:tcW w:w="1800" w:type="dxa"/>
            <w:vAlign w:val="bottom"/>
            <w:shd w:val="clear" w:color="auto" w:fill="E0E0E0"/>
          </w:tcPr>
          <w:p>
            <w:pPr>
              <w:jc w:val="center"/>
              <w:ind w:right="76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shd w:val="clear" w:color="auto" w:fill="E0E0E0"/>
          </w:tcPr>
          <w:p>
            <w:pPr>
              <w:spacing w:after="0"/>
              <w:rPr>
                <w:sz w:val="15"/>
                <w:szCs w:val="15"/>
                <w:color w:val="auto"/>
              </w:rPr>
            </w:pPr>
          </w:p>
        </w:tc>
        <w:tc>
          <w:tcPr>
            <w:tcW w:w="1840" w:type="dxa"/>
            <w:vAlign w:val="bottom"/>
            <w:shd w:val="clear" w:color="auto" w:fill="E0E0E0"/>
          </w:tcPr>
          <w:p>
            <w:pPr>
              <w:jc w:val="center"/>
              <w:ind w:right="7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right w:val="single" w:sz="8" w:color="auto"/>
            </w:tcBorders>
            <w:shd w:val="clear" w:color="auto" w:fill="E0E0E0"/>
          </w:tcPr>
          <w:p>
            <w:pPr>
              <w:spacing w:after="0"/>
              <w:rPr>
                <w:sz w:val="15"/>
                <w:szCs w:val="15"/>
                <w:color w:val="auto"/>
              </w:rPr>
            </w:pPr>
          </w:p>
        </w:tc>
      </w:tr>
      <w:tr>
        <w:trPr>
          <w:trHeight w:val="156"/>
        </w:trPr>
        <w:tc>
          <w:tcPr>
            <w:tcW w:w="1100" w:type="dxa"/>
            <w:vAlign w:val="bottom"/>
            <w:tcBorders>
              <w:left w:val="single" w:sz="8" w:color="auto"/>
              <w:bottom w:val="single" w:sz="8" w:color="auto"/>
            </w:tcBorders>
            <w:shd w:val="clear" w:color="auto" w:fill="E0E0E0"/>
          </w:tcPr>
          <w:p>
            <w:pPr>
              <w:spacing w:after="0"/>
              <w:rPr>
                <w:sz w:val="13"/>
                <w:szCs w:val="13"/>
                <w:color w:val="auto"/>
              </w:rPr>
            </w:pPr>
          </w:p>
        </w:tc>
        <w:tc>
          <w:tcPr>
            <w:tcW w:w="1080" w:type="dxa"/>
            <w:vAlign w:val="bottom"/>
            <w:tcBorders>
              <w:bottom w:val="single" w:sz="8" w:color="auto"/>
            </w:tcBorders>
            <w:shd w:val="clear" w:color="auto" w:fill="E0E0E0"/>
          </w:tcPr>
          <w:p>
            <w:pPr>
              <w:spacing w:after="0"/>
              <w:rPr>
                <w:sz w:val="13"/>
                <w:szCs w:val="13"/>
                <w:color w:val="auto"/>
              </w:rPr>
            </w:pPr>
          </w:p>
        </w:tc>
        <w:tc>
          <w:tcPr>
            <w:tcW w:w="2240" w:type="dxa"/>
            <w:vAlign w:val="bottom"/>
            <w:tcBorders>
              <w:bottom w:val="single" w:sz="8" w:color="auto"/>
            </w:tcBorders>
            <w:shd w:val="clear" w:color="auto" w:fill="E0E0E0"/>
          </w:tcPr>
          <w:p>
            <w:pPr>
              <w:jc w:val="center"/>
              <w:ind w:right="1992"/>
              <w:spacing w:after="0" w:line="149" w:lineRule="exact"/>
              <w:rPr>
                <w:sz w:val="20"/>
                <w:szCs w:val="20"/>
                <w:color w:val="auto"/>
              </w:rPr>
            </w:pPr>
            <w:r>
              <w:rPr>
                <w:rFonts w:ascii="Times New Roman" w:cs="Times New Roman" w:eastAsia="Times New Roman" w:hAnsi="Times New Roman"/>
                <w:sz w:val="14"/>
                <w:szCs w:val="14"/>
                <w:b w:val="1"/>
                <w:bCs w:val="1"/>
                <w:color w:val="auto"/>
                <w:w w:val="85"/>
              </w:rPr>
              <w:t>(a)</w:t>
            </w:r>
          </w:p>
        </w:tc>
        <w:tc>
          <w:tcPr>
            <w:tcW w:w="420" w:type="dxa"/>
            <w:vAlign w:val="bottom"/>
            <w:tcBorders>
              <w:bottom w:val="single" w:sz="8" w:color="auto"/>
            </w:tcBorders>
            <w:shd w:val="clear" w:color="auto" w:fill="E0E0E0"/>
          </w:tcPr>
          <w:p>
            <w:pPr>
              <w:spacing w:after="0"/>
              <w:rPr>
                <w:sz w:val="13"/>
                <w:szCs w:val="13"/>
                <w:color w:val="auto"/>
              </w:rPr>
            </w:pPr>
          </w:p>
        </w:tc>
        <w:tc>
          <w:tcPr>
            <w:tcW w:w="1800" w:type="dxa"/>
            <w:vAlign w:val="bottom"/>
            <w:tcBorders>
              <w:bottom w:val="single" w:sz="8" w:color="auto"/>
            </w:tcBorders>
            <w:shd w:val="clear" w:color="auto" w:fill="E0E0E0"/>
          </w:tcPr>
          <w:p>
            <w:pPr>
              <w:jc w:val="center"/>
              <w:ind w:right="767"/>
              <w:spacing w:after="0" w:line="14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520" w:type="dxa"/>
            <w:vAlign w:val="bottom"/>
            <w:tcBorders>
              <w:bottom w:val="single" w:sz="8" w:color="auto"/>
            </w:tcBorders>
            <w:gridSpan w:val="2"/>
            <w:shd w:val="clear" w:color="auto" w:fill="E0E0E0"/>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1840" w:type="dxa"/>
            <w:vAlign w:val="bottom"/>
            <w:tcBorders>
              <w:bottom w:val="single" w:sz="8" w:color="auto"/>
            </w:tcBorders>
            <w:shd w:val="clear" w:color="auto" w:fill="E0E0E0"/>
          </w:tcPr>
          <w:p>
            <w:pPr>
              <w:jc w:val="center"/>
              <w:ind w:right="782"/>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80" w:type="dxa"/>
            <w:vAlign w:val="bottom"/>
            <w:tcBorders>
              <w:bottom w:val="single" w:sz="8" w:color="auto"/>
              <w:right w:val="single" w:sz="8" w:color="auto"/>
            </w:tcBorders>
            <w:gridSpan w:val="2"/>
            <w:shd w:val="clear" w:color="auto" w:fill="E0E0E0"/>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r>
      <w:tr>
        <w:trPr>
          <w:trHeight w:val="216"/>
        </w:trPr>
        <w:tc>
          <w:tcPr>
            <w:tcW w:w="2180" w:type="dxa"/>
            <w:vAlign w:val="bottom"/>
            <w:tcBorders>
              <w:left w:val="single" w:sz="8" w:color="auto"/>
            </w:tcBorders>
            <w:gridSpan w:val="2"/>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C. Howard Nye</w:t>
            </w:r>
          </w:p>
        </w:tc>
        <w:tc>
          <w:tcPr>
            <w:tcW w:w="2240" w:type="dxa"/>
            <w:vAlign w:val="bottom"/>
            <w:shd w:val="clear" w:color="auto" w:fill="E0E0E0"/>
          </w:tcPr>
          <w:p>
            <w:pPr>
              <w:spacing w:after="0"/>
              <w:rPr>
                <w:sz w:val="18"/>
                <w:szCs w:val="18"/>
                <w:color w:val="auto"/>
              </w:rPr>
            </w:pPr>
          </w:p>
        </w:tc>
        <w:tc>
          <w:tcPr>
            <w:tcW w:w="420" w:type="dxa"/>
            <w:vAlign w:val="bottom"/>
            <w:shd w:val="clear" w:color="auto" w:fill="E0E0E0"/>
          </w:tcPr>
          <w:p>
            <w:pPr>
              <w:spacing w:after="0"/>
              <w:rPr>
                <w:sz w:val="18"/>
                <w:szCs w:val="18"/>
                <w:color w:val="auto"/>
              </w:rPr>
            </w:pPr>
          </w:p>
        </w:tc>
        <w:tc>
          <w:tcPr>
            <w:tcW w:w="1800" w:type="dxa"/>
            <w:vAlign w:val="bottom"/>
            <w:shd w:val="clear" w:color="auto" w:fill="E0E0E0"/>
          </w:tcPr>
          <w:p>
            <w:pPr>
              <w:jc w:val="right"/>
              <w:ind w:right="767"/>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shd w:val="clear" w:color="auto" w:fill="E0E0E0"/>
          </w:tcPr>
          <w:p>
            <w:pPr>
              <w:jc w:val="right"/>
              <w:ind w:right="84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shd w:val="clear" w:color="auto" w:fill="E0E0E0"/>
          </w:tcPr>
          <w:p>
            <w:pPr>
              <w:jc w:val="right"/>
              <w:ind w:right="782"/>
              <w:spacing w:after="0"/>
              <w:rPr>
                <w:sz w:val="20"/>
                <w:szCs w:val="20"/>
                <w:color w:val="auto"/>
              </w:rPr>
            </w:pPr>
            <w:r>
              <w:rPr>
                <w:rFonts w:ascii="Times New Roman" w:cs="Times New Roman" w:eastAsia="Times New Roman" w:hAnsi="Times New Roman"/>
                <w:sz w:val="18"/>
                <w:szCs w:val="18"/>
                <w:color w:val="auto"/>
              </w:rPr>
              <w:t>11,972</w:t>
            </w:r>
          </w:p>
        </w:tc>
        <w:tc>
          <w:tcPr>
            <w:tcW w:w="1080" w:type="dxa"/>
            <w:vAlign w:val="bottom"/>
            <w:tcBorders>
              <w:right w:val="single" w:sz="8" w:color="auto"/>
            </w:tcBorders>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18"/>
                <w:szCs w:val="18"/>
                <w:color w:val="auto"/>
              </w:rPr>
              <w:t>835,791</w:t>
            </w:r>
          </w:p>
        </w:tc>
      </w:tr>
      <w:tr>
        <w:trPr>
          <w:trHeight w:val="216"/>
        </w:trPr>
        <w:tc>
          <w:tcPr>
            <w:tcW w:w="44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Anne H. Lloyd</w:t>
            </w:r>
          </w:p>
        </w:tc>
        <w:tc>
          <w:tcPr>
            <w:tcW w:w="420" w:type="dxa"/>
            <w:vAlign w:val="bottom"/>
          </w:tcPr>
          <w:p>
            <w:pPr>
              <w:spacing w:after="0"/>
              <w:rPr>
                <w:sz w:val="18"/>
                <w:szCs w:val="18"/>
                <w:color w:val="auto"/>
              </w:rPr>
            </w:pPr>
          </w:p>
        </w:tc>
        <w:tc>
          <w:tcPr>
            <w:tcW w:w="1800" w:type="dxa"/>
            <w:vAlign w:val="bottom"/>
          </w:tcPr>
          <w:p>
            <w:pPr>
              <w:jc w:val="right"/>
              <w:ind w:right="767"/>
              <w:spacing w:after="0"/>
              <w:rPr>
                <w:sz w:val="20"/>
                <w:szCs w:val="20"/>
                <w:color w:val="auto"/>
              </w:rPr>
            </w:pPr>
            <w:r>
              <w:rPr>
                <w:rFonts w:ascii="Times New Roman" w:cs="Times New Roman" w:eastAsia="Times New Roman" w:hAnsi="Times New Roman"/>
                <w:sz w:val="18"/>
                <w:szCs w:val="18"/>
                <w:color w:val="auto"/>
              </w:rPr>
              <w:t>5,500</w:t>
            </w:r>
          </w:p>
        </w:tc>
        <w:tc>
          <w:tcPr>
            <w:tcW w:w="15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212,245</w:t>
            </w:r>
          </w:p>
        </w:tc>
        <w:tc>
          <w:tcPr>
            <w:tcW w:w="184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rPr>
              <w:t>7,334</w:t>
            </w:r>
          </w:p>
        </w:tc>
        <w:tc>
          <w:tcPr>
            <w:tcW w:w="10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516,810</w:t>
            </w:r>
          </w:p>
        </w:tc>
      </w:tr>
      <w:tr>
        <w:trPr>
          <w:trHeight w:val="216"/>
        </w:trPr>
        <w:tc>
          <w:tcPr>
            <w:tcW w:w="4420" w:type="dxa"/>
            <w:vAlign w:val="bottom"/>
            <w:tcBorders>
              <w:left w:val="single" w:sz="8" w:color="auto"/>
            </w:tcBorders>
            <w:gridSpan w:val="3"/>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Roselyn R. Bar</w:t>
            </w:r>
          </w:p>
        </w:tc>
        <w:tc>
          <w:tcPr>
            <w:tcW w:w="2220" w:type="dxa"/>
            <w:vAlign w:val="bottom"/>
            <w:gridSpan w:val="2"/>
            <w:shd w:val="clear" w:color="auto" w:fill="E0E0E0"/>
          </w:tcPr>
          <w:p>
            <w:pPr>
              <w:jc w:val="right"/>
              <w:ind w:right="767"/>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shd w:val="clear" w:color="auto" w:fill="E0E0E0"/>
          </w:tcPr>
          <w:p>
            <w:pPr>
              <w:jc w:val="right"/>
              <w:ind w:right="84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shd w:val="clear" w:color="auto" w:fill="E0E0E0"/>
          </w:tcPr>
          <w:p>
            <w:pPr>
              <w:jc w:val="right"/>
              <w:ind w:right="782"/>
              <w:spacing w:after="0"/>
              <w:rPr>
                <w:sz w:val="20"/>
                <w:szCs w:val="20"/>
                <w:color w:val="auto"/>
              </w:rPr>
            </w:pPr>
            <w:r>
              <w:rPr>
                <w:rFonts w:ascii="Times New Roman" w:cs="Times New Roman" w:eastAsia="Times New Roman" w:hAnsi="Times New Roman"/>
                <w:sz w:val="18"/>
                <w:szCs w:val="18"/>
                <w:color w:val="auto"/>
              </w:rPr>
              <w:t>6,212</w:t>
            </w:r>
          </w:p>
        </w:tc>
        <w:tc>
          <w:tcPr>
            <w:tcW w:w="1080" w:type="dxa"/>
            <w:vAlign w:val="bottom"/>
            <w:tcBorders>
              <w:right w:val="single" w:sz="8" w:color="auto"/>
            </w:tcBorders>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18"/>
                <w:szCs w:val="18"/>
                <w:color w:val="auto"/>
              </w:rPr>
              <w:t>430,669</w:t>
            </w:r>
          </w:p>
        </w:tc>
      </w:tr>
      <w:tr>
        <w:trPr>
          <w:trHeight w:val="216"/>
        </w:trPr>
        <w:tc>
          <w:tcPr>
            <w:tcW w:w="44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Donald A. McCunniff</w:t>
            </w:r>
          </w:p>
        </w:tc>
        <w:tc>
          <w:tcPr>
            <w:tcW w:w="2220" w:type="dxa"/>
            <w:vAlign w:val="bottom"/>
            <w:gridSpan w:val="2"/>
          </w:tcPr>
          <w:p>
            <w:pPr>
              <w:jc w:val="right"/>
              <w:ind w:right="767"/>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tcBorders>
              <w:left w:val="single" w:sz="8" w:color="auto"/>
            </w:tcBorders>
            <w:gridSpan w:val="3"/>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Dana F. Guzzo</w:t>
            </w:r>
          </w:p>
        </w:tc>
        <w:tc>
          <w:tcPr>
            <w:tcW w:w="2220" w:type="dxa"/>
            <w:vAlign w:val="bottom"/>
            <w:gridSpan w:val="2"/>
            <w:shd w:val="clear" w:color="auto" w:fill="E0E0E0"/>
          </w:tcPr>
          <w:p>
            <w:pPr>
              <w:jc w:val="right"/>
              <w:ind w:right="767"/>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shd w:val="clear" w:color="auto" w:fill="E0E0E0"/>
          </w:tcPr>
          <w:p>
            <w:pPr>
              <w:jc w:val="right"/>
              <w:ind w:right="84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shd w:val="clear" w:color="auto" w:fill="E0E0E0"/>
          </w:tcPr>
          <w:p>
            <w:pPr>
              <w:jc w:val="right"/>
              <w:ind w:right="782"/>
              <w:spacing w:after="0"/>
              <w:rPr>
                <w:sz w:val="20"/>
                <w:szCs w:val="20"/>
                <w:color w:val="auto"/>
              </w:rPr>
            </w:pPr>
            <w:r>
              <w:rPr>
                <w:rFonts w:ascii="Times New Roman" w:cs="Times New Roman" w:eastAsia="Times New Roman" w:hAnsi="Times New Roman"/>
                <w:sz w:val="18"/>
                <w:szCs w:val="18"/>
                <w:color w:val="auto"/>
              </w:rPr>
              <w:t>622</w:t>
            </w:r>
          </w:p>
        </w:tc>
        <w:tc>
          <w:tcPr>
            <w:tcW w:w="1080" w:type="dxa"/>
            <w:vAlign w:val="bottom"/>
            <w:tcBorders>
              <w:right w:val="single" w:sz="8" w:color="auto"/>
            </w:tcBorders>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18"/>
                <w:szCs w:val="18"/>
                <w:color w:val="auto"/>
              </w:rPr>
              <w:t>43,304</w:t>
            </w:r>
          </w:p>
        </w:tc>
      </w:tr>
      <w:tr>
        <w:trPr>
          <w:trHeight w:val="200"/>
        </w:trPr>
        <w:tc>
          <w:tcPr>
            <w:tcW w:w="4420" w:type="dxa"/>
            <w:vAlign w:val="bottom"/>
            <w:tcBorders>
              <w:left w:val="single" w:sz="8" w:color="auto"/>
            </w:tcBorders>
            <w:gridSpan w:val="3"/>
          </w:tcPr>
          <w:p>
            <w:pPr>
              <w:ind w:left="120"/>
              <w:spacing w:after="0" w:line="200" w:lineRule="exact"/>
              <w:rPr>
                <w:sz w:val="20"/>
                <w:szCs w:val="20"/>
                <w:color w:val="auto"/>
              </w:rPr>
            </w:pPr>
            <w:r>
              <w:rPr>
                <w:rFonts w:ascii="Times New Roman" w:cs="Times New Roman" w:eastAsia="Times New Roman" w:hAnsi="Times New Roman"/>
                <w:sz w:val="18"/>
                <w:szCs w:val="18"/>
                <w:b w:val="1"/>
                <w:bCs w:val="1"/>
                <w:i w:val="1"/>
                <w:iCs w:val="1"/>
                <w:color w:val="auto"/>
              </w:rPr>
              <w:t>Former Executive Officer:</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232"/>
        </w:trPr>
        <w:tc>
          <w:tcPr>
            <w:tcW w:w="4420" w:type="dxa"/>
            <w:vAlign w:val="bottom"/>
            <w:tcBorders>
              <w:left w:val="single" w:sz="8" w:color="auto"/>
              <w:bottom w:val="single" w:sz="8" w:color="auto"/>
            </w:tcBorders>
            <w:gridSpan w:val="3"/>
          </w:tcPr>
          <w:p>
            <w:pPr>
              <w:ind w:left="120"/>
              <w:spacing w:after="0" w:line="232" w:lineRule="exact"/>
              <w:rPr>
                <w:sz w:val="20"/>
                <w:szCs w:val="20"/>
                <w:color w:val="auto"/>
              </w:rPr>
            </w:pPr>
            <w:r>
              <w:rPr>
                <w:rFonts w:ascii="Times New Roman" w:cs="Times New Roman" w:eastAsia="Times New Roman" w:hAnsi="Times New Roman"/>
                <w:sz w:val="18"/>
                <w:szCs w:val="18"/>
                <w:b w:val="1"/>
                <w:bCs w:val="1"/>
                <w:color w:val="auto"/>
              </w:rPr>
              <w:t>Bruce A. Vaio</w:t>
            </w:r>
            <w:r>
              <w:rPr>
                <w:rFonts w:ascii="Times New Roman" w:cs="Times New Roman" w:eastAsia="Times New Roman" w:hAnsi="Times New Roman"/>
                <w:sz w:val="22"/>
                <w:szCs w:val="22"/>
                <w:b w:val="1"/>
                <w:bCs w:val="1"/>
                <w:color w:val="auto"/>
                <w:vertAlign w:val="superscript"/>
              </w:rPr>
              <w:t>2</w:t>
            </w:r>
          </w:p>
        </w:tc>
        <w:tc>
          <w:tcPr>
            <w:tcW w:w="2220" w:type="dxa"/>
            <w:vAlign w:val="bottom"/>
            <w:tcBorders>
              <w:bottom w:val="single" w:sz="8" w:color="auto"/>
            </w:tcBorders>
            <w:gridSpan w:val="2"/>
          </w:tcPr>
          <w:p>
            <w:pPr>
              <w:jc w:val="right"/>
              <w:ind w:right="767"/>
              <w:spacing w:after="0"/>
              <w:rPr>
                <w:sz w:val="20"/>
                <w:szCs w:val="20"/>
                <w:color w:val="auto"/>
              </w:rPr>
            </w:pPr>
            <w:r>
              <w:rPr>
                <w:rFonts w:ascii="Times New Roman" w:cs="Times New Roman" w:eastAsia="Times New Roman" w:hAnsi="Times New Roman"/>
                <w:sz w:val="18"/>
                <w:szCs w:val="18"/>
                <w:color w:val="auto"/>
              </w:rPr>
              <w:t>5,000</w:t>
            </w:r>
          </w:p>
        </w:tc>
        <w:tc>
          <w:tcPr>
            <w:tcW w:w="152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222,100</w:t>
            </w:r>
          </w:p>
        </w:tc>
        <w:tc>
          <w:tcPr>
            <w:tcW w:w="18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rPr>
              <w:t>14,738</w:t>
            </w: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3,483,757</w:t>
            </w:r>
          </w:p>
        </w:tc>
      </w:tr>
      <w:tr>
        <w:trPr>
          <w:trHeight w:val="88"/>
        </w:trPr>
        <w:tc>
          <w:tcPr>
            <w:tcW w:w="110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r>
    </w:tbl>
    <w:p>
      <w:pPr>
        <w:spacing w:after="0" w:line="14" w:lineRule="exact"/>
        <w:rPr>
          <w:sz w:val="20"/>
          <w:szCs w:val="20"/>
          <w:color w:val="auto"/>
        </w:rPr>
      </w:pPr>
    </w:p>
    <w:p>
      <w:pPr>
        <w:ind w:left="323" w:hanging="323"/>
        <w:spacing w:after="0"/>
        <w:tabs>
          <w:tab w:leader="none" w:pos="323"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column (e) include the value of restricted stock unit awards at the time of vesting and the appreciation of both mandatory and voluntary contributions under the Incentive Stock Plan.</w:t>
      </w:r>
    </w:p>
    <w:p>
      <w:pPr>
        <w:spacing w:after="0" w:line="92" w:lineRule="exact"/>
        <w:rPr>
          <w:sz w:val="20"/>
          <w:szCs w:val="20"/>
          <w:color w:val="auto"/>
        </w:rPr>
      </w:pPr>
    </w:p>
    <w:p>
      <w:pPr>
        <w:jc w:val="both"/>
        <w:ind w:left="323" w:right="20" w:hanging="323"/>
        <w:spacing w:after="0" w:line="234" w:lineRule="auto"/>
        <w:tabs>
          <w:tab w:leader="none" w:pos="32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Mr. Vaio’s resignation, he became vested in all outstanding and unvested restricted stock units and Incentive Stock Plan units. The amount in column (e) includes the value of the restricted stock units and Incentive Stock Plan units on the date of vesting. The restricted stock units will be delivered on the originally scheduled delivery date as if Mr. Vaio had remained employed by the Company. The Incentive Stock Plan units will be delivered on the first day following the six month anniversary of Mr. Vaio’s resignation.</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94" w:lineRule="exact"/>
        <w:rPr>
          <w:sz w:val="20"/>
          <w:szCs w:val="20"/>
          <w:color w:val="auto"/>
        </w:rPr>
      </w:pPr>
    </w:p>
    <w:p>
      <w:pPr>
        <w:ind w:left="3" w:right="20" w:firstLine="775"/>
        <w:spacing w:after="0" w:line="275" w:lineRule="auto"/>
        <w:rPr>
          <w:sz w:val="20"/>
          <w:szCs w:val="20"/>
          <w:color w:val="auto"/>
        </w:rPr>
      </w:pPr>
      <w:r>
        <w:rPr>
          <w:rFonts w:ascii="Times New Roman" w:cs="Times New Roman" w:eastAsia="Times New Roman" w:hAnsi="Times New Roman"/>
          <w:sz w:val="18"/>
          <w:szCs w:val="18"/>
          <w:color w:val="auto"/>
        </w:rPr>
        <w:t>The table below shows the present value of accumulated benefits payable to each of the named executive officers, including the number of years of service credited to each such named executive</w:t>
      </w:r>
    </w:p>
    <w:p>
      <w:pPr>
        <w:spacing w:after="0" w:line="269"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083"/>
          </w:cols>
          <w:pgMar w:left="437" w:top="613" w:right="379" w:bottom="1440" w:gutter="0" w:footer="0" w:header="0"/>
        </w:sectPr>
      </w:pPr>
    </w:p>
    <w:bookmarkStart w:id="60" w:name="page61"/>
    <w:bookmarkEnd w:id="60"/>
    <w:p>
      <w:pPr>
        <w:ind w:left="3"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10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5610860"/>
                    </a:xfrm>
                    <a:prstGeom prst="rect">
                      <a:avLst/>
                    </a:prstGeom>
                    <a:noFill/>
                  </pic:spPr>
                </pic:pic>
              </a:graphicData>
            </a:graphic>
          </wp:anchor>
        </w:drawing>
        <w:t>officer, under our Pension Plan and Supplemental Excess Retirement Plan, determined using interest rate and mortality rate assumptions consistent with those used in Martin Marietta’s financial statements.</w:t>
      </w:r>
    </w:p>
    <w:p>
      <w:pPr>
        <w:spacing w:after="0" w:line="19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PENSION BENEFITS TABLE</w:t>
      </w:r>
    </w:p>
    <w:p>
      <w:pPr>
        <w:spacing w:after="0" w:line="208" w:lineRule="exact"/>
        <w:rPr>
          <w:sz w:val="20"/>
          <w:szCs w:val="20"/>
          <w:color w:val="auto"/>
        </w:rPr>
      </w:pPr>
    </w:p>
    <w:tbl>
      <w:tblPr>
        <w:tblLayout w:type="fixed"/>
        <w:tblInd w:w="13" w:type="dxa"/>
        <w:tblCellMar>
          <w:top w:w="0" w:type="dxa"/>
          <w:left w:w="0" w:type="dxa"/>
          <w:bottom w:w="0" w:type="dxa"/>
          <w:right w:w="0" w:type="dxa"/>
        </w:tblCellMar>
      </w:tblPr>
      <w:tr>
        <w:trPr>
          <w:trHeight w:val="145"/>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120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2160" w:type="dxa"/>
            <w:vAlign w:val="bottom"/>
            <w:tcBorders>
              <w:top w:val="single" w:sz="8" w:color="auto"/>
            </w:tcBorders>
            <w:shd w:val="clear" w:color="auto" w:fill="E0E0E0"/>
          </w:tcPr>
          <w:p>
            <w:pPr>
              <w:spacing w:after="0"/>
              <w:rPr>
                <w:sz w:val="12"/>
                <w:szCs w:val="12"/>
                <w:color w:val="auto"/>
              </w:rPr>
            </w:pPr>
          </w:p>
        </w:tc>
        <w:tc>
          <w:tcPr>
            <w:tcW w:w="2060" w:type="dxa"/>
            <w:vAlign w:val="bottom"/>
            <w:tcBorders>
              <w:top w:val="single" w:sz="8" w:color="auto"/>
            </w:tcBorders>
            <w:shd w:val="clear" w:color="auto" w:fill="E0E0E0"/>
          </w:tcPr>
          <w:p>
            <w:pPr>
              <w:spacing w:after="0"/>
              <w:rPr>
                <w:sz w:val="12"/>
                <w:szCs w:val="12"/>
                <w:color w:val="auto"/>
              </w:rPr>
            </w:pPr>
          </w:p>
        </w:tc>
        <w:tc>
          <w:tcPr>
            <w:tcW w:w="1500" w:type="dxa"/>
            <w:vAlign w:val="bottom"/>
            <w:tcBorders>
              <w:top w:val="single" w:sz="8" w:color="auto"/>
            </w:tcBorders>
            <w:shd w:val="clear" w:color="auto" w:fill="E0E0E0"/>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Numbers of</w:t>
            </w:r>
          </w:p>
        </w:tc>
        <w:tc>
          <w:tcPr>
            <w:tcW w:w="1540" w:type="dxa"/>
            <w:vAlign w:val="bottom"/>
            <w:tcBorders>
              <w:top w:val="single" w:sz="8" w:color="auto"/>
            </w:tcBorders>
            <w:shd w:val="clear" w:color="auto" w:fill="E0E0E0"/>
          </w:tcPr>
          <w:p>
            <w:pPr>
              <w:jc w:val="center"/>
              <w:ind w:left="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Present Value</w:t>
            </w:r>
          </w:p>
        </w:tc>
        <w:tc>
          <w:tcPr>
            <w:tcW w:w="114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160" w:type="dxa"/>
            <w:vAlign w:val="bottom"/>
            <w:shd w:val="clear" w:color="auto" w:fill="E0E0E0"/>
          </w:tcPr>
          <w:p>
            <w:pPr>
              <w:spacing w:after="0"/>
              <w:rPr>
                <w:sz w:val="12"/>
                <w:szCs w:val="12"/>
                <w:color w:val="auto"/>
              </w:rPr>
            </w:pPr>
          </w:p>
        </w:tc>
        <w:tc>
          <w:tcPr>
            <w:tcW w:w="2060" w:type="dxa"/>
            <w:vAlign w:val="bottom"/>
            <w:shd w:val="clear" w:color="auto" w:fill="E0E0E0"/>
          </w:tcPr>
          <w:p>
            <w:pPr>
              <w:spacing w:after="0"/>
              <w:rPr>
                <w:sz w:val="12"/>
                <w:szCs w:val="12"/>
                <w:color w:val="auto"/>
              </w:rPr>
            </w:pPr>
          </w:p>
        </w:tc>
        <w:tc>
          <w:tcPr>
            <w:tcW w:w="1500" w:type="dxa"/>
            <w:vAlign w:val="bottom"/>
            <w:shd w:val="clear" w:color="auto" w:fill="E0E0E0"/>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1"/>
              </w:rPr>
              <w:t>Years</w:t>
            </w:r>
          </w:p>
        </w:tc>
        <w:tc>
          <w:tcPr>
            <w:tcW w:w="154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40" w:type="dxa"/>
            <w:vAlign w:val="bottom"/>
            <w:tcBorders>
              <w:right w:val="single" w:sz="8" w:color="auto"/>
            </w:tcBorders>
            <w:shd w:val="clear" w:color="auto" w:fill="E0E0E0"/>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Payments</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160" w:type="dxa"/>
            <w:vAlign w:val="bottom"/>
            <w:shd w:val="clear" w:color="auto" w:fill="E0E0E0"/>
          </w:tcPr>
          <w:p>
            <w:pPr>
              <w:spacing w:after="0"/>
              <w:rPr>
                <w:sz w:val="12"/>
                <w:szCs w:val="12"/>
                <w:color w:val="auto"/>
              </w:rPr>
            </w:pPr>
          </w:p>
        </w:tc>
        <w:tc>
          <w:tcPr>
            <w:tcW w:w="2060" w:type="dxa"/>
            <w:vAlign w:val="bottom"/>
            <w:shd w:val="clear" w:color="auto" w:fill="E0E0E0"/>
          </w:tcPr>
          <w:p>
            <w:pPr>
              <w:spacing w:after="0"/>
              <w:rPr>
                <w:sz w:val="12"/>
                <w:szCs w:val="12"/>
                <w:color w:val="auto"/>
              </w:rPr>
            </w:pPr>
          </w:p>
        </w:tc>
        <w:tc>
          <w:tcPr>
            <w:tcW w:w="15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Credited</w:t>
            </w:r>
          </w:p>
        </w:tc>
        <w:tc>
          <w:tcPr>
            <w:tcW w:w="1540" w:type="dxa"/>
            <w:vAlign w:val="bottom"/>
            <w:shd w:val="clear" w:color="auto" w:fill="E0E0E0"/>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140" w:type="dxa"/>
            <w:vAlign w:val="bottom"/>
            <w:tcBorders>
              <w:right w:val="single" w:sz="8" w:color="auto"/>
            </w:tcBorders>
            <w:shd w:val="clear" w:color="auto" w:fill="E0E0E0"/>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During Last</w:t>
            </w: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tcBorders>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2540" w:type="dxa"/>
            <w:vAlign w:val="bottom"/>
            <w:gridSpan w:val="2"/>
            <w:vMerge w:val="restart"/>
            <w:shd w:val="clear" w:color="auto" w:fill="E0E0E0"/>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060" w:type="dxa"/>
            <w:vAlign w:val="bottom"/>
            <w:shd w:val="clear" w:color="auto" w:fill="E0E0E0"/>
          </w:tcPr>
          <w:p>
            <w:pPr>
              <w:spacing w:after="0"/>
              <w:rPr>
                <w:sz w:val="12"/>
                <w:szCs w:val="12"/>
                <w:color w:val="auto"/>
              </w:rPr>
            </w:pPr>
          </w:p>
        </w:tc>
        <w:tc>
          <w:tcPr>
            <w:tcW w:w="1500" w:type="dxa"/>
            <w:vAlign w:val="bottom"/>
            <w:shd w:val="clear" w:color="auto" w:fill="E0E0E0"/>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1540" w:type="dxa"/>
            <w:vAlign w:val="bottom"/>
            <w:shd w:val="clear" w:color="auto" w:fill="E0E0E0"/>
          </w:tcPr>
          <w:p>
            <w:pPr>
              <w:jc w:val="center"/>
              <w:ind w:left="20"/>
              <w:spacing w:after="0" w:line="139" w:lineRule="exact"/>
              <w:rPr>
                <w:sz w:val="20"/>
                <w:szCs w:val="20"/>
                <w:color w:val="auto"/>
              </w:rPr>
            </w:pPr>
            <w:r>
              <w:rPr>
                <w:rFonts w:ascii="Times New Roman" w:cs="Times New Roman" w:eastAsia="Times New Roman" w:hAnsi="Times New Roman"/>
                <w:sz w:val="14"/>
                <w:szCs w:val="14"/>
                <w:b w:val="1"/>
                <w:bCs w:val="1"/>
                <w:color w:val="auto"/>
                <w:w w:val="93"/>
              </w:rPr>
              <w:t>Benefit</w:t>
            </w:r>
          </w:p>
        </w:tc>
        <w:tc>
          <w:tcPr>
            <w:tcW w:w="1140" w:type="dxa"/>
            <w:vAlign w:val="bottom"/>
            <w:tcBorders>
              <w:right w:val="single" w:sz="8" w:color="auto"/>
            </w:tcBorders>
            <w:shd w:val="clear" w:color="auto" w:fill="E0E0E0"/>
          </w:tcPr>
          <w:p>
            <w:pPr>
              <w:jc w:val="center"/>
              <w:ind w:left="112"/>
              <w:spacing w:after="0" w:line="139" w:lineRule="exact"/>
              <w:rPr>
                <w:sz w:val="20"/>
                <w:szCs w:val="20"/>
                <w:color w:val="auto"/>
              </w:rPr>
            </w:pPr>
            <w:r>
              <w:rPr>
                <w:rFonts w:ascii="Times New Roman" w:cs="Times New Roman" w:eastAsia="Times New Roman" w:hAnsi="Times New Roman"/>
                <w:sz w:val="14"/>
                <w:szCs w:val="14"/>
                <w:b w:val="1"/>
                <w:bCs w:val="1"/>
                <w:color w:val="auto"/>
                <w:w w:val="93"/>
              </w:rPr>
              <w:t>Fiscal Year</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2540" w:type="dxa"/>
            <w:vAlign w:val="bottom"/>
            <w:gridSpan w:val="2"/>
            <w:vMerge w:val="continue"/>
            <w:shd w:val="clear" w:color="auto" w:fill="E0E0E0"/>
          </w:tcPr>
          <w:p>
            <w:pPr>
              <w:spacing w:after="0"/>
              <w:rPr>
                <w:sz w:val="12"/>
                <w:szCs w:val="12"/>
                <w:color w:val="auto"/>
              </w:rPr>
            </w:pPr>
          </w:p>
        </w:tc>
        <w:tc>
          <w:tcPr>
            <w:tcW w:w="2060" w:type="dxa"/>
            <w:vAlign w:val="bottom"/>
            <w:shd w:val="clear" w:color="auto" w:fill="E0E0E0"/>
          </w:tcPr>
          <w:p>
            <w:pPr>
              <w:jc w:val="center"/>
              <w:ind w:left="295"/>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 Name</w:t>
            </w:r>
          </w:p>
        </w:tc>
        <w:tc>
          <w:tcPr>
            <w:tcW w:w="1500" w:type="dxa"/>
            <w:vAlign w:val="bottom"/>
            <w:shd w:val="clear" w:color="auto" w:fill="E0E0E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540" w:type="dxa"/>
            <w:vAlign w:val="bottom"/>
            <w:shd w:val="clear" w:color="auto" w:fill="E0E0E0"/>
          </w:tcPr>
          <w:p>
            <w:pPr>
              <w:jc w:val="cente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1</w:t>
            </w:r>
          </w:p>
        </w:tc>
        <w:tc>
          <w:tcPr>
            <w:tcW w:w="1140" w:type="dxa"/>
            <w:vAlign w:val="bottom"/>
            <w:tcBorders>
              <w:right w:val="single" w:sz="8" w:color="auto"/>
            </w:tcBorders>
            <w:shd w:val="clear" w:color="auto" w:fill="E0E0E0"/>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4"/>
        </w:trPr>
        <w:tc>
          <w:tcPr>
            <w:tcW w:w="1100" w:type="dxa"/>
            <w:vAlign w:val="bottom"/>
            <w:tcBorders>
              <w:left w:val="single" w:sz="8" w:color="auto"/>
              <w:bottom w:val="single" w:sz="8" w:color="E0E0E0"/>
            </w:tcBorders>
            <w:shd w:val="clear" w:color="auto" w:fill="E0E0E0"/>
          </w:tcPr>
          <w:p>
            <w:pPr>
              <w:spacing w:after="0"/>
              <w:rPr>
                <w:sz w:val="16"/>
                <w:szCs w:val="16"/>
                <w:color w:val="auto"/>
              </w:rPr>
            </w:pPr>
          </w:p>
        </w:tc>
        <w:tc>
          <w:tcPr>
            <w:tcW w:w="1200" w:type="dxa"/>
            <w:vAlign w:val="bottom"/>
            <w:tcBorders>
              <w:bottom w:val="single" w:sz="8" w:color="E0E0E0"/>
            </w:tcBorders>
            <w:shd w:val="clear" w:color="auto" w:fill="E0E0E0"/>
          </w:tcPr>
          <w:p>
            <w:pPr>
              <w:spacing w:after="0"/>
              <w:rPr>
                <w:sz w:val="16"/>
                <w:szCs w:val="16"/>
                <w:color w:val="auto"/>
              </w:rPr>
            </w:pPr>
          </w:p>
        </w:tc>
        <w:tc>
          <w:tcPr>
            <w:tcW w:w="380" w:type="dxa"/>
            <w:vAlign w:val="bottom"/>
            <w:tcBorders>
              <w:bottom w:val="single" w:sz="8" w:color="auto"/>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2160" w:type="dxa"/>
            <w:vAlign w:val="bottom"/>
            <w:tcBorders>
              <w:bottom w:val="single" w:sz="8" w:color="E0E0E0"/>
            </w:tcBorders>
            <w:shd w:val="clear" w:color="auto" w:fill="E0E0E0"/>
          </w:tcPr>
          <w:p>
            <w:pPr>
              <w:spacing w:after="0"/>
              <w:rPr>
                <w:sz w:val="16"/>
                <w:szCs w:val="16"/>
                <w:color w:val="auto"/>
              </w:rPr>
            </w:pPr>
          </w:p>
        </w:tc>
        <w:tc>
          <w:tcPr>
            <w:tcW w:w="2060" w:type="dxa"/>
            <w:vAlign w:val="bottom"/>
            <w:tcBorders>
              <w:bottom w:val="single" w:sz="8" w:color="E0E0E0"/>
            </w:tcBorders>
            <w:shd w:val="clear" w:color="auto" w:fill="E0E0E0"/>
          </w:tcPr>
          <w:p>
            <w:pPr>
              <w:jc w:val="center"/>
              <w:ind w:left="295"/>
              <w:spacing w:after="0" w:line="12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500" w:type="dxa"/>
            <w:vAlign w:val="bottom"/>
            <w:tcBorders>
              <w:bottom w:val="single" w:sz="8" w:color="E0E0E0"/>
            </w:tcBorders>
            <w:shd w:val="clear" w:color="auto" w:fill="E0E0E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9"/>
              </w:rPr>
              <w:t>(c)</w:t>
            </w:r>
          </w:p>
        </w:tc>
        <w:tc>
          <w:tcPr>
            <w:tcW w:w="1540" w:type="dxa"/>
            <w:vAlign w:val="bottom"/>
            <w:tcBorders>
              <w:bottom w:val="single" w:sz="8" w:color="E0E0E0"/>
            </w:tcBorders>
            <w:shd w:val="clear" w:color="auto" w:fill="E0E0E0"/>
          </w:tcPr>
          <w:p>
            <w:pPr>
              <w:jc w:val="cente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1140" w:type="dxa"/>
            <w:vAlign w:val="bottom"/>
            <w:tcBorders>
              <w:bottom w:val="single" w:sz="8" w:color="E0E0E0"/>
              <w:right w:val="single" w:sz="8" w:color="auto"/>
            </w:tcBorders>
            <w:shd w:val="clear" w:color="auto" w:fill="E0E0E0"/>
          </w:tcPr>
          <w:p>
            <w:pPr>
              <w:jc w:val="center"/>
              <w:ind w:left="112"/>
              <w:spacing w:after="0" w:line="129" w:lineRule="exact"/>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82"/>
        </w:trPr>
        <w:tc>
          <w:tcPr>
            <w:tcW w:w="4840" w:type="dxa"/>
            <w:vAlign w:val="bottom"/>
            <w:tcBorders>
              <w:top w:val="single" w:sz="8" w:color="auto"/>
              <w:left w:val="single" w:sz="8" w:color="auto"/>
            </w:tcBorders>
            <w:gridSpan w:val="4"/>
            <w:shd w:val="clear" w:color="auto" w:fill="E0E0E0"/>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C. Howard Nye</w:t>
            </w:r>
          </w:p>
        </w:tc>
        <w:tc>
          <w:tcPr>
            <w:tcW w:w="2060" w:type="dxa"/>
            <w:vAlign w:val="bottom"/>
            <w:tcBorders>
              <w:top w:val="single" w:sz="8" w:color="auto"/>
            </w:tcBorders>
            <w:shd w:val="clear" w:color="auto" w:fill="E0E0E0"/>
          </w:tcPr>
          <w:p>
            <w:pPr>
              <w:jc w:val="center"/>
              <w:ind w:left="295"/>
              <w:spacing w:after="0" w:line="182" w:lineRule="exact"/>
              <w:rPr>
                <w:sz w:val="20"/>
                <w:szCs w:val="20"/>
                <w:color w:val="auto"/>
              </w:rPr>
            </w:pPr>
            <w:r>
              <w:rPr>
                <w:rFonts w:ascii="Times New Roman" w:cs="Times New Roman" w:eastAsia="Times New Roman" w:hAnsi="Times New Roman"/>
                <w:sz w:val="18"/>
                <w:szCs w:val="18"/>
                <w:color w:val="auto"/>
                <w:w w:val="98"/>
              </w:rPr>
              <w:t>Pension Plan</w:t>
            </w:r>
          </w:p>
        </w:tc>
        <w:tc>
          <w:tcPr>
            <w:tcW w:w="1500" w:type="dxa"/>
            <w:vAlign w:val="bottom"/>
            <w:tcBorders>
              <w:top w:val="single" w:sz="8" w:color="auto"/>
            </w:tcBorders>
            <w:shd w:val="clear" w:color="auto" w:fill="E0E0E0"/>
          </w:tcPr>
          <w:p>
            <w:pPr>
              <w:jc w:val="right"/>
              <w:ind w:right="359"/>
              <w:spacing w:after="0" w:line="182" w:lineRule="exact"/>
              <w:rPr>
                <w:sz w:val="20"/>
                <w:szCs w:val="20"/>
                <w:color w:val="auto"/>
              </w:rPr>
            </w:pPr>
            <w:r>
              <w:rPr>
                <w:rFonts w:ascii="Times New Roman" w:cs="Times New Roman" w:eastAsia="Times New Roman" w:hAnsi="Times New Roman"/>
                <w:sz w:val="18"/>
                <w:szCs w:val="18"/>
                <w:color w:val="auto"/>
              </w:rPr>
              <w:t>6.417</w:t>
            </w:r>
          </w:p>
        </w:tc>
        <w:tc>
          <w:tcPr>
            <w:tcW w:w="1540" w:type="dxa"/>
            <w:vAlign w:val="bottom"/>
            <w:tcBorders>
              <w:top w:val="single" w:sz="8" w:color="auto"/>
            </w:tcBorders>
            <w:shd w:val="clear" w:color="auto" w:fill="E0E0E0"/>
          </w:tcPr>
          <w:p>
            <w:pPr>
              <w:jc w:val="right"/>
              <w:ind w:right="240"/>
              <w:spacing w:after="0" w:line="182" w:lineRule="exact"/>
              <w:rPr>
                <w:sz w:val="20"/>
                <w:szCs w:val="20"/>
                <w:color w:val="auto"/>
              </w:rPr>
            </w:pPr>
            <w:r>
              <w:rPr>
                <w:rFonts w:ascii="Times New Roman" w:cs="Times New Roman" w:eastAsia="Times New Roman" w:hAnsi="Times New Roman"/>
                <w:sz w:val="18"/>
                <w:szCs w:val="18"/>
                <w:color w:val="auto"/>
              </w:rPr>
              <w:t>179,854</w:t>
            </w:r>
          </w:p>
        </w:tc>
        <w:tc>
          <w:tcPr>
            <w:tcW w:w="1140" w:type="dxa"/>
            <w:vAlign w:val="bottom"/>
            <w:tcBorders>
              <w:top w:val="single" w:sz="8" w:color="auto"/>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100" w:type="dxa"/>
            <w:vAlign w:val="bottom"/>
            <w:tcBorders>
              <w:left w:val="single" w:sz="8" w:color="auto"/>
            </w:tcBorders>
            <w:shd w:val="clear" w:color="auto" w:fill="E0E0E0"/>
          </w:tcPr>
          <w:p>
            <w:pPr>
              <w:spacing w:after="0"/>
              <w:rPr>
                <w:sz w:val="21"/>
                <w:szCs w:val="21"/>
                <w:color w:val="auto"/>
              </w:rPr>
            </w:pPr>
          </w:p>
        </w:tc>
        <w:tc>
          <w:tcPr>
            <w:tcW w:w="120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2160" w:type="dxa"/>
            <w:vAlign w:val="bottom"/>
            <w:shd w:val="clear" w:color="auto" w:fill="E0E0E0"/>
          </w:tcPr>
          <w:p>
            <w:pPr>
              <w:spacing w:after="0"/>
              <w:rPr>
                <w:sz w:val="21"/>
                <w:szCs w:val="21"/>
                <w:color w:val="auto"/>
              </w:rPr>
            </w:pPr>
          </w:p>
        </w:tc>
        <w:tc>
          <w:tcPr>
            <w:tcW w:w="2060" w:type="dxa"/>
            <w:vAlign w:val="bottom"/>
            <w:shd w:val="clear" w:color="auto" w:fill="E0E0E0"/>
          </w:tcPr>
          <w:p>
            <w:pPr>
              <w:jc w:val="center"/>
              <w:ind w:left="315"/>
              <w:spacing w:after="0"/>
              <w:rPr>
                <w:sz w:val="20"/>
                <w:szCs w:val="20"/>
                <w:color w:val="auto"/>
              </w:rPr>
            </w:pPr>
            <w:r>
              <w:rPr>
                <w:rFonts w:ascii="Times New Roman" w:cs="Times New Roman" w:eastAsia="Times New Roman" w:hAnsi="Times New Roman"/>
                <w:sz w:val="18"/>
                <w:szCs w:val="18"/>
                <w:color w:val="auto"/>
                <w:w w:val="97"/>
              </w:rPr>
              <w:t>SERP</w:t>
            </w:r>
          </w:p>
        </w:tc>
        <w:tc>
          <w:tcPr>
            <w:tcW w:w="1500" w:type="dxa"/>
            <w:vAlign w:val="bottom"/>
            <w:shd w:val="clear" w:color="auto" w:fill="E0E0E0"/>
          </w:tcPr>
          <w:p>
            <w:pPr>
              <w:jc w:val="right"/>
              <w:ind w:right="359"/>
              <w:spacing w:after="0"/>
              <w:rPr>
                <w:sz w:val="20"/>
                <w:szCs w:val="20"/>
                <w:color w:val="auto"/>
              </w:rPr>
            </w:pPr>
            <w:r>
              <w:rPr>
                <w:rFonts w:ascii="Times New Roman" w:cs="Times New Roman" w:eastAsia="Times New Roman" w:hAnsi="Times New Roman"/>
                <w:sz w:val="18"/>
                <w:szCs w:val="18"/>
                <w:color w:val="auto"/>
              </w:rPr>
              <w:t>6.417</w:t>
            </w:r>
          </w:p>
        </w:tc>
        <w:tc>
          <w:tcPr>
            <w:tcW w:w="1540" w:type="dxa"/>
            <w:vAlign w:val="bottom"/>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1,042,004</w:t>
            </w:r>
          </w:p>
        </w:tc>
        <w:tc>
          <w:tcPr>
            <w:tcW w:w="1140" w:type="dxa"/>
            <w:vAlign w:val="bottom"/>
            <w:tcBorders>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40" w:type="dxa"/>
            <w:vAlign w:val="bottom"/>
            <w:tcBorders>
              <w:left w:val="single" w:sz="8" w:color="auto"/>
            </w:tcBorders>
            <w:gridSpan w:val="4"/>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Anne H. Lloyd</w:t>
            </w:r>
          </w:p>
        </w:tc>
        <w:tc>
          <w:tcPr>
            <w:tcW w:w="2060" w:type="dxa"/>
            <w:vAlign w:val="bottom"/>
          </w:tcPr>
          <w:p>
            <w:pPr>
              <w:jc w:val="center"/>
              <w:ind w:left="295"/>
              <w:spacing w:after="0" w:line="201" w:lineRule="exact"/>
              <w:rPr>
                <w:sz w:val="20"/>
                <w:szCs w:val="20"/>
                <w:color w:val="auto"/>
              </w:rPr>
            </w:pPr>
            <w:r>
              <w:rPr>
                <w:rFonts w:ascii="Times New Roman" w:cs="Times New Roman" w:eastAsia="Times New Roman" w:hAnsi="Times New Roman"/>
                <w:sz w:val="18"/>
                <w:szCs w:val="18"/>
                <w:color w:val="auto"/>
                <w:w w:val="98"/>
              </w:rPr>
              <w:t>Pension Plan</w:t>
            </w:r>
          </w:p>
        </w:tc>
        <w:tc>
          <w:tcPr>
            <w:tcW w:w="1500" w:type="dxa"/>
            <w:vAlign w:val="bottom"/>
          </w:tcPr>
          <w:p>
            <w:pPr>
              <w:jc w:val="right"/>
              <w:ind w:right="359"/>
              <w:spacing w:after="0" w:line="201" w:lineRule="exact"/>
              <w:rPr>
                <w:sz w:val="20"/>
                <w:szCs w:val="20"/>
                <w:color w:val="auto"/>
              </w:rPr>
            </w:pPr>
            <w:r>
              <w:rPr>
                <w:rFonts w:ascii="Times New Roman" w:cs="Times New Roman" w:eastAsia="Times New Roman" w:hAnsi="Times New Roman"/>
                <w:sz w:val="18"/>
                <w:szCs w:val="18"/>
                <w:color w:val="auto"/>
              </w:rPr>
              <w:t>14.583</w:t>
            </w:r>
          </w:p>
        </w:tc>
        <w:tc>
          <w:tcPr>
            <w:tcW w:w="1540" w:type="dxa"/>
            <w:vAlign w:val="bottom"/>
          </w:tcPr>
          <w:p>
            <w:pPr>
              <w:jc w:val="right"/>
              <w:ind w:right="240"/>
              <w:spacing w:after="0" w:line="201" w:lineRule="exact"/>
              <w:rPr>
                <w:sz w:val="20"/>
                <w:szCs w:val="20"/>
                <w:color w:val="auto"/>
              </w:rPr>
            </w:pPr>
            <w:r>
              <w:rPr>
                <w:rFonts w:ascii="Times New Roman" w:cs="Times New Roman" w:eastAsia="Times New Roman" w:hAnsi="Times New Roman"/>
                <w:sz w:val="18"/>
                <w:szCs w:val="18"/>
                <w:color w:val="auto"/>
              </w:rPr>
              <w:t>454,156</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0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7"/>
              </w:rPr>
              <w:t>SERP</w:t>
            </w:r>
          </w:p>
        </w:tc>
        <w:tc>
          <w:tcPr>
            <w:tcW w:w="150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14.583</w:t>
            </w:r>
          </w:p>
        </w:tc>
        <w:tc>
          <w:tcPr>
            <w:tcW w:w="154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1,169,911</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40" w:type="dxa"/>
            <w:vAlign w:val="bottom"/>
            <w:tcBorders>
              <w:left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Roselyn R. Bar</w:t>
            </w:r>
          </w:p>
        </w:tc>
        <w:tc>
          <w:tcPr>
            <w:tcW w:w="2060" w:type="dxa"/>
            <w:vAlign w:val="bottom"/>
            <w:shd w:val="clear" w:color="auto" w:fill="E0E0E0"/>
          </w:tcPr>
          <w:p>
            <w:pPr>
              <w:jc w:val="center"/>
              <w:ind w:left="295"/>
              <w:spacing w:after="0"/>
              <w:rPr>
                <w:sz w:val="20"/>
                <w:szCs w:val="20"/>
                <w:color w:val="auto"/>
              </w:rPr>
            </w:pPr>
            <w:r>
              <w:rPr>
                <w:rFonts w:ascii="Times New Roman" w:cs="Times New Roman" w:eastAsia="Times New Roman" w:hAnsi="Times New Roman"/>
                <w:sz w:val="18"/>
                <w:szCs w:val="18"/>
                <w:color w:val="auto"/>
                <w:w w:val="98"/>
              </w:rPr>
              <w:t>Pension Plan</w:t>
            </w:r>
          </w:p>
        </w:tc>
        <w:tc>
          <w:tcPr>
            <w:tcW w:w="1500" w:type="dxa"/>
            <w:vAlign w:val="bottom"/>
            <w:shd w:val="clear" w:color="auto" w:fill="E0E0E0"/>
          </w:tcPr>
          <w:p>
            <w:pPr>
              <w:jc w:val="right"/>
              <w:ind w:right="359"/>
              <w:spacing w:after="0"/>
              <w:rPr>
                <w:sz w:val="20"/>
                <w:szCs w:val="20"/>
                <w:color w:val="auto"/>
              </w:rPr>
            </w:pPr>
            <w:r>
              <w:rPr>
                <w:rFonts w:ascii="Times New Roman" w:cs="Times New Roman" w:eastAsia="Times New Roman" w:hAnsi="Times New Roman"/>
                <w:sz w:val="18"/>
                <w:szCs w:val="18"/>
                <w:color w:val="auto"/>
              </w:rPr>
              <w:t>18.500</w:t>
            </w:r>
          </w:p>
        </w:tc>
        <w:tc>
          <w:tcPr>
            <w:tcW w:w="1540" w:type="dxa"/>
            <w:vAlign w:val="bottom"/>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658,001</w:t>
            </w:r>
          </w:p>
        </w:tc>
        <w:tc>
          <w:tcPr>
            <w:tcW w:w="11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00" w:type="dxa"/>
            <w:vAlign w:val="bottom"/>
            <w:tcBorders>
              <w:left w:val="single" w:sz="8" w:color="auto"/>
            </w:tcBorders>
            <w:shd w:val="clear" w:color="auto" w:fill="E0E0E0"/>
          </w:tcPr>
          <w:p>
            <w:pPr>
              <w:spacing w:after="0"/>
              <w:rPr>
                <w:sz w:val="21"/>
                <w:szCs w:val="21"/>
                <w:color w:val="auto"/>
              </w:rPr>
            </w:pPr>
          </w:p>
        </w:tc>
        <w:tc>
          <w:tcPr>
            <w:tcW w:w="120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2160" w:type="dxa"/>
            <w:vAlign w:val="bottom"/>
            <w:shd w:val="clear" w:color="auto" w:fill="E0E0E0"/>
          </w:tcPr>
          <w:p>
            <w:pPr>
              <w:spacing w:after="0"/>
              <w:rPr>
                <w:sz w:val="21"/>
                <w:szCs w:val="21"/>
                <w:color w:val="auto"/>
              </w:rPr>
            </w:pPr>
          </w:p>
        </w:tc>
        <w:tc>
          <w:tcPr>
            <w:tcW w:w="2060" w:type="dxa"/>
            <w:vAlign w:val="bottom"/>
            <w:shd w:val="clear" w:color="auto" w:fill="E0E0E0"/>
          </w:tcPr>
          <w:p>
            <w:pPr>
              <w:jc w:val="center"/>
              <w:ind w:left="315"/>
              <w:spacing w:after="0"/>
              <w:rPr>
                <w:sz w:val="20"/>
                <w:szCs w:val="20"/>
                <w:color w:val="auto"/>
              </w:rPr>
            </w:pPr>
            <w:r>
              <w:rPr>
                <w:rFonts w:ascii="Times New Roman" w:cs="Times New Roman" w:eastAsia="Times New Roman" w:hAnsi="Times New Roman"/>
                <w:sz w:val="18"/>
                <w:szCs w:val="18"/>
                <w:color w:val="auto"/>
                <w:w w:val="97"/>
              </w:rPr>
              <w:t>SERP</w:t>
            </w:r>
          </w:p>
        </w:tc>
        <w:tc>
          <w:tcPr>
            <w:tcW w:w="1500" w:type="dxa"/>
            <w:vAlign w:val="bottom"/>
            <w:shd w:val="clear" w:color="auto" w:fill="E0E0E0"/>
          </w:tcPr>
          <w:p>
            <w:pPr>
              <w:jc w:val="right"/>
              <w:ind w:right="359"/>
              <w:spacing w:after="0"/>
              <w:rPr>
                <w:sz w:val="20"/>
                <w:szCs w:val="20"/>
                <w:color w:val="auto"/>
              </w:rPr>
            </w:pPr>
            <w:r>
              <w:rPr>
                <w:rFonts w:ascii="Times New Roman" w:cs="Times New Roman" w:eastAsia="Times New Roman" w:hAnsi="Times New Roman"/>
                <w:sz w:val="18"/>
                <w:szCs w:val="18"/>
                <w:color w:val="auto"/>
              </w:rPr>
              <w:t>18.500</w:t>
            </w:r>
          </w:p>
        </w:tc>
        <w:tc>
          <w:tcPr>
            <w:tcW w:w="1540" w:type="dxa"/>
            <w:vAlign w:val="bottom"/>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1,181,751</w:t>
            </w:r>
          </w:p>
        </w:tc>
        <w:tc>
          <w:tcPr>
            <w:tcW w:w="1140" w:type="dxa"/>
            <w:vAlign w:val="bottom"/>
            <w:tcBorders>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40" w:type="dxa"/>
            <w:vAlign w:val="bottom"/>
            <w:tcBorders>
              <w:left w:val="single" w:sz="8" w:color="auto"/>
            </w:tcBorders>
            <w:gridSpan w:val="4"/>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Donald A. McCunniff</w:t>
            </w:r>
          </w:p>
        </w:tc>
        <w:tc>
          <w:tcPr>
            <w:tcW w:w="2060" w:type="dxa"/>
            <w:vAlign w:val="bottom"/>
          </w:tcPr>
          <w:p>
            <w:pPr>
              <w:jc w:val="center"/>
              <w:ind w:left="295"/>
              <w:spacing w:after="0" w:line="201" w:lineRule="exact"/>
              <w:rPr>
                <w:sz w:val="20"/>
                <w:szCs w:val="20"/>
                <w:color w:val="auto"/>
              </w:rPr>
            </w:pPr>
            <w:r>
              <w:rPr>
                <w:rFonts w:ascii="Times New Roman" w:cs="Times New Roman" w:eastAsia="Times New Roman" w:hAnsi="Times New Roman"/>
                <w:sz w:val="18"/>
                <w:szCs w:val="18"/>
                <w:color w:val="auto"/>
                <w:w w:val="98"/>
              </w:rPr>
              <w:t>Pension Plan</w:t>
            </w:r>
          </w:p>
        </w:tc>
        <w:tc>
          <w:tcPr>
            <w:tcW w:w="1500" w:type="dxa"/>
            <w:vAlign w:val="bottom"/>
          </w:tcPr>
          <w:p>
            <w:pPr>
              <w:jc w:val="right"/>
              <w:ind w:right="359"/>
              <w:spacing w:after="0" w:line="201" w:lineRule="exact"/>
              <w:rPr>
                <w:sz w:val="20"/>
                <w:szCs w:val="20"/>
                <w:color w:val="auto"/>
              </w:rPr>
            </w:pPr>
            <w:r>
              <w:rPr>
                <w:rFonts w:ascii="Times New Roman" w:cs="Times New Roman" w:eastAsia="Times New Roman" w:hAnsi="Times New Roman"/>
                <w:sz w:val="18"/>
                <w:szCs w:val="18"/>
                <w:color w:val="auto"/>
              </w:rPr>
              <w:t>1.417</w:t>
            </w:r>
          </w:p>
        </w:tc>
        <w:tc>
          <w:tcPr>
            <w:tcW w:w="1540" w:type="dxa"/>
            <w:vAlign w:val="bottom"/>
          </w:tcPr>
          <w:p>
            <w:pPr>
              <w:jc w:val="right"/>
              <w:ind w:right="240"/>
              <w:spacing w:after="0" w:line="201" w:lineRule="exact"/>
              <w:rPr>
                <w:sz w:val="20"/>
                <w:szCs w:val="20"/>
                <w:color w:val="auto"/>
              </w:rPr>
            </w:pPr>
            <w:r>
              <w:rPr>
                <w:rFonts w:ascii="Times New Roman" w:cs="Times New Roman" w:eastAsia="Times New Roman" w:hAnsi="Times New Roman"/>
                <w:sz w:val="18"/>
                <w:szCs w:val="18"/>
                <w:color w:val="auto"/>
              </w:rPr>
              <w:t>35,389</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0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7"/>
              </w:rPr>
              <w:t>SERP</w:t>
            </w:r>
          </w:p>
        </w:tc>
        <w:tc>
          <w:tcPr>
            <w:tcW w:w="150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1.417</w:t>
            </w:r>
          </w:p>
        </w:tc>
        <w:tc>
          <w:tcPr>
            <w:tcW w:w="154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59,972</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40" w:type="dxa"/>
            <w:vAlign w:val="bottom"/>
            <w:tcBorders>
              <w:left w:val="single" w:sz="8" w:color="auto"/>
            </w:tcBorders>
            <w:gridSpan w:val="4"/>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Dana F. Guzzo</w:t>
            </w:r>
          </w:p>
        </w:tc>
        <w:tc>
          <w:tcPr>
            <w:tcW w:w="2060" w:type="dxa"/>
            <w:vAlign w:val="bottom"/>
            <w:shd w:val="clear" w:color="auto" w:fill="E0E0E0"/>
          </w:tcPr>
          <w:p>
            <w:pPr>
              <w:jc w:val="center"/>
              <w:ind w:left="295"/>
              <w:spacing w:after="0"/>
              <w:rPr>
                <w:sz w:val="20"/>
                <w:szCs w:val="20"/>
                <w:color w:val="auto"/>
              </w:rPr>
            </w:pPr>
            <w:r>
              <w:rPr>
                <w:rFonts w:ascii="Times New Roman" w:cs="Times New Roman" w:eastAsia="Times New Roman" w:hAnsi="Times New Roman"/>
                <w:sz w:val="18"/>
                <w:szCs w:val="18"/>
                <w:color w:val="auto"/>
                <w:w w:val="98"/>
              </w:rPr>
              <w:t>Pension Plan</w:t>
            </w:r>
          </w:p>
        </w:tc>
        <w:tc>
          <w:tcPr>
            <w:tcW w:w="1500" w:type="dxa"/>
            <w:vAlign w:val="bottom"/>
            <w:shd w:val="clear" w:color="auto" w:fill="E0E0E0"/>
          </w:tcPr>
          <w:p>
            <w:pPr>
              <w:jc w:val="right"/>
              <w:ind w:right="359"/>
              <w:spacing w:after="0"/>
              <w:rPr>
                <w:sz w:val="20"/>
                <w:szCs w:val="20"/>
                <w:color w:val="auto"/>
              </w:rPr>
            </w:pPr>
            <w:r>
              <w:rPr>
                <w:rFonts w:ascii="Times New Roman" w:cs="Times New Roman" w:eastAsia="Times New Roman" w:hAnsi="Times New Roman"/>
                <w:sz w:val="18"/>
                <w:szCs w:val="18"/>
                <w:color w:val="auto"/>
              </w:rPr>
              <w:t>8.750</w:t>
            </w:r>
          </w:p>
        </w:tc>
        <w:tc>
          <w:tcPr>
            <w:tcW w:w="1540" w:type="dxa"/>
            <w:vAlign w:val="bottom"/>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227,162</w:t>
            </w:r>
          </w:p>
        </w:tc>
        <w:tc>
          <w:tcPr>
            <w:tcW w:w="11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00" w:type="dxa"/>
            <w:vAlign w:val="bottom"/>
            <w:tcBorders>
              <w:left w:val="single" w:sz="8" w:color="auto"/>
            </w:tcBorders>
            <w:shd w:val="clear" w:color="auto" w:fill="E0E0E0"/>
          </w:tcPr>
          <w:p>
            <w:pPr>
              <w:spacing w:after="0"/>
              <w:rPr>
                <w:sz w:val="21"/>
                <w:szCs w:val="21"/>
                <w:color w:val="auto"/>
              </w:rPr>
            </w:pPr>
          </w:p>
        </w:tc>
        <w:tc>
          <w:tcPr>
            <w:tcW w:w="120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2160" w:type="dxa"/>
            <w:vAlign w:val="bottom"/>
            <w:shd w:val="clear" w:color="auto" w:fill="E0E0E0"/>
          </w:tcPr>
          <w:p>
            <w:pPr>
              <w:spacing w:after="0"/>
              <w:rPr>
                <w:sz w:val="21"/>
                <w:szCs w:val="21"/>
                <w:color w:val="auto"/>
              </w:rPr>
            </w:pPr>
          </w:p>
        </w:tc>
        <w:tc>
          <w:tcPr>
            <w:tcW w:w="2060" w:type="dxa"/>
            <w:vAlign w:val="bottom"/>
            <w:shd w:val="clear" w:color="auto" w:fill="E0E0E0"/>
          </w:tcPr>
          <w:p>
            <w:pPr>
              <w:jc w:val="center"/>
              <w:ind w:left="315"/>
              <w:spacing w:after="0"/>
              <w:rPr>
                <w:sz w:val="20"/>
                <w:szCs w:val="20"/>
                <w:color w:val="auto"/>
              </w:rPr>
            </w:pPr>
            <w:r>
              <w:rPr>
                <w:rFonts w:ascii="Times New Roman" w:cs="Times New Roman" w:eastAsia="Times New Roman" w:hAnsi="Times New Roman"/>
                <w:sz w:val="18"/>
                <w:szCs w:val="18"/>
                <w:color w:val="auto"/>
                <w:w w:val="97"/>
              </w:rPr>
              <w:t>SERP</w:t>
            </w:r>
          </w:p>
        </w:tc>
        <w:tc>
          <w:tcPr>
            <w:tcW w:w="1500" w:type="dxa"/>
            <w:vAlign w:val="bottom"/>
            <w:shd w:val="clear" w:color="auto" w:fill="E0E0E0"/>
          </w:tcPr>
          <w:p>
            <w:pPr>
              <w:jc w:val="right"/>
              <w:ind w:right="359"/>
              <w:spacing w:after="0"/>
              <w:rPr>
                <w:sz w:val="20"/>
                <w:szCs w:val="20"/>
                <w:color w:val="auto"/>
              </w:rPr>
            </w:pPr>
            <w:r>
              <w:rPr>
                <w:rFonts w:ascii="Times New Roman" w:cs="Times New Roman" w:eastAsia="Times New Roman" w:hAnsi="Times New Roman"/>
                <w:sz w:val="18"/>
                <w:szCs w:val="18"/>
                <w:color w:val="auto"/>
              </w:rPr>
              <w:t>8.750</w:t>
            </w:r>
          </w:p>
        </w:tc>
        <w:tc>
          <w:tcPr>
            <w:tcW w:w="1540" w:type="dxa"/>
            <w:vAlign w:val="bottom"/>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126,459</w:t>
            </w:r>
          </w:p>
        </w:tc>
        <w:tc>
          <w:tcPr>
            <w:tcW w:w="1140" w:type="dxa"/>
            <w:vAlign w:val="bottom"/>
            <w:tcBorders>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840" w:type="dxa"/>
            <w:vAlign w:val="bottom"/>
            <w:tcBorders>
              <w:left w:val="single" w:sz="8" w:color="auto"/>
            </w:tcBorders>
            <w:gridSpan w:val="4"/>
          </w:tcPr>
          <w:p>
            <w:pPr>
              <w:ind w:left="120"/>
              <w:spacing w:after="0" w:line="200" w:lineRule="exact"/>
              <w:rPr>
                <w:sz w:val="20"/>
                <w:szCs w:val="20"/>
                <w:color w:val="auto"/>
              </w:rPr>
            </w:pPr>
            <w:r>
              <w:rPr>
                <w:rFonts w:ascii="Times New Roman" w:cs="Times New Roman" w:eastAsia="Times New Roman" w:hAnsi="Times New Roman"/>
                <w:sz w:val="18"/>
                <w:szCs w:val="18"/>
                <w:b w:val="1"/>
                <w:bCs w:val="1"/>
                <w:i w:val="1"/>
                <w:iCs w:val="1"/>
                <w:color w:val="auto"/>
              </w:rPr>
              <w:t>Former Executive Officer:</w:t>
            </w:r>
          </w:p>
        </w:tc>
        <w:tc>
          <w:tcPr>
            <w:tcW w:w="2060" w:type="dxa"/>
            <w:vAlign w:val="bottom"/>
          </w:tcPr>
          <w:p>
            <w:pPr>
              <w:jc w:val="center"/>
              <w:ind w:left="295"/>
              <w:spacing w:after="0" w:line="200" w:lineRule="exact"/>
              <w:rPr>
                <w:sz w:val="20"/>
                <w:szCs w:val="20"/>
                <w:color w:val="auto"/>
              </w:rPr>
            </w:pPr>
            <w:r>
              <w:rPr>
                <w:rFonts w:ascii="Times New Roman" w:cs="Times New Roman" w:eastAsia="Times New Roman" w:hAnsi="Times New Roman"/>
                <w:sz w:val="18"/>
                <w:szCs w:val="18"/>
                <w:color w:val="auto"/>
                <w:w w:val="98"/>
              </w:rPr>
              <w:t>Pension Plan</w:t>
            </w:r>
          </w:p>
        </w:tc>
        <w:tc>
          <w:tcPr>
            <w:tcW w:w="1500" w:type="dxa"/>
            <w:vAlign w:val="bottom"/>
          </w:tcPr>
          <w:p>
            <w:pPr>
              <w:jc w:val="right"/>
              <w:ind w:right="359"/>
              <w:spacing w:after="0" w:line="200" w:lineRule="exact"/>
              <w:rPr>
                <w:sz w:val="20"/>
                <w:szCs w:val="20"/>
                <w:color w:val="auto"/>
              </w:rPr>
            </w:pPr>
            <w:r>
              <w:rPr>
                <w:rFonts w:ascii="Times New Roman" w:cs="Times New Roman" w:eastAsia="Times New Roman" w:hAnsi="Times New Roman"/>
                <w:sz w:val="18"/>
                <w:szCs w:val="18"/>
                <w:color w:val="auto"/>
              </w:rPr>
              <w:t>16.583</w:t>
            </w:r>
          </w:p>
        </w:tc>
        <w:tc>
          <w:tcPr>
            <w:tcW w:w="1540" w:type="dxa"/>
            <w:vAlign w:val="bottom"/>
          </w:tcPr>
          <w:p>
            <w:pPr>
              <w:jc w:val="right"/>
              <w:ind w:right="240"/>
              <w:spacing w:after="0" w:line="200" w:lineRule="exact"/>
              <w:rPr>
                <w:sz w:val="20"/>
                <w:szCs w:val="20"/>
                <w:color w:val="auto"/>
              </w:rPr>
            </w:pPr>
            <w:r>
              <w:rPr>
                <w:rFonts w:ascii="Times New Roman" w:cs="Times New Roman" w:eastAsia="Times New Roman" w:hAnsi="Times New Roman"/>
                <w:sz w:val="18"/>
                <w:szCs w:val="18"/>
                <w:color w:val="auto"/>
              </w:rPr>
              <w:t>402,905</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40" w:type="dxa"/>
            <w:vAlign w:val="bottom"/>
            <w:tcBorders>
              <w:left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Bruce A. Vaio</w:t>
            </w:r>
          </w:p>
        </w:tc>
        <w:tc>
          <w:tcPr>
            <w:tcW w:w="206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w w:val="97"/>
              </w:rPr>
              <w:t>SERP</w:t>
            </w:r>
          </w:p>
        </w:tc>
        <w:tc>
          <w:tcPr>
            <w:tcW w:w="15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16.583</w:t>
            </w:r>
          </w:p>
        </w:tc>
        <w:tc>
          <w:tcPr>
            <w:tcW w:w="15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8"/>
                <w:szCs w:val="18"/>
                <w:color w:val="auto"/>
              </w:rPr>
              <w:t>1,427,115</w:t>
            </w: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23" w:right="20" w:hanging="323"/>
        <w:spacing w:after="0" w:line="241" w:lineRule="auto"/>
        <w:tabs>
          <w:tab w:leader="none" w:pos="32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column (d) reflect the valuation method and use the assumptions that are included in Notes A and J to Martin Marietta’s audited financial statements for the fiscal year ended December 31, 2012, included in Martin Marietta’s Annual Report on Form 10-K filed with the Securities and Exchange Commission on February 28, 2013.</w:t>
      </w:r>
    </w:p>
    <w:p>
      <w:pPr>
        <w:spacing w:after="0" w:line="134" w:lineRule="exact"/>
        <w:rPr>
          <w:sz w:val="20"/>
          <w:szCs w:val="20"/>
          <w:color w:val="auto"/>
        </w:rPr>
      </w:pPr>
    </w:p>
    <w:p>
      <w:pPr>
        <w:jc w:val="both"/>
        <w:ind w:left="3" w:right="20" w:firstLine="775"/>
        <w:spacing w:after="0" w:line="286" w:lineRule="auto"/>
        <w:rPr>
          <w:sz w:val="20"/>
          <w:szCs w:val="20"/>
          <w:color w:val="auto"/>
        </w:rPr>
      </w:pPr>
      <w:r>
        <w:rPr>
          <w:rFonts w:ascii="Times New Roman" w:cs="Times New Roman" w:eastAsia="Times New Roman" w:hAnsi="Times New Roman"/>
          <w:sz w:val="16"/>
          <w:szCs w:val="16"/>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 including a limitation on the amount of annual compensation for purposes of calculating eligible remuneration for a participant under a qualified retirement plan ($250,000 in 2012). Martin Marietta’s Supplemental Excess Retirement Plan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None of the named executive officers are eligible for early retirement, which allows for payment to employees who are age 55 with at least five years of service at a reduced benefit based on the number of years of</w:t>
      </w:r>
    </w:p>
    <w:p>
      <w:pPr>
        <w:spacing w:after="0" w:line="200" w:lineRule="exact"/>
        <w:rPr>
          <w:sz w:val="20"/>
          <w:szCs w:val="20"/>
          <w:color w:val="auto"/>
        </w:rPr>
      </w:pPr>
    </w:p>
    <w:p>
      <w:pPr>
        <w:spacing w:after="0" w:line="272"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083"/>
          </w:cols>
          <w:pgMar w:left="437" w:top="463" w:right="379" w:bottom="1440" w:gutter="0" w:footer="0" w:header="0"/>
        </w:sectPr>
      </w:pPr>
    </w:p>
    <w:bookmarkStart w:id="61" w:name="page62"/>
    <w:bookmarkEnd w:id="61"/>
    <w:p>
      <w:pPr>
        <w:jc w:val="both"/>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service and the number of years prior to age 62 at which the benefits began. The named executive officers are not yet eligible for early retirement, but would still be eligible for payments at age 55 at a reduced benefit based on the number of years of service and the number of years prior to age 65 at which the benefits began. The present value of the Pension Plan and SERP benefit, respectively, for Mr. Nye, Ms. Lloyd, Ms. Bar, Mr. McCunniff, and Ms. Guzzo, who are not yet retirement eligible, if they had terminated on December 31, 2012 and began collecting benefits at age 55 would be as follows: Mr. Nye, $142,915 and $868,538, respectively; Ms. Lloyd, $410,851 and $1,128,131, respectively; Ms. Bar, $635,557 and $1,216,775, respectively; Mr. McCunniff, $0 and $0, respectively, since he is not vested in the plan; and Ms. Guzzo, $184,613 and $109,532, respectively. Mr. Vaio, who resigned from Martin Marietta on December 28, 2012, became vested in his Pension Plan and SERP benefits in connection with his resignation. The present value of such benefits is $470,529 and $1,427,115, respectively. The amounts listed in the foregoing table are not subject to any deduction for Social Security benefits or other offset amounts.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94"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color w:val="auto"/>
        </w:rPr>
        <w:t>The discussion and tables below reflect the amount of potential payments and benefits to each of the named executive officers (other than Mr. Vaio)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2012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 Mr. Vaio’s entitlements upon his resignation are described on page 62 of this Proxy Statement.</w:t>
      </w:r>
    </w:p>
    <w:p>
      <w:pPr>
        <w:spacing w:after="0" w:line="139" w:lineRule="exact"/>
        <w:rPr>
          <w:sz w:val="20"/>
          <w:szCs w:val="20"/>
          <w:color w:val="auto"/>
        </w:rPr>
      </w:pPr>
    </w:p>
    <w:p>
      <w:pPr>
        <w:jc w:val="both"/>
        <w:ind w:firstLine="775"/>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Payments Upon Any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Regardless of the manner in which the employment of a named executive officer terminates, he or she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the amounts earned during the term of employment, including cash compensation earned during the fiscal year, amounts contributed by the employee and Martin Marietta’s matching contributions to the Performance Sharing Plan, unused earned vacation pay and amounts accrued and vested through Martin Marietta’s Pension Plan and SERP.</w:t>
      </w:r>
    </w:p>
    <w:p>
      <w:pPr>
        <w:spacing w:after="0" w:line="133" w:lineRule="exact"/>
        <w:rPr>
          <w:sz w:val="20"/>
          <w:szCs w:val="20"/>
          <w:color w:val="auto"/>
        </w:rPr>
      </w:pPr>
    </w:p>
    <w:p>
      <w:pPr>
        <w:jc w:val="both"/>
        <w:ind w:firstLine="775"/>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Payments Upon Voluntary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amounts described under the heading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Payments Upon Any Termination</w:t>
      </w:r>
      <w:r>
        <w:rPr>
          <w:rFonts w:ascii="Times New Roman" w:cs="Times New Roman" w:eastAsia="Times New Roman" w:hAnsi="Times New Roman"/>
          <w:sz w:val="18"/>
          <w:szCs w:val="18"/>
          <w:color w:val="auto"/>
        </w:rPr>
        <w:t>,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Martin Marietta’s common stock on the date of termination.</w:t>
      </w:r>
    </w:p>
    <w:p>
      <w:pPr>
        <w:spacing w:after="0" w:line="133" w:lineRule="exact"/>
        <w:rPr>
          <w:sz w:val="20"/>
          <w:szCs w:val="20"/>
          <w:color w:val="auto"/>
        </w:rPr>
      </w:pPr>
    </w:p>
    <w:p>
      <w:pPr>
        <w:jc w:val="both"/>
        <w:ind w:firstLine="775"/>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Payments Upon Involuntary Not-For-Cause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amounts described under the heading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Payments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upon an involuntary termination of employment not for cause, the named executive officer would be entitled to receive a prorated share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units credited to him or her under the Incentive Stock Plan paid out as shares of common stock and the remaining cash contribution invested by the employee in the plan.</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060"/>
          </w:cols>
          <w:pgMar w:left="440" w:top="463" w:right="399" w:bottom="1440" w:gutter="0" w:footer="0" w:header="0"/>
        </w:sectPr>
      </w:pPr>
    </w:p>
    <w:bookmarkStart w:id="62" w:name="page63"/>
    <w:bookmarkEnd w:id="62"/>
    <w:p>
      <w:pPr>
        <w:jc w:val="both"/>
        <w:ind w:firstLine="775"/>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50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950460"/>
                    </a:xfrm>
                    <a:prstGeom prst="rect">
                      <a:avLst/>
                    </a:prstGeom>
                    <a:noFill/>
                  </pic:spPr>
                </pic:pic>
              </a:graphicData>
            </a:graphic>
          </wp:anchor>
        </w:drawing>
        <w:t>Payments Upon Involuntary For-Cause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involuntary termination for cause, which is defined in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Protection Agreement and the Stock-Based Award Plan, the named executive officer would be entitled to receive the payments and benefits described under the heading </w:t>
      </w:r>
      <w:r>
        <w:rPr>
          <w:rFonts w:ascii="Times New Roman" w:cs="Times New Roman" w:eastAsia="Times New Roman" w:hAnsi="Times New Roman"/>
          <w:sz w:val="18"/>
          <w:szCs w:val="18"/>
          <w:i w:val="1"/>
          <w:iCs w:val="1"/>
          <w:color w:val="auto"/>
        </w:rPr>
        <w:t>Payments Upon Voluntary Termination</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Payments Upon 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the retirement at age 62 or above of a named executive officer, in addition to the items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heading </w:t>
      </w:r>
      <w:r>
        <w:rPr>
          <w:rFonts w:ascii="Times New Roman" w:cs="Times New Roman" w:eastAsia="Times New Roman" w:hAnsi="Times New Roman"/>
          <w:sz w:val="18"/>
          <w:szCs w:val="18"/>
          <w:i w:val="1"/>
          <w:iCs w:val="1"/>
          <w:color w:val="auto"/>
        </w:rPr>
        <w:t>Payments Upon Any Termination</w:t>
      </w:r>
      <w:r>
        <w:rPr>
          <w:rFonts w:ascii="Times New Roman" w:cs="Times New Roman" w:eastAsia="Times New Roman" w:hAnsi="Times New Roman"/>
          <w:sz w:val="18"/>
          <w:szCs w:val="18"/>
          <w:color w:val="auto"/>
        </w:rPr>
        <w:t xml:space="preserve">, the executive 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common stock units under the Incentive Stock Plan; will be eligible to receive health and welfare benefits as described under the heading </w:t>
      </w:r>
      <w:r>
        <w:rPr>
          <w:rFonts w:ascii="Times New Roman" w:cs="Times New Roman" w:eastAsia="Times New Roman" w:hAnsi="Times New Roman"/>
          <w:sz w:val="18"/>
          <w:szCs w:val="18"/>
          <w:i w:val="1"/>
          <w:iCs w:val="1"/>
          <w:color w:val="auto"/>
        </w:rPr>
        <w:t>Retiree Medical</w:t>
      </w:r>
      <w:r>
        <w:rPr>
          <w:rFonts w:ascii="Times New Roman" w:cs="Times New Roman" w:eastAsia="Times New Roman" w:hAnsi="Times New Roman"/>
          <w:sz w:val="18"/>
          <w:szCs w:val="18"/>
          <w:color w:val="auto"/>
        </w:rPr>
        <w:t xml:space="preserve"> on page 49(except Mr. Nye, who is not eligible for Retiree Medical); and will continue to receive life insurance coverage until his or her death.</w:t>
      </w:r>
    </w:p>
    <w:p>
      <w:pPr>
        <w:spacing w:after="0" w:line="139" w:lineRule="exact"/>
        <w:rPr>
          <w:sz w:val="20"/>
          <w:szCs w:val="20"/>
          <w:color w:val="auto"/>
        </w:rPr>
      </w:pPr>
    </w:p>
    <w:p>
      <w:pPr>
        <w:jc w:val="both"/>
        <w:ind w:firstLine="775"/>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Payments Made Upon Early 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the retirement prior to reaching age 62 but on or after reaching age 55, the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officer will receive benefits as described under the heading </w:t>
      </w:r>
      <w:r>
        <w:rPr>
          <w:rFonts w:ascii="Times New Roman" w:cs="Times New Roman" w:eastAsia="Times New Roman" w:hAnsi="Times New Roman"/>
          <w:sz w:val="18"/>
          <w:szCs w:val="18"/>
          <w:i w:val="1"/>
          <w:iCs w:val="1"/>
          <w:color w:val="auto"/>
        </w:rPr>
        <w:t>Payments Upon Voluntary Termination</w:t>
      </w:r>
      <w:r>
        <w:rPr>
          <w:rFonts w:ascii="Times New Roman" w:cs="Times New Roman" w:eastAsia="Times New Roman" w:hAnsi="Times New Roman"/>
          <w:sz w:val="18"/>
          <w:szCs w:val="18"/>
          <w:color w:val="auto"/>
        </w:rPr>
        <w:t xml:space="preserve">. In addition, the named executive officer will receive reduced benefits of the type described under </w:t>
      </w:r>
      <w:r>
        <w:rPr>
          <w:rFonts w:ascii="Times New Roman" w:cs="Times New Roman" w:eastAsia="Times New Roman" w:hAnsi="Times New Roman"/>
          <w:sz w:val="18"/>
          <w:szCs w:val="18"/>
          <w:i w:val="1"/>
          <w:iCs w:val="1"/>
          <w:color w:val="auto"/>
        </w:rPr>
        <w:t>Pension Benefits</w:t>
      </w:r>
      <w:r>
        <w:rPr>
          <w:rFonts w:ascii="Times New Roman" w:cs="Times New Roman" w:eastAsia="Times New Roman" w:hAnsi="Times New Roman"/>
          <w:sz w:val="18"/>
          <w:szCs w:val="18"/>
          <w:color w:val="auto"/>
        </w:rPr>
        <w:t xml:space="preserve"> on pages 56 to 57 and may be eligible for benefits described under the heading </w:t>
      </w:r>
      <w:r>
        <w:rPr>
          <w:rFonts w:ascii="Times New Roman" w:cs="Times New Roman" w:eastAsia="Times New Roman" w:hAnsi="Times New Roman"/>
          <w:sz w:val="18"/>
          <w:szCs w:val="18"/>
          <w:i w:val="1"/>
          <w:iCs w:val="1"/>
          <w:color w:val="auto"/>
        </w:rPr>
        <w:t>Retiree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Medical </w:t>
      </w:r>
      <w:r>
        <w:rPr>
          <w:rFonts w:ascii="Times New Roman" w:cs="Times New Roman" w:eastAsia="Times New Roman" w:hAnsi="Times New Roman"/>
          <w:sz w:val="18"/>
          <w:szCs w:val="18"/>
          <w:color w:val="auto"/>
        </w:rPr>
        <w:t>on page 49 at a higher cost.</w:t>
      </w:r>
    </w:p>
    <w:p>
      <w:pPr>
        <w:spacing w:after="0" w:line="133" w:lineRule="exact"/>
        <w:rPr>
          <w:sz w:val="20"/>
          <w:szCs w:val="20"/>
          <w:color w:val="auto"/>
        </w:rPr>
      </w:pPr>
    </w:p>
    <w:p>
      <w:pPr>
        <w:jc w:val="both"/>
        <w:ind w:firstLine="775"/>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Payments Upon Death or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the death or disability of a named executive officer, in addition to the payments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benefits under the headings </w:t>
      </w:r>
      <w:r>
        <w:rPr>
          <w:rFonts w:ascii="Times New Roman" w:cs="Times New Roman" w:eastAsia="Times New Roman" w:hAnsi="Times New Roman"/>
          <w:sz w:val="18"/>
          <w:szCs w:val="18"/>
          <w:i w:val="1"/>
          <w:iCs w:val="1"/>
          <w:color w:val="auto"/>
        </w:rPr>
        <w:t>Payments Upon Any Termination</w:t>
      </w:r>
      <w:r>
        <w:rPr>
          <w:rFonts w:ascii="Times New Roman" w:cs="Times New Roman" w:eastAsia="Times New Roman" w:hAnsi="Times New Roman"/>
          <w:sz w:val="18"/>
          <w:szCs w:val="18"/>
          <w:color w:val="auto"/>
        </w:rPr>
        <w:t>, the named executive officer or their estate 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awards of restricted stock units and options will vest and the executive or their estate will have one year to exercise the options. In the event of disability, the executive will continue to hold all outstanding options unaffected by the disability and retain such options for the remainder of the outstanding term; will continue to hold all awards of performance-based restricted stock unit awards for the remainder of the outstanding term unaffected by the disability; and will vest in all outstanding awards of common stock units under the Incentive Stock Plan.</w:t>
      </w:r>
    </w:p>
    <w:p>
      <w:pPr>
        <w:spacing w:after="0" w:line="138" w:lineRule="exact"/>
        <w:rPr>
          <w:sz w:val="20"/>
          <w:szCs w:val="20"/>
          <w:color w:val="auto"/>
        </w:rPr>
      </w:pPr>
    </w:p>
    <w:p>
      <w:pPr>
        <w:jc w:val="both"/>
        <w:ind w:firstLine="775"/>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Payments Upon a Change of Control</w:t>
      </w:r>
      <w:r>
        <w:rPr>
          <w:rFonts w:ascii="Times New Roman" w:cs="Times New Roman" w:eastAsia="Times New Roman" w:hAnsi="Times New Roman"/>
          <w:sz w:val="18"/>
          <w:szCs w:val="18"/>
          <w:color w:val="auto"/>
        </w:rPr>
        <w:t>. Martin Marietta has entered into Employment Protection Agreements,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137" w:lineRule="exact"/>
        <w:rPr>
          <w:sz w:val="20"/>
          <w:szCs w:val="20"/>
          <w:color w:val="auto"/>
        </w:rPr>
      </w:pPr>
    </w:p>
    <w:p>
      <w:pPr>
        <w:jc w:val="both"/>
        <w:ind w:firstLine="775"/>
        <w:spacing w:after="0" w:line="275" w:lineRule="auto"/>
        <w:rPr>
          <w:sz w:val="20"/>
          <w:szCs w:val="20"/>
          <w:color w:val="auto"/>
        </w:rPr>
      </w:pPr>
      <w:r>
        <w:rPr>
          <w:rFonts w:ascii="Times New Roman" w:cs="Times New Roman" w:eastAsia="Times New Roman" w:hAnsi="Times New Roman"/>
          <w:sz w:val="18"/>
          <w:szCs w:val="18"/>
          <w:color w:val="auto"/>
        </w:rPr>
        <w:t>The agreements provide that if, within the two-year period following a Change of Control, an executive is terminated without “Cause” (as defined in the agreements) or terminates his employment</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060"/>
          </w:cols>
          <w:pgMar w:left="440" w:top="461" w:right="399" w:bottom="1440" w:gutter="0" w:footer="0" w:header="0"/>
        </w:sectPr>
      </w:pPr>
    </w:p>
    <w:bookmarkStart w:id="63" w:name="page64"/>
    <w:bookmarkEnd w:id="63"/>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04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504055"/>
                    </a:xfrm>
                    <a:prstGeom prst="rect">
                      <a:avLst/>
                    </a:prstGeom>
                    <a:noFill/>
                  </pic:spPr>
                </pic:pic>
              </a:graphicData>
            </a:graphic>
          </wp:anchor>
        </w:drawing>
        <w:t>with “Good Reason” (as defined in the agreements), or if the executive voluntarily terminates his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 perquisites and Martin Marietta’s match to the defined contribution plan; the payment of a pro-rata annual target bonus in the year of termination as determined under the Executive Incentive Plan (for Mr. Nye such target bonus is 100% for purposes of the Employment Protection Agreement); and a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154"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 Mr. Vaio’s Employment Protection Agreement terminated on December 28, 2012.</w:t>
      </w:r>
    </w:p>
    <w:p>
      <w:pPr>
        <w:spacing w:after="0" w:line="137" w:lineRule="exact"/>
        <w:rPr>
          <w:sz w:val="20"/>
          <w:szCs w:val="20"/>
          <w:color w:val="auto"/>
        </w:rPr>
      </w:pPr>
    </w:p>
    <w:p>
      <w:pPr>
        <w:jc w:val="both"/>
        <w:ind w:firstLine="775"/>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Value of Payments Upon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tables show the potential incremental payments to each of our named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Mr. Vaio) upon termination, including in the event of a change of control of Martin Marietta, assuming a December 31, 2012 termination date and, where applicable, using the New York Stock Exchange closing price of our common stock of $94.28 on December 31, 2012.</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060"/>
          </w:cols>
          <w:pgMar w:left="440" w:top="463" w:right="399" w:bottom="1440" w:gutter="0" w:footer="0" w:header="0"/>
        </w:sectPr>
      </w:pPr>
    </w:p>
    <w:bookmarkStart w:id="64" w:name="page65"/>
    <w:bookmarkEnd w:id="64"/>
    <w:p>
      <w:pPr>
        <w:jc w:val="both"/>
        <w:ind w:firstLine="775"/>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691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1691640"/>
                    </a:xfrm>
                    <a:prstGeom prst="rect">
                      <a:avLst/>
                    </a:prstGeom>
                    <a:noFill/>
                  </pic:spPr>
                </pic:pic>
              </a:graphicData>
            </a:graphic>
          </wp:anchor>
        </w:drawing>
        <w:t>Mr. Vaio resigned effective December 28, 2012. In connection with Mr. Vaio’s resignation, Martin Marietta entered into certain agreements with him which, among other things, provide the following benefits: monthly severance pay equal to $41,667 per month for a period of 36 months, paid in equal semi-monthly installments; continued health and certain other benefit coverage for a period of 18 months, which will terminate if he subsequently becomes covered by a health plan of a new employer; vesting of all of his then outstanding unvested restricted share units and accrued benefits under the SERP; continued vesting of all of his outstanding options as if he had remained employed; continued eligibility for a pro-rated annual incentive award for 2012 (at his target of 80% of his base salary) based on time actually worked, payable in accordance with the terms of the Executive Incentive Plan; outplacement assistance for twelve months; eligibility to purchase his company vehicle; and a cash payment in the amount of $1,061,808 (less applicable withholding tax), payable on January 5, 2016. All such payments (except the right to purchase the Company vehicle) are subject to (1) Mr. Vaio’s continued compliance with certain post-employment restrictive covenants, including non-compete and confidentiality provisions and (2) clawback provisions in the event of violation of these covenants and in certain other circumstances.</w:t>
      </w: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060"/>
          </w:cols>
          <w:pgMar w:left="440" w:top="463" w:right="399" w:bottom="1440" w:gutter="0" w:footer="0" w:header="0"/>
        </w:sectPr>
      </w:pPr>
    </w:p>
    <w:bookmarkStart w:id="65" w:name="page66"/>
    <w:bookmarkEnd w:id="65"/>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34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334250"/>
                    </a:xfrm>
                    <a:prstGeom prst="rect">
                      <a:avLst/>
                    </a:prstGeom>
                    <a:noFill/>
                  </pic:spPr>
                </pic:pic>
              </a:graphicData>
            </a:graphic>
          </wp:anchor>
        </w:drawing>
        <w:t>POTENTIAL INCREMENTAL PAYMENTS UPON TERMINATION</w:t>
      </w:r>
    </w:p>
    <w:p>
      <w:pPr>
        <w:spacing w:after="0" w:line="2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OR CHANGE OF CONTROL AT DECEMBER 31, 2012</w:t>
      </w:r>
    </w:p>
    <w:p>
      <w:pPr>
        <w:spacing w:after="0" w:line="194" w:lineRule="exact"/>
        <w:rPr>
          <w:sz w:val="20"/>
          <w:szCs w:val="20"/>
          <w:color w:val="auto"/>
        </w:rPr>
      </w:pPr>
    </w:p>
    <w:tbl>
      <w:tblPr>
        <w:tblLayout w:type="fixed"/>
        <w:tblInd w:w="13" w:type="dxa"/>
        <w:tblCellMar>
          <w:top w:w="0" w:type="dxa"/>
          <w:left w:w="0" w:type="dxa"/>
          <w:bottom w:w="0" w:type="dxa"/>
          <w:right w:w="0" w:type="dxa"/>
        </w:tblCellMar>
      </w:tblPr>
      <w:tr>
        <w:trPr>
          <w:trHeight w:val="145"/>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1040" w:type="dxa"/>
            <w:vAlign w:val="bottom"/>
            <w:tcBorders>
              <w:top w:val="single" w:sz="8" w:color="auto"/>
            </w:tcBorders>
            <w:shd w:val="clear" w:color="auto" w:fill="E0E0E0"/>
          </w:tcPr>
          <w:p>
            <w:pPr>
              <w:spacing w:after="0"/>
              <w:rPr>
                <w:sz w:val="12"/>
                <w:szCs w:val="12"/>
                <w:color w:val="auto"/>
              </w:rPr>
            </w:pPr>
          </w:p>
        </w:tc>
        <w:tc>
          <w:tcPr>
            <w:tcW w:w="362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720" w:type="dxa"/>
            <w:vAlign w:val="bottom"/>
            <w:tcBorders>
              <w:top w:val="single" w:sz="8" w:color="auto"/>
            </w:tcBorders>
            <w:shd w:val="clear" w:color="auto" w:fill="E0E0E0"/>
          </w:tcPr>
          <w:p>
            <w:pPr>
              <w:spacing w:after="0"/>
              <w:rPr>
                <w:sz w:val="12"/>
                <w:szCs w:val="12"/>
                <w:color w:val="auto"/>
              </w:rPr>
            </w:pPr>
          </w:p>
        </w:tc>
        <w:tc>
          <w:tcPr>
            <w:tcW w:w="1060" w:type="dxa"/>
            <w:vAlign w:val="bottom"/>
            <w:tcBorders>
              <w:top w:val="single" w:sz="8" w:color="auto"/>
            </w:tcBorders>
            <w:gridSpan w:val="2"/>
            <w:shd w:val="clear" w:color="auto" w:fill="E0E0E0"/>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240" w:type="dxa"/>
            <w:vAlign w:val="bottom"/>
            <w:tcBorders>
              <w:top w:val="single" w:sz="8" w:color="auto"/>
            </w:tcBorders>
            <w:shd w:val="clear" w:color="auto" w:fill="E0E0E0"/>
          </w:tcPr>
          <w:p>
            <w:pPr>
              <w:spacing w:after="0"/>
              <w:rPr>
                <w:sz w:val="12"/>
                <w:szCs w:val="12"/>
                <w:color w:val="auto"/>
              </w:rPr>
            </w:pPr>
          </w:p>
        </w:tc>
        <w:tc>
          <w:tcPr>
            <w:tcW w:w="86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auto"/>
            </w:tcBorders>
            <w:shd w:val="clear" w:color="auto" w:fill="E0E0E0"/>
          </w:tcPr>
          <w:p>
            <w:pPr>
              <w:spacing w:after="0"/>
              <w:rPr>
                <w:sz w:val="12"/>
                <w:szCs w:val="12"/>
                <w:color w:val="auto"/>
              </w:rPr>
            </w:pPr>
          </w:p>
        </w:tc>
        <w:tc>
          <w:tcPr>
            <w:tcW w:w="80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9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040" w:type="dxa"/>
            <w:vAlign w:val="bottom"/>
            <w:shd w:val="clear" w:color="auto" w:fill="E0E0E0"/>
          </w:tcPr>
          <w:p>
            <w:pPr>
              <w:spacing w:after="0"/>
              <w:rPr>
                <w:sz w:val="12"/>
                <w:szCs w:val="12"/>
                <w:color w:val="auto"/>
              </w:rPr>
            </w:pPr>
          </w:p>
        </w:tc>
        <w:tc>
          <w:tcPr>
            <w:tcW w:w="362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14"/>
                <w:szCs w:val="14"/>
                <w:b w:val="1"/>
                <w:bCs w:val="1"/>
                <w:color w:val="auto"/>
              </w:rPr>
              <w:t>Benefit or</w:t>
            </w:r>
          </w:p>
        </w:tc>
        <w:tc>
          <w:tcPr>
            <w:tcW w:w="2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760" w:type="dxa"/>
            <w:vAlign w:val="bottom"/>
            <w:shd w:val="clear" w:color="auto" w:fill="E0E0E0"/>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3"/>
              </w:rPr>
              <w:t>Not-for-</w:t>
            </w:r>
          </w:p>
        </w:tc>
        <w:tc>
          <w:tcPr>
            <w:tcW w:w="24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9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tcBorders>
            <w:shd w:val="clear" w:color="auto" w:fill="E0E0E0"/>
          </w:tcPr>
          <w:p>
            <w:pPr>
              <w:spacing w:after="0"/>
              <w:rPr>
                <w:sz w:val="12"/>
                <w:szCs w:val="12"/>
                <w:color w:val="auto"/>
              </w:rPr>
            </w:pPr>
          </w:p>
        </w:tc>
        <w:tc>
          <w:tcPr>
            <w:tcW w:w="1040" w:type="dxa"/>
            <w:vAlign w:val="bottom"/>
            <w:shd w:val="clear" w:color="auto" w:fill="E0E0E0"/>
          </w:tcPr>
          <w:p>
            <w:pPr>
              <w:spacing w:after="0"/>
              <w:rPr>
                <w:sz w:val="12"/>
                <w:szCs w:val="12"/>
                <w:color w:val="auto"/>
              </w:rPr>
            </w:pPr>
          </w:p>
        </w:tc>
        <w:tc>
          <w:tcPr>
            <w:tcW w:w="3620" w:type="dxa"/>
            <w:vAlign w:val="bottom"/>
            <w:vMerge w:val="continue"/>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00" w:type="dxa"/>
            <w:vAlign w:val="bottom"/>
            <w:gridSpan w:val="2"/>
            <w:vMerge w:val="restart"/>
            <w:shd w:val="clear" w:color="auto" w:fill="E0E0E0"/>
          </w:tcPr>
          <w:p>
            <w:pPr>
              <w:spacing w:after="0"/>
              <w:rPr>
                <w:sz w:val="20"/>
                <w:szCs w:val="20"/>
                <w:color w:val="auto"/>
              </w:rPr>
            </w:pPr>
            <w:r>
              <w:rPr>
                <w:rFonts w:ascii="Times New Roman" w:cs="Times New Roman" w:eastAsia="Times New Roman" w:hAnsi="Times New Roman"/>
                <w:sz w:val="14"/>
                <w:szCs w:val="14"/>
                <w:b w:val="1"/>
                <w:bCs w:val="1"/>
                <w:color w:val="auto"/>
              </w:rPr>
              <w:t>Retirement</w:t>
            </w:r>
            <w:r>
              <w:rPr>
                <w:rFonts w:ascii="Times New Roman" w:cs="Times New Roman" w:eastAsia="Times New Roman" w:hAnsi="Times New Roman"/>
                <w:sz w:val="22"/>
                <w:szCs w:val="22"/>
                <w:b w:val="1"/>
                <w:bCs w:val="1"/>
                <w:color w:val="auto"/>
                <w:vertAlign w:val="superscript"/>
              </w:rPr>
              <w:t>9</w:t>
            </w:r>
          </w:p>
        </w:tc>
        <w:tc>
          <w:tcPr>
            <w:tcW w:w="300" w:type="dxa"/>
            <w:vAlign w:val="bottom"/>
            <w:shd w:val="clear" w:color="auto" w:fill="E0E0E0"/>
          </w:tcPr>
          <w:p>
            <w:pPr>
              <w:spacing w:after="0"/>
              <w:rPr>
                <w:sz w:val="12"/>
                <w:szCs w:val="12"/>
                <w:color w:val="auto"/>
              </w:rPr>
            </w:pPr>
          </w:p>
        </w:tc>
        <w:tc>
          <w:tcPr>
            <w:tcW w:w="760" w:type="dxa"/>
            <w:vAlign w:val="bottom"/>
            <w:shd w:val="clear" w:color="auto" w:fill="E0E0E0"/>
          </w:tcPr>
          <w:p>
            <w:pPr>
              <w:jc w:val="right"/>
              <w:ind w:right="239"/>
              <w:spacing w:after="0" w:line="139" w:lineRule="exact"/>
              <w:rPr>
                <w:sz w:val="20"/>
                <w:szCs w:val="20"/>
                <w:color w:val="auto"/>
              </w:rPr>
            </w:pPr>
            <w:r>
              <w:rPr>
                <w:rFonts w:ascii="Times New Roman" w:cs="Times New Roman" w:eastAsia="Times New Roman" w:hAnsi="Times New Roman"/>
                <w:sz w:val="14"/>
                <w:szCs w:val="14"/>
                <w:b w:val="1"/>
                <w:bCs w:val="1"/>
                <w:color w:val="auto"/>
              </w:rPr>
              <w:t>Cause</w:t>
            </w:r>
          </w:p>
        </w:tc>
        <w:tc>
          <w:tcPr>
            <w:tcW w:w="24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920" w:type="dxa"/>
            <w:vAlign w:val="bottom"/>
            <w:tcBorders>
              <w:right w:val="single" w:sz="8" w:color="auto"/>
            </w:tcBorders>
            <w:shd w:val="clear" w:color="auto" w:fill="E0E0E0"/>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bottom w:val="single" w:sz="8" w:color="auto"/>
            </w:tcBorders>
            <w:gridSpan w:val="2"/>
            <w:shd w:val="clear" w:color="auto" w:fill="E0E0E0"/>
          </w:tcPr>
          <w:p>
            <w:pPr>
              <w:ind w:left="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20" w:type="dxa"/>
            <w:vAlign w:val="bottom"/>
            <w:tcBorders>
              <w:bottom w:val="single" w:sz="8" w:color="auto"/>
            </w:tcBorders>
            <w:shd w:val="clear" w:color="auto" w:fill="E0E0E0"/>
          </w:tcPr>
          <w:p>
            <w:pPr>
              <w:spacing w:after="0" w:line="162" w:lineRule="exact"/>
              <w:rPr>
                <w:sz w:val="20"/>
                <w:szCs w:val="20"/>
                <w:color w:val="auto"/>
              </w:rPr>
            </w:pPr>
            <w:r>
              <w:rPr>
                <w:rFonts w:ascii="Times New Roman" w:cs="Times New Roman" w:eastAsia="Times New Roman" w:hAnsi="Times New Roman"/>
                <w:sz w:val="12"/>
                <w:szCs w:val="12"/>
                <w:b w:val="1"/>
                <w:bCs w:val="1"/>
                <w:color w:val="auto"/>
              </w:rPr>
              <w:t>Payment</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shd w:val="clear" w:color="auto" w:fill="E0E0E0"/>
          </w:tcPr>
          <w:p>
            <w:pPr>
              <w:spacing w:after="0"/>
              <w:rPr>
                <w:sz w:val="14"/>
                <w:szCs w:val="14"/>
                <w:color w:val="auto"/>
              </w:rPr>
            </w:pPr>
          </w:p>
        </w:tc>
        <w:tc>
          <w:tcPr>
            <w:tcW w:w="800" w:type="dxa"/>
            <w:vAlign w:val="bottom"/>
            <w:tcBorders>
              <w:bottom w:val="single" w:sz="8" w:color="auto"/>
            </w:tcBorders>
            <w:gridSpan w:val="2"/>
            <w:vMerge w:val="continue"/>
            <w:shd w:val="clear" w:color="auto" w:fill="E0E0E0"/>
          </w:tcPr>
          <w:p>
            <w:pPr>
              <w:spacing w:after="0"/>
              <w:rPr>
                <w:sz w:val="14"/>
                <w:szCs w:val="14"/>
                <w:color w:val="auto"/>
              </w:rPr>
            </w:pPr>
          </w:p>
        </w:tc>
        <w:tc>
          <w:tcPr>
            <w:tcW w:w="1060" w:type="dxa"/>
            <w:vAlign w:val="bottom"/>
            <w:tcBorders>
              <w:bottom w:val="single" w:sz="8" w:color="auto"/>
            </w:tcBorders>
            <w:gridSpan w:val="2"/>
            <w:shd w:val="clear" w:color="auto" w:fill="E0E0E0"/>
          </w:tcPr>
          <w:p>
            <w:pPr>
              <w:ind w:left="2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Borders>
              <w:bottom w:val="single" w:sz="8" w:color="auto"/>
            </w:tcBorders>
            <w:shd w:val="clear" w:color="auto" w:fill="E0E0E0"/>
          </w:tcPr>
          <w:p>
            <w:pPr>
              <w:spacing w:after="0"/>
              <w:rPr>
                <w:sz w:val="14"/>
                <w:szCs w:val="14"/>
                <w:color w:val="auto"/>
              </w:rPr>
            </w:pPr>
          </w:p>
        </w:tc>
        <w:tc>
          <w:tcPr>
            <w:tcW w:w="860" w:type="dxa"/>
            <w:vAlign w:val="bottom"/>
            <w:tcBorders>
              <w:bottom w:val="single" w:sz="8" w:color="auto"/>
            </w:tcBorders>
            <w:shd w:val="clear" w:color="auto" w:fill="E0E0E0"/>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7"/>
              </w:rPr>
              <w:t>Disability</w:t>
            </w:r>
          </w:p>
        </w:tc>
        <w:tc>
          <w:tcPr>
            <w:tcW w:w="240" w:type="dxa"/>
            <w:vAlign w:val="bottom"/>
            <w:tcBorders>
              <w:bottom w:val="single" w:sz="8" w:color="auto"/>
            </w:tcBorders>
            <w:shd w:val="clear" w:color="auto" w:fill="E0E0E0"/>
          </w:tcPr>
          <w:p>
            <w:pPr>
              <w:spacing w:after="0"/>
              <w:rPr>
                <w:sz w:val="14"/>
                <w:szCs w:val="14"/>
                <w:color w:val="auto"/>
              </w:rPr>
            </w:pPr>
          </w:p>
        </w:tc>
        <w:tc>
          <w:tcPr>
            <w:tcW w:w="800" w:type="dxa"/>
            <w:vAlign w:val="bottom"/>
            <w:tcBorders>
              <w:bottom w:val="single" w:sz="8" w:color="auto"/>
            </w:tcBorders>
            <w:shd w:val="clear" w:color="auto" w:fill="E0E0E0"/>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00" w:type="dxa"/>
            <w:vAlign w:val="bottom"/>
            <w:tcBorders>
              <w:bottom w:val="single" w:sz="8" w:color="auto"/>
            </w:tcBorders>
            <w:shd w:val="clear" w:color="auto" w:fill="E0E0E0"/>
          </w:tcPr>
          <w:p>
            <w:pPr>
              <w:spacing w:after="0"/>
              <w:rPr>
                <w:sz w:val="14"/>
                <w:szCs w:val="14"/>
                <w:color w:val="auto"/>
              </w:rPr>
            </w:pPr>
          </w:p>
        </w:tc>
        <w:tc>
          <w:tcPr>
            <w:tcW w:w="920" w:type="dxa"/>
            <w:vAlign w:val="bottom"/>
            <w:tcBorders>
              <w:bottom w:val="single" w:sz="8" w:color="auto"/>
              <w:right w:val="single" w:sz="8" w:color="auto"/>
            </w:tcBorders>
            <w:shd w:val="clear" w:color="auto" w:fill="E0E0E0"/>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2"/>
              </w:rPr>
              <w:t>of-Control</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tcBorders>
            <w:gridSpan w:val="2"/>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C. Howard Nye</w:t>
            </w: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Severance</w:t>
            </w:r>
            <w:r>
              <w:rPr>
                <w:rFonts w:ascii="Times New Roman" w:cs="Times New Roman" w:eastAsia="Times New Roman" w:hAnsi="Times New Roman"/>
                <w:sz w:val="11"/>
                <w:szCs w:val="11"/>
                <w:color w:val="auto"/>
              </w:rPr>
              <w:t>2</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4,457,778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Unvested Restricted Stock Units</w:t>
            </w:r>
            <w:r>
              <w:rPr>
                <w:rFonts w:ascii="Times New Roman" w:cs="Times New Roman" w:eastAsia="Times New Roman" w:hAnsi="Times New Roman"/>
                <w:sz w:val="11"/>
                <w:szCs w:val="11"/>
                <w:color w:val="auto"/>
              </w:rPr>
              <w:t>3</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w w:val="94"/>
              </w:rPr>
              <w:t>2,600,620</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2,600,620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Unexercisable Options</w:t>
            </w:r>
            <w:r>
              <w:rPr>
                <w:rFonts w:ascii="Times New Roman" w:cs="Times New Roman" w:eastAsia="Times New Roman" w:hAnsi="Times New Roman"/>
                <w:sz w:val="11"/>
                <w:szCs w:val="11"/>
                <w:color w:val="auto"/>
              </w:rPr>
              <w:t>4</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534,806</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534,806</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Unvested Incentive Stock Plan Units</w:t>
            </w:r>
            <w:r>
              <w:rPr>
                <w:rFonts w:ascii="Times New Roman" w:cs="Times New Roman" w:eastAsia="Times New Roman" w:hAnsi="Times New Roman"/>
                <w:sz w:val="11"/>
                <w:szCs w:val="11"/>
                <w:color w:val="auto"/>
              </w:rPr>
              <w:t>5</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160,521</w:t>
            </w:r>
          </w:p>
        </w:tc>
        <w:tc>
          <w:tcPr>
            <w:tcW w:w="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E0E0E0"/>
          </w:tcPr>
          <w:p>
            <w:pPr>
              <w:jc w:val="right"/>
              <w:ind w:right="59"/>
              <w:spacing w:after="0"/>
              <w:rPr>
                <w:sz w:val="20"/>
                <w:szCs w:val="20"/>
                <w:color w:val="auto"/>
              </w:rPr>
            </w:pPr>
            <w:r>
              <w:rPr>
                <w:rFonts w:ascii="Times New Roman" w:cs="Times New Roman" w:eastAsia="Times New Roman" w:hAnsi="Times New Roman"/>
                <w:sz w:val="18"/>
                <w:szCs w:val="18"/>
                <w:color w:val="auto"/>
              </w:rPr>
              <w:t>80,894</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ind w:right="74"/>
              <w:spacing w:after="0"/>
              <w:rPr>
                <w:sz w:val="20"/>
                <w:szCs w:val="20"/>
                <w:color w:val="auto"/>
              </w:rPr>
            </w:pPr>
            <w:r>
              <w:rPr>
                <w:rFonts w:ascii="Times New Roman" w:cs="Times New Roman" w:eastAsia="Times New Roman" w:hAnsi="Times New Roman"/>
                <w:sz w:val="18"/>
                <w:szCs w:val="18"/>
                <w:color w:val="auto"/>
              </w:rPr>
              <w:t>160,521</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160,521</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160,521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Retirement Plans</w:t>
            </w:r>
            <w:r>
              <w:rPr>
                <w:rFonts w:ascii="Times New Roman" w:cs="Times New Roman" w:eastAsia="Times New Roman" w:hAnsi="Times New Roman"/>
                <w:sz w:val="11"/>
                <w:szCs w:val="11"/>
                <w:color w:val="auto"/>
              </w:rPr>
              <w:t>6</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ind w:right="74"/>
              <w:spacing w:after="0"/>
              <w:rPr>
                <w:sz w:val="20"/>
                <w:szCs w:val="20"/>
                <w:color w:val="auto"/>
              </w:rPr>
            </w:pPr>
            <w:r>
              <w:rPr>
                <w:rFonts w:ascii="Times New Roman" w:cs="Times New Roman" w:eastAsia="Times New Roman" w:hAnsi="Times New Roman"/>
                <w:sz w:val="18"/>
                <w:szCs w:val="18"/>
                <w:color w:val="auto"/>
                <w:w w:val="94"/>
              </w:rPr>
              <w:t>2,177,908</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640,245</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4,122,009</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Health and Welfare Benefits</w:t>
            </w:r>
            <w:r>
              <w:rPr>
                <w:rFonts w:ascii="Times New Roman" w:cs="Times New Roman" w:eastAsia="Times New Roman" w:hAnsi="Times New Roman"/>
                <w:sz w:val="11"/>
                <w:szCs w:val="11"/>
                <w:color w:val="auto"/>
              </w:rPr>
              <w:t>7</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63,462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Retiree Medical Benefits</w:t>
            </w:r>
            <w:r>
              <w:rPr>
                <w:rFonts w:ascii="Times New Roman" w:cs="Times New Roman" w:eastAsia="Times New Roman" w:hAnsi="Times New Roman"/>
                <w:sz w:val="11"/>
                <w:szCs w:val="11"/>
                <w:color w:val="auto"/>
              </w:rPr>
              <w:t>8</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Excise Tax &amp; Gross-up</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4,325,153</w:t>
            </w:r>
          </w:p>
        </w:tc>
        <w:tc>
          <w:tcPr>
            <w:tcW w:w="0" w:type="dxa"/>
            <w:vAlign w:val="bottom"/>
          </w:tcPr>
          <w:p>
            <w:pPr>
              <w:spacing w:after="0"/>
              <w:rPr>
                <w:sz w:val="1"/>
                <w:szCs w:val="1"/>
                <w:color w:val="auto"/>
              </w:rPr>
            </w:pPr>
          </w:p>
        </w:tc>
      </w:tr>
      <w:tr>
        <w:trPr>
          <w:trHeight w:val="202"/>
        </w:trPr>
        <w:tc>
          <w:tcPr>
            <w:tcW w:w="2140" w:type="dxa"/>
            <w:vAlign w:val="bottom"/>
            <w:tcBorders>
              <w:left w:val="single" w:sz="8" w:color="auto"/>
            </w:tcBorders>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Anne H. Lloyd</w:t>
            </w:r>
          </w:p>
        </w:tc>
        <w:tc>
          <w:tcPr>
            <w:tcW w:w="36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Severance</w:t>
            </w:r>
            <w:r>
              <w:rPr>
                <w:rFonts w:ascii="Times New Roman" w:cs="Times New Roman" w:eastAsia="Times New Roman" w:hAnsi="Times New Roman"/>
                <w:sz w:val="11"/>
                <w:szCs w:val="11"/>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line="201" w:lineRule="exact"/>
              <w:rPr>
                <w:sz w:val="20"/>
                <w:szCs w:val="20"/>
                <w:color w:val="auto"/>
              </w:rPr>
            </w:pPr>
            <w:r>
              <w:rPr>
                <w:rFonts w:ascii="Times New Roman" w:cs="Times New Roman" w:eastAsia="Times New Roman" w:hAnsi="Times New Roman"/>
                <w:sz w:val="18"/>
                <w:szCs w:val="18"/>
                <w:color w:val="auto"/>
                <w:w w:val="94"/>
              </w:rPr>
              <w:t>2,395,893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r>
              <w:rPr>
                <w:rFonts w:ascii="Times New Roman" w:cs="Times New Roman" w:eastAsia="Times New Roman" w:hAnsi="Times New Roman"/>
                <w:sz w:val="11"/>
                <w:szCs w:val="11"/>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4"/>
              </w:rPr>
              <w:t>1,068,097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94"/>
              </w:rPr>
              <w:t>1,068,097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Unexercisable Options</w:t>
            </w:r>
            <w:r>
              <w:rPr>
                <w:rFonts w:ascii="Times New Roman" w:cs="Times New Roman" w:eastAsia="Times New Roman" w:hAnsi="Times New Roman"/>
                <w:sz w:val="11"/>
                <w:szCs w:val="11"/>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195,612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195,612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Unvested Incentive Stock Plan Units</w:t>
            </w:r>
            <w:r>
              <w:rPr>
                <w:rFonts w:ascii="Times New Roman" w:cs="Times New Roman" w:eastAsia="Times New Roman" w:hAnsi="Times New Roman"/>
                <w:sz w:val="11"/>
                <w:szCs w:val="11"/>
                <w:color w:val="auto"/>
              </w:rPr>
              <w:t>5</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20,953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41,515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41,515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41,515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Retirement Plans</w:t>
            </w:r>
            <w:r>
              <w:rPr>
                <w:rFonts w:ascii="Times New Roman" w:cs="Times New Roman" w:eastAsia="Times New Roman" w:hAnsi="Times New Roman"/>
                <w:sz w:val="11"/>
                <w:szCs w:val="11"/>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855,037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99,042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94"/>
              </w:rPr>
              <w:t>2,987,203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Health and Welfare Benefits</w:t>
            </w:r>
            <w:r>
              <w:rPr>
                <w:rFonts w:ascii="Times New Roman" w:cs="Times New Roman" w:eastAsia="Times New Roman" w:hAnsi="Times New Roman"/>
                <w:sz w:val="11"/>
                <w:szCs w:val="11"/>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Retiree Medical Benefits</w:t>
            </w:r>
            <w:r>
              <w:rPr>
                <w:rFonts w:ascii="Times New Roman" w:cs="Times New Roman" w:eastAsia="Times New Roman" w:hAnsi="Times New Roman"/>
                <w:sz w:val="11"/>
                <w:szCs w:val="11"/>
                <w:color w:val="auto"/>
              </w:rPr>
              <w:t>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Excise Tax &amp; Gross-up</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94"/>
              </w:rPr>
              <w:t>2,336,362</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tcBorders>
            <w:gridSpan w:val="2"/>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Roselyn R. Bar</w:t>
            </w: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Severance</w:t>
            </w:r>
            <w:r>
              <w:rPr>
                <w:rFonts w:ascii="Times New Roman" w:cs="Times New Roman" w:eastAsia="Times New Roman" w:hAnsi="Times New Roman"/>
                <w:sz w:val="11"/>
                <w:szCs w:val="11"/>
                <w:color w:val="auto"/>
              </w:rPr>
              <w:t>2</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1,937,552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Unvested Restricted Stock Units</w:t>
            </w:r>
            <w:r>
              <w:rPr>
                <w:rFonts w:ascii="Times New Roman" w:cs="Times New Roman" w:eastAsia="Times New Roman" w:hAnsi="Times New Roman"/>
                <w:sz w:val="11"/>
                <w:szCs w:val="11"/>
                <w:color w:val="auto"/>
              </w:rPr>
              <w:t>3</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871,807</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871,807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Unexercisable Options</w:t>
            </w:r>
            <w:r>
              <w:rPr>
                <w:rFonts w:ascii="Times New Roman" w:cs="Times New Roman" w:eastAsia="Times New Roman" w:hAnsi="Times New Roman"/>
                <w:sz w:val="11"/>
                <w:szCs w:val="11"/>
                <w:color w:val="auto"/>
              </w:rPr>
              <w:t>4</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159,621</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159,621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Unvested Incentive Stock Plan Units</w:t>
            </w:r>
            <w:r>
              <w:rPr>
                <w:rFonts w:ascii="Times New Roman" w:cs="Times New Roman" w:eastAsia="Times New Roman" w:hAnsi="Times New Roman"/>
                <w:sz w:val="11"/>
                <w:szCs w:val="11"/>
                <w:color w:val="auto"/>
              </w:rPr>
              <w:t>5</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42,001</w:t>
            </w:r>
          </w:p>
        </w:tc>
        <w:tc>
          <w:tcPr>
            <w:tcW w:w="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E0E0E0"/>
          </w:tcPr>
          <w:p>
            <w:pPr>
              <w:jc w:val="right"/>
              <w:ind w:right="59"/>
              <w:spacing w:after="0"/>
              <w:rPr>
                <w:sz w:val="20"/>
                <w:szCs w:val="20"/>
                <w:color w:val="auto"/>
              </w:rPr>
            </w:pPr>
            <w:r>
              <w:rPr>
                <w:rFonts w:ascii="Times New Roman" w:cs="Times New Roman" w:eastAsia="Times New Roman" w:hAnsi="Times New Roman"/>
                <w:sz w:val="18"/>
                <w:szCs w:val="18"/>
                <w:color w:val="auto"/>
              </w:rPr>
              <w:t>21,830</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ind w:right="74"/>
              <w:spacing w:after="0"/>
              <w:rPr>
                <w:sz w:val="20"/>
                <w:szCs w:val="20"/>
                <w:color w:val="auto"/>
              </w:rPr>
            </w:pPr>
            <w:r>
              <w:rPr>
                <w:rFonts w:ascii="Times New Roman" w:cs="Times New Roman" w:eastAsia="Times New Roman" w:hAnsi="Times New Roman"/>
                <w:sz w:val="18"/>
                <w:szCs w:val="18"/>
                <w:color w:val="auto"/>
              </w:rPr>
              <w:t>42,001</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42,001</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42,001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Retirement Plans</w:t>
            </w:r>
            <w:r>
              <w:rPr>
                <w:rFonts w:ascii="Times New Roman" w:cs="Times New Roman" w:eastAsia="Times New Roman" w:hAnsi="Times New Roman"/>
                <w:sz w:val="11"/>
                <w:szCs w:val="11"/>
                <w:color w:val="auto"/>
              </w:rPr>
              <w:t>6</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ind w:right="74"/>
              <w:spacing w:after="0"/>
              <w:rPr>
                <w:sz w:val="20"/>
                <w:szCs w:val="20"/>
                <w:color w:val="auto"/>
              </w:rPr>
            </w:pPr>
            <w:r>
              <w:rPr>
                <w:rFonts w:ascii="Times New Roman" w:cs="Times New Roman" w:eastAsia="Times New Roman" w:hAnsi="Times New Roman"/>
                <w:sz w:val="18"/>
                <w:szCs w:val="18"/>
                <w:color w:val="auto"/>
              </w:rPr>
              <w:t>409,301</w:t>
            </w: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2,434,690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Health and Welfare Benefits</w:t>
            </w:r>
            <w:r>
              <w:rPr>
                <w:rFonts w:ascii="Times New Roman" w:cs="Times New Roman" w:eastAsia="Times New Roman" w:hAnsi="Times New Roman"/>
                <w:sz w:val="11"/>
                <w:szCs w:val="11"/>
                <w:color w:val="auto"/>
              </w:rPr>
              <w:t>7</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63,462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Retiree Medical Benefits</w:t>
            </w:r>
            <w:r>
              <w:rPr>
                <w:rFonts w:ascii="Times New Roman" w:cs="Times New Roman" w:eastAsia="Times New Roman" w:hAnsi="Times New Roman"/>
                <w:sz w:val="11"/>
                <w:szCs w:val="11"/>
                <w:color w:val="auto"/>
              </w:rPr>
              <w:t>8</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45,918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Excise Tax &amp; Gross-up</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1,960,004</w:t>
            </w:r>
          </w:p>
        </w:tc>
        <w:tc>
          <w:tcPr>
            <w:tcW w:w="0" w:type="dxa"/>
            <w:vAlign w:val="bottom"/>
          </w:tcPr>
          <w:p>
            <w:pPr>
              <w:spacing w:after="0"/>
              <w:rPr>
                <w:sz w:val="1"/>
                <w:szCs w:val="1"/>
                <w:color w:val="auto"/>
              </w:rPr>
            </w:pPr>
          </w:p>
        </w:tc>
      </w:tr>
      <w:tr>
        <w:trPr>
          <w:trHeight w:val="202"/>
        </w:trPr>
        <w:tc>
          <w:tcPr>
            <w:tcW w:w="2140" w:type="dxa"/>
            <w:vAlign w:val="bottom"/>
            <w:tcBorders>
              <w:left w:val="single" w:sz="8" w:color="auto"/>
            </w:tcBorders>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Donald A. McCunniff</w:t>
            </w:r>
          </w:p>
        </w:tc>
        <w:tc>
          <w:tcPr>
            <w:tcW w:w="36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Severance</w:t>
            </w:r>
            <w:r>
              <w:rPr>
                <w:rFonts w:ascii="Times New Roman" w:cs="Times New Roman" w:eastAsia="Times New Roman" w:hAnsi="Times New Roman"/>
                <w:sz w:val="11"/>
                <w:szCs w:val="11"/>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line="201" w:lineRule="exact"/>
              <w:rPr>
                <w:sz w:val="20"/>
                <w:szCs w:val="20"/>
                <w:color w:val="auto"/>
              </w:rPr>
            </w:pPr>
            <w:r>
              <w:rPr>
                <w:rFonts w:ascii="Times New Roman" w:cs="Times New Roman" w:eastAsia="Times New Roman" w:hAnsi="Times New Roman"/>
                <w:sz w:val="18"/>
                <w:szCs w:val="18"/>
                <w:color w:val="auto"/>
                <w:w w:val="94"/>
              </w:rPr>
              <w:t>1,185,665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r>
              <w:rPr>
                <w:rFonts w:ascii="Times New Roman" w:cs="Times New Roman" w:eastAsia="Times New Roman" w:hAnsi="Times New Roman"/>
                <w:sz w:val="11"/>
                <w:szCs w:val="11"/>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171,495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171,495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Unexercisable Options</w:t>
            </w:r>
            <w:r>
              <w:rPr>
                <w:rFonts w:ascii="Times New Roman" w:cs="Times New Roman" w:eastAsia="Times New Roman" w:hAnsi="Times New Roman"/>
                <w:sz w:val="11"/>
                <w:szCs w:val="11"/>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91,507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91,507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Unvested Incentive Stock Plan Units</w:t>
            </w:r>
            <w:r>
              <w:rPr>
                <w:rFonts w:ascii="Times New Roman" w:cs="Times New Roman" w:eastAsia="Times New Roman" w:hAnsi="Times New Roman"/>
                <w:sz w:val="11"/>
                <w:szCs w:val="11"/>
                <w:color w:val="auto"/>
              </w:rPr>
              <w:t>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Retirement Plans</w:t>
            </w:r>
            <w:r>
              <w:rPr>
                <w:rFonts w:ascii="Times New Roman" w:cs="Times New Roman" w:eastAsia="Times New Roman" w:hAnsi="Times New Roman"/>
                <w:sz w:val="11"/>
                <w:szCs w:val="11"/>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252,750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537,920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Health and Welfare Benefits</w:t>
            </w:r>
            <w:r>
              <w:rPr>
                <w:rFonts w:ascii="Times New Roman" w:cs="Times New Roman" w:eastAsia="Times New Roman" w:hAnsi="Times New Roman"/>
                <w:sz w:val="11"/>
                <w:szCs w:val="11"/>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Retiree Medical Benefits</w:t>
            </w:r>
            <w:r>
              <w:rPr>
                <w:rFonts w:ascii="Times New Roman" w:cs="Times New Roman" w:eastAsia="Times New Roman" w:hAnsi="Times New Roman"/>
                <w:sz w:val="11"/>
                <w:szCs w:val="11"/>
                <w:color w:val="auto"/>
              </w:rPr>
              <w:t>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Excise Tax &amp; Gross-up</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837,997</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tcBorders>
            <w:gridSpan w:val="2"/>
            <w:shd w:val="clear" w:color="auto" w:fill="E0E0E0"/>
          </w:tcPr>
          <w:p>
            <w:pPr>
              <w:ind w:left="120"/>
              <w:spacing w:after="0"/>
              <w:rPr>
                <w:sz w:val="20"/>
                <w:szCs w:val="20"/>
                <w:color w:val="auto"/>
              </w:rPr>
            </w:pPr>
            <w:r>
              <w:rPr>
                <w:rFonts w:ascii="Times New Roman" w:cs="Times New Roman" w:eastAsia="Times New Roman" w:hAnsi="Times New Roman"/>
                <w:sz w:val="18"/>
                <w:szCs w:val="18"/>
                <w:b w:val="1"/>
                <w:bCs w:val="1"/>
                <w:color w:val="auto"/>
              </w:rPr>
              <w:t>Dana F. Guzzo</w:t>
            </w: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Severance</w:t>
            </w:r>
            <w:r>
              <w:rPr>
                <w:rFonts w:ascii="Times New Roman" w:cs="Times New Roman" w:eastAsia="Times New Roman" w:hAnsi="Times New Roman"/>
                <w:sz w:val="11"/>
                <w:szCs w:val="11"/>
                <w:color w:val="auto"/>
              </w:rPr>
              <w:t>2</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1,238,060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Unvested Restricted Stock Units</w:t>
            </w:r>
            <w:r>
              <w:rPr>
                <w:rFonts w:ascii="Times New Roman" w:cs="Times New Roman" w:eastAsia="Times New Roman" w:hAnsi="Times New Roman"/>
                <w:sz w:val="11"/>
                <w:szCs w:val="11"/>
                <w:color w:val="auto"/>
              </w:rPr>
              <w:t>3</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193,745</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193,745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Unexercisable Options</w:t>
            </w:r>
            <w:r>
              <w:rPr>
                <w:rFonts w:ascii="Times New Roman" w:cs="Times New Roman" w:eastAsia="Times New Roman" w:hAnsi="Times New Roman"/>
                <w:sz w:val="11"/>
                <w:szCs w:val="11"/>
                <w:color w:val="auto"/>
              </w:rPr>
              <w:t>4</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56,505</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56,505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Unvested Incentive Stock Plan Units</w:t>
            </w:r>
            <w:r>
              <w:rPr>
                <w:rFonts w:ascii="Times New Roman" w:cs="Times New Roman" w:eastAsia="Times New Roman" w:hAnsi="Times New Roman"/>
                <w:sz w:val="11"/>
                <w:szCs w:val="11"/>
                <w:color w:val="auto"/>
              </w:rPr>
              <w:t>5</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E0E0E0"/>
          </w:tcPr>
          <w:p>
            <w:pPr>
              <w:jc w:val="right"/>
              <w:ind w:right="59"/>
              <w:spacing w:after="0"/>
              <w:rPr>
                <w:sz w:val="20"/>
                <w:szCs w:val="20"/>
                <w:color w:val="auto"/>
              </w:rPr>
            </w:pPr>
            <w:r>
              <w:rPr>
                <w:rFonts w:ascii="Times New Roman" w:cs="Times New Roman" w:eastAsia="Times New Roman" w:hAnsi="Times New Roman"/>
                <w:sz w:val="18"/>
                <w:szCs w:val="18"/>
                <w:color w:val="auto"/>
              </w:rPr>
              <w:t>8,258</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ind w:right="74"/>
              <w:spacing w:after="0"/>
              <w:rPr>
                <w:sz w:val="20"/>
                <w:szCs w:val="20"/>
                <w:color w:val="auto"/>
              </w:rPr>
            </w:pPr>
            <w:r>
              <w:rPr>
                <w:rFonts w:ascii="Times New Roman" w:cs="Times New Roman" w:eastAsia="Times New Roman" w:hAnsi="Times New Roman"/>
                <w:sz w:val="18"/>
                <w:szCs w:val="18"/>
                <w:color w:val="auto"/>
              </w:rPr>
              <w:t>15,812</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15,812</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15,812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Retirement Plans</w:t>
            </w:r>
            <w:r>
              <w:rPr>
                <w:rFonts w:ascii="Times New Roman" w:cs="Times New Roman" w:eastAsia="Times New Roman" w:hAnsi="Times New Roman"/>
                <w:sz w:val="11"/>
                <w:szCs w:val="11"/>
                <w:color w:val="auto"/>
              </w:rPr>
              <w:t>6</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0E0E0"/>
          </w:tcPr>
          <w:p>
            <w:pPr>
              <w:jc w:val="right"/>
              <w:ind w:right="74"/>
              <w:spacing w:after="0"/>
              <w:rPr>
                <w:sz w:val="20"/>
                <w:szCs w:val="20"/>
                <w:color w:val="auto"/>
              </w:rPr>
            </w:pPr>
            <w:r>
              <w:rPr>
                <w:rFonts w:ascii="Times New Roman" w:cs="Times New Roman" w:eastAsia="Times New Roman" w:hAnsi="Times New Roman"/>
                <w:sz w:val="18"/>
                <w:szCs w:val="18"/>
                <w:color w:val="auto"/>
              </w:rPr>
              <w:t>227,539</w:t>
            </w:r>
          </w:p>
        </w:tc>
        <w:tc>
          <w:tcPr>
            <w:tcW w:w="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0E0E0"/>
          </w:tcPr>
          <w:p>
            <w:pPr>
              <w:jc w:val="right"/>
              <w:ind w:right="13"/>
              <w:spacing w:after="0"/>
              <w:rPr>
                <w:sz w:val="20"/>
                <w:szCs w:val="20"/>
                <w:color w:val="auto"/>
              </w:rPr>
            </w:pPr>
            <w:r>
              <w:rPr>
                <w:rFonts w:ascii="Times New Roman" w:cs="Times New Roman" w:eastAsia="Times New Roman" w:hAnsi="Times New Roman"/>
                <w:sz w:val="18"/>
                <w:szCs w:val="18"/>
                <w:color w:val="auto"/>
              </w:rPr>
              <w:t>15,913</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885,608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Health and Welfare Benefits</w:t>
            </w:r>
            <w:r>
              <w:rPr>
                <w:rFonts w:ascii="Times New Roman" w:cs="Times New Roman" w:eastAsia="Times New Roman" w:hAnsi="Times New Roman"/>
                <w:sz w:val="11"/>
                <w:szCs w:val="11"/>
                <w:color w:val="auto"/>
              </w:rPr>
              <w:t>7</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rPr>
              <w:t>63,462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Retiree Medical Benefits</w:t>
            </w:r>
            <w:r>
              <w:rPr>
                <w:rFonts w:ascii="Times New Roman" w:cs="Times New Roman" w:eastAsia="Times New Roman" w:hAnsi="Times New Roman"/>
                <w:sz w:val="11"/>
                <w:szCs w:val="11"/>
                <w:color w:val="auto"/>
              </w:rPr>
              <w:t>8</w:t>
            </w:r>
          </w:p>
        </w:tc>
        <w:tc>
          <w:tcPr>
            <w:tcW w:w="2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bottom w:val="single" w:sz="8" w:color="auto"/>
            </w:tcBorders>
            <w:shd w:val="clear" w:color="auto" w:fill="E0E0E0"/>
          </w:tcPr>
          <w:p>
            <w:pPr>
              <w:spacing w:after="0"/>
              <w:rPr>
                <w:sz w:val="18"/>
                <w:szCs w:val="18"/>
                <w:color w:val="auto"/>
              </w:rPr>
            </w:pPr>
          </w:p>
        </w:tc>
        <w:tc>
          <w:tcPr>
            <w:tcW w:w="1040" w:type="dxa"/>
            <w:vAlign w:val="bottom"/>
            <w:tcBorders>
              <w:bottom w:val="single" w:sz="8" w:color="auto"/>
            </w:tcBorders>
            <w:shd w:val="clear" w:color="auto" w:fill="E0E0E0"/>
          </w:tcPr>
          <w:p>
            <w:pPr>
              <w:spacing w:after="0"/>
              <w:rPr>
                <w:sz w:val="18"/>
                <w:szCs w:val="18"/>
                <w:color w:val="auto"/>
              </w:rPr>
            </w:pPr>
          </w:p>
        </w:tc>
        <w:tc>
          <w:tcPr>
            <w:tcW w:w="3620" w:type="dxa"/>
            <w:vAlign w:val="bottom"/>
            <w:tcBorders>
              <w:bottom w:val="single" w:sz="8" w:color="auto"/>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Excise Tax &amp; Gross-up</w:t>
            </w:r>
          </w:p>
        </w:tc>
        <w:tc>
          <w:tcPr>
            <w:tcW w:w="200" w:type="dxa"/>
            <w:vAlign w:val="bottom"/>
            <w:tcBorders>
              <w:bottom w:val="single" w:sz="8" w:color="auto"/>
            </w:tcBorders>
            <w:shd w:val="clear" w:color="auto" w:fill="E0E0E0"/>
          </w:tcPr>
          <w:p>
            <w:pPr>
              <w:spacing w:after="0"/>
              <w:rPr>
                <w:sz w:val="18"/>
                <w:szCs w:val="18"/>
                <w:color w:val="auto"/>
              </w:rPr>
            </w:pPr>
          </w:p>
        </w:tc>
        <w:tc>
          <w:tcPr>
            <w:tcW w:w="80" w:type="dxa"/>
            <w:vAlign w:val="bottom"/>
            <w:tcBorders>
              <w:bottom w:val="single" w:sz="8" w:color="auto"/>
            </w:tcBorders>
            <w:shd w:val="clear" w:color="auto" w:fill="E0E0E0"/>
          </w:tcPr>
          <w:p>
            <w:pPr>
              <w:spacing w:after="0"/>
              <w:rPr>
                <w:sz w:val="18"/>
                <w:szCs w:val="18"/>
                <w:color w:val="auto"/>
              </w:rPr>
            </w:pPr>
          </w:p>
        </w:tc>
        <w:tc>
          <w:tcPr>
            <w:tcW w:w="720" w:type="dxa"/>
            <w:vAlign w:val="bottom"/>
            <w:tcBorders>
              <w:bottom w:val="single" w:sz="8" w:color="auto"/>
            </w:tcBorders>
            <w:shd w:val="clear" w:color="auto" w:fill="E0E0E0"/>
          </w:tcPr>
          <w:p>
            <w:pPr>
              <w:spacing w:after="0"/>
              <w:rPr>
                <w:sz w:val="18"/>
                <w:szCs w:val="18"/>
                <w:color w:val="auto"/>
              </w:rPr>
            </w:pPr>
          </w:p>
        </w:tc>
        <w:tc>
          <w:tcPr>
            <w:tcW w:w="300" w:type="dxa"/>
            <w:vAlign w:val="bottom"/>
            <w:tcBorders>
              <w:bottom w:val="single" w:sz="8" w:color="auto"/>
            </w:tcBorders>
            <w:shd w:val="clear" w:color="auto" w:fill="E0E0E0"/>
          </w:tcPr>
          <w:p>
            <w:pPr>
              <w:spacing w:after="0"/>
              <w:rPr>
                <w:sz w:val="18"/>
                <w:szCs w:val="18"/>
                <w:color w:val="auto"/>
              </w:rPr>
            </w:pPr>
          </w:p>
        </w:tc>
        <w:tc>
          <w:tcPr>
            <w:tcW w:w="760" w:type="dxa"/>
            <w:vAlign w:val="bottom"/>
            <w:tcBorders>
              <w:bottom w:val="single" w:sz="8" w:color="auto"/>
            </w:tcBorders>
            <w:shd w:val="clear" w:color="auto" w:fill="E0E0E0"/>
          </w:tcPr>
          <w:p>
            <w:pPr>
              <w:spacing w:after="0"/>
              <w:rPr>
                <w:sz w:val="18"/>
                <w:szCs w:val="18"/>
                <w:color w:val="auto"/>
              </w:rPr>
            </w:pPr>
          </w:p>
        </w:tc>
        <w:tc>
          <w:tcPr>
            <w:tcW w:w="240" w:type="dxa"/>
            <w:vAlign w:val="bottom"/>
            <w:tcBorders>
              <w:bottom w:val="single" w:sz="8" w:color="auto"/>
            </w:tcBorders>
            <w:shd w:val="clear" w:color="auto" w:fill="E0E0E0"/>
          </w:tcPr>
          <w:p>
            <w:pPr>
              <w:spacing w:after="0"/>
              <w:rPr>
                <w:sz w:val="18"/>
                <w:szCs w:val="18"/>
                <w:color w:val="auto"/>
              </w:rPr>
            </w:pPr>
          </w:p>
        </w:tc>
        <w:tc>
          <w:tcPr>
            <w:tcW w:w="860" w:type="dxa"/>
            <w:vAlign w:val="bottom"/>
            <w:tcBorders>
              <w:bottom w:val="single" w:sz="8" w:color="auto"/>
            </w:tcBorders>
            <w:shd w:val="clear" w:color="auto" w:fill="E0E0E0"/>
          </w:tcPr>
          <w:p>
            <w:pPr>
              <w:spacing w:after="0"/>
              <w:rPr>
                <w:sz w:val="18"/>
                <w:szCs w:val="18"/>
                <w:color w:val="auto"/>
              </w:rPr>
            </w:pPr>
          </w:p>
        </w:tc>
        <w:tc>
          <w:tcPr>
            <w:tcW w:w="240" w:type="dxa"/>
            <w:vAlign w:val="bottom"/>
            <w:tcBorders>
              <w:bottom w:val="single" w:sz="8" w:color="auto"/>
            </w:tcBorders>
            <w:shd w:val="clear" w:color="auto" w:fill="E0E0E0"/>
          </w:tcPr>
          <w:p>
            <w:pPr>
              <w:spacing w:after="0"/>
              <w:rPr>
                <w:sz w:val="18"/>
                <w:szCs w:val="18"/>
                <w:color w:val="auto"/>
              </w:rPr>
            </w:pPr>
          </w:p>
        </w:tc>
        <w:tc>
          <w:tcPr>
            <w:tcW w:w="800" w:type="dxa"/>
            <w:vAlign w:val="bottom"/>
            <w:tcBorders>
              <w:bottom w:val="single" w:sz="8" w:color="auto"/>
            </w:tcBorders>
            <w:shd w:val="clear" w:color="auto" w:fill="E0E0E0"/>
          </w:tcPr>
          <w:p>
            <w:pPr>
              <w:spacing w:after="0"/>
              <w:rPr>
                <w:sz w:val="18"/>
                <w:szCs w:val="18"/>
                <w:color w:val="auto"/>
              </w:rPr>
            </w:pPr>
          </w:p>
        </w:tc>
        <w:tc>
          <w:tcPr>
            <w:tcW w:w="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E0E0E0"/>
          </w:tcPr>
          <w:p>
            <w:pPr>
              <w:jc w:val="right"/>
              <w:ind w:right="133"/>
              <w:spacing w:after="0"/>
              <w:rPr>
                <w:sz w:val="20"/>
                <w:szCs w:val="20"/>
                <w:color w:val="auto"/>
              </w:rPr>
            </w:pPr>
            <w:r>
              <w:rPr>
                <w:rFonts w:ascii="Times New Roman" w:cs="Times New Roman" w:eastAsia="Times New Roman" w:hAnsi="Times New Roman"/>
                <w:sz w:val="18"/>
                <w:szCs w:val="18"/>
                <w:color w:val="auto"/>
                <w:w w:val="94"/>
              </w:rPr>
              <w:t>1,065,196</w:t>
            </w: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23" w:right="20" w:hanging="323"/>
        <w:spacing w:after="0" w:line="241" w:lineRule="auto"/>
        <w:tabs>
          <w:tab w:leader="none" w:pos="32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2012.</w:t>
      </w:r>
    </w:p>
    <w:p>
      <w:pPr>
        <w:spacing w:after="0" w:line="55" w:lineRule="exact"/>
        <w:rPr>
          <w:sz w:val="20"/>
          <w:szCs w:val="20"/>
          <w:color w:val="auto"/>
        </w:rPr>
      </w:pPr>
    </w:p>
    <w:p>
      <w:pPr>
        <w:ind w:left="323" w:hanging="323"/>
        <w:spacing w:after="0"/>
        <w:tabs>
          <w:tab w:leader="none" w:pos="32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earned base salary has been paid.</w:t>
      </w:r>
    </w:p>
    <w:p>
      <w:pPr>
        <w:spacing w:after="0" w:line="69" w:lineRule="exact"/>
        <w:rPr>
          <w:sz w:val="20"/>
          <w:szCs w:val="20"/>
          <w:color w:val="auto"/>
        </w:rPr>
      </w:pPr>
    </w:p>
    <w:p>
      <w:pPr>
        <w:ind w:left="323" w:hanging="323"/>
        <w:spacing w:after="0"/>
        <w:tabs>
          <w:tab w:leader="none" w:pos="32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lump-sum intrinsic value of all unvested restricted stock units.</w:t>
      </w:r>
    </w:p>
    <w:p>
      <w:pPr>
        <w:spacing w:after="0" w:line="68" w:lineRule="exact"/>
        <w:rPr>
          <w:rFonts w:ascii="Times New Roman" w:cs="Times New Roman" w:eastAsia="Times New Roman" w:hAnsi="Times New Roman"/>
          <w:sz w:val="14"/>
          <w:szCs w:val="14"/>
          <w:color w:val="auto"/>
        </w:rPr>
      </w:pPr>
    </w:p>
    <w:p>
      <w:pPr>
        <w:ind w:left="3"/>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12"/>
          <w:szCs w:val="12"/>
          <w:color w:val="auto"/>
        </w:rPr>
        <w:t>Reflects the estimated lump-sum intrinsic value of unvested stock options.</w:t>
      </w:r>
    </w:p>
    <w:p>
      <w:pPr>
        <w:spacing w:after="0" w:line="28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083"/>
          </w:cols>
          <w:pgMar w:left="437" w:top="461" w:right="379" w:bottom="1440" w:gutter="0" w:footer="0" w:header="0"/>
        </w:sectPr>
      </w:pPr>
    </w:p>
    <w:bookmarkStart w:id="66" w:name="page67"/>
    <w:bookmarkEnd w:id="66"/>
    <w:p>
      <w:pPr>
        <w:ind w:left="323" w:hanging="323"/>
        <w:spacing w:after="0"/>
        <w:tabs>
          <w:tab w:leader="none" w:pos="3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07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607560"/>
                    </a:xfrm>
                    <a:prstGeom prst="rect">
                      <a:avLst/>
                    </a:prstGeom>
                    <a:noFill/>
                  </pic:spPr>
                </pic:pic>
              </a:graphicData>
            </a:graphic>
          </wp:anchor>
        </w:drawing>
        <w:t>Reflects the difference between the value of the unvested Incentive Stock Plan share units at year-end and the amount of cash invested by the executive officer in the share units.</w:t>
      </w:r>
    </w:p>
    <w:p>
      <w:pPr>
        <w:spacing w:after="0" w:line="69" w:lineRule="exact"/>
        <w:rPr>
          <w:sz w:val="20"/>
          <w:szCs w:val="20"/>
          <w:color w:val="auto"/>
        </w:rPr>
      </w:pPr>
    </w:p>
    <w:p>
      <w:pPr>
        <w:jc w:val="both"/>
        <w:ind w:left="323" w:hanging="323"/>
        <w:spacing w:after="0" w:line="234" w:lineRule="auto"/>
        <w:tabs>
          <w:tab w:leader="none" w:pos="32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value of the benefit (including three times Martin Marietta’s match to the defined contribution plan) payable upon a qualifying termination of employment following a change of control. 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pages 57 to 58.</w:t>
      </w:r>
    </w:p>
    <w:p>
      <w:pPr>
        <w:spacing w:after="0" w:line="56" w:lineRule="exact"/>
        <w:rPr>
          <w:sz w:val="20"/>
          <w:szCs w:val="20"/>
          <w:color w:val="auto"/>
        </w:rPr>
      </w:pPr>
    </w:p>
    <w:p>
      <w:pPr>
        <w:ind w:left="323" w:right="20" w:hanging="323"/>
        <w:spacing w:after="0" w:line="241" w:lineRule="auto"/>
        <w:tabs>
          <w:tab w:leader="none" w:pos="32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55" w:lineRule="exact"/>
        <w:rPr>
          <w:sz w:val="20"/>
          <w:szCs w:val="20"/>
          <w:color w:val="auto"/>
        </w:rPr>
      </w:pPr>
    </w:p>
    <w:p>
      <w:pPr>
        <w:ind w:left="323" w:hanging="323"/>
        <w:spacing w:after="0" w:line="241" w:lineRule="auto"/>
        <w:tabs>
          <w:tab w:leader="none" w:pos="32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55" w:lineRule="exact"/>
        <w:rPr>
          <w:sz w:val="20"/>
          <w:szCs w:val="20"/>
          <w:color w:val="auto"/>
        </w:rPr>
      </w:pPr>
    </w:p>
    <w:p>
      <w:pPr>
        <w:ind w:left="323" w:hanging="323"/>
        <w:spacing w:after="0" w:line="241"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Nye, Ms. Lloyd, Ms. Bar, Mr. McCunniff, and Ms. Guzzo were not eligible to retire on December 31, 2012. Reflects the value as if Mr. Nye, Ms. Lloyd, Ms. Bar, Mr. McCunniff, and Ms. Guzzo were retirement eligible on December 31, 2012.</w:t>
      </w:r>
    </w:p>
    <w:p>
      <w:pPr>
        <w:spacing w:after="0" w:line="29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ADVISORY VOTE ON THE COMPENSATION OF OUR</w:t>
      </w:r>
    </w:p>
    <w:p>
      <w:pPr>
        <w:spacing w:after="0" w:line="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i w:val="1"/>
          <w:iCs w:val="1"/>
          <w:color w:val="auto"/>
        </w:rPr>
        <w:t>(Item 4 on Proxy Card)</w:t>
      </w:r>
    </w:p>
    <w:p>
      <w:pPr>
        <w:spacing w:after="0" w:line="159" w:lineRule="exact"/>
        <w:rPr>
          <w:sz w:val="20"/>
          <w:szCs w:val="20"/>
          <w:color w:val="auto"/>
        </w:rPr>
      </w:pPr>
    </w:p>
    <w:p>
      <w:pPr>
        <w:jc w:val="both"/>
        <w:ind w:left="3" w:firstLine="775"/>
        <w:spacing w:after="0" w:line="262" w:lineRule="auto"/>
        <w:rPr>
          <w:sz w:val="20"/>
          <w:szCs w:val="20"/>
          <w:color w:val="auto"/>
        </w:rPr>
      </w:pPr>
      <w:r>
        <w:rPr>
          <w:rFonts w:ascii="Times New Roman" w:cs="Times New Roman" w:eastAsia="Times New Roman" w:hAnsi="Times New Roman"/>
          <w:sz w:val="18"/>
          <w:szCs w:val="18"/>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51" w:lineRule="exact"/>
        <w:rPr>
          <w:sz w:val="20"/>
          <w:szCs w:val="20"/>
          <w:color w:val="auto"/>
        </w:rPr>
      </w:pPr>
    </w:p>
    <w:p>
      <w:pPr>
        <w:jc w:val="both"/>
        <w:ind w:left="443" w:firstLine="425"/>
        <w:spacing w:after="0" w:line="262" w:lineRule="auto"/>
        <w:rPr>
          <w:sz w:val="20"/>
          <w:szCs w:val="20"/>
          <w:color w:val="auto"/>
        </w:rPr>
      </w:pPr>
      <w:r>
        <w:rPr>
          <w:rFonts w:ascii="Times New Roman" w:cs="Times New Roman" w:eastAsia="Times New Roman" w:hAnsi="Times New Roman"/>
          <w:sz w:val="18"/>
          <w:szCs w:val="18"/>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130" w:lineRule="exact"/>
        <w:rPr>
          <w:sz w:val="20"/>
          <w:szCs w:val="20"/>
          <w:color w:val="auto"/>
        </w:rPr>
      </w:pPr>
    </w:p>
    <w:p>
      <w:pPr>
        <w:jc w:val="both"/>
        <w:ind w:left="3" w:firstLine="775"/>
        <w:spacing w:after="0" w:line="255" w:lineRule="auto"/>
        <w:rPr>
          <w:sz w:val="20"/>
          <w:szCs w:val="20"/>
          <w:color w:val="auto"/>
        </w:rPr>
      </w:pPr>
      <w:r>
        <w:rPr>
          <w:rFonts w:ascii="Times New Roman" w:cs="Times New Roman" w:eastAsia="Times New Roman" w:hAnsi="Times New Roman"/>
          <w:sz w:val="18"/>
          <w:szCs w:val="18"/>
          <w:color w:val="auto"/>
        </w:rPr>
        <w:t xml:space="preserve">Shareholders are urged to read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2012 was appropriate and aligned with 2012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30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2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THIS PROPOSAL</w:t>
      </w:r>
    </w:p>
    <w:p>
      <w:pPr>
        <w:spacing w:after="0" w:line="29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063"/>
          </w:cols>
          <w:pgMar w:left="437" w:top="464" w:right="399" w:bottom="1440" w:gutter="0" w:footer="0" w:header="0"/>
        </w:sectPr>
      </w:pPr>
    </w:p>
    <w:bookmarkStart w:id="67" w:name="page68"/>
    <w:bookmarkEnd w:id="67"/>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366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366895"/>
                    </a:xfrm>
                    <a:prstGeom prst="rect">
                      <a:avLst/>
                    </a:prstGeom>
                    <a:noFill/>
                  </pic:spPr>
                </pic:pic>
              </a:graphicData>
            </a:graphic>
          </wp:anchor>
        </w:drawing>
        <w:t>Securities Authorized for Issuance Under Equity Compensation Plans</w:t>
      </w:r>
    </w:p>
    <w:p>
      <w:pPr>
        <w:spacing w:after="0" w:line="94" w:lineRule="exact"/>
        <w:rPr>
          <w:sz w:val="20"/>
          <w:szCs w:val="20"/>
          <w:color w:val="auto"/>
        </w:rPr>
      </w:pPr>
    </w:p>
    <w:p>
      <w:pPr>
        <w:jc w:val="both"/>
        <w:ind w:left="3" w:right="20" w:firstLine="775"/>
        <w:spacing w:after="0" w:line="291" w:lineRule="auto"/>
        <w:rPr>
          <w:sz w:val="20"/>
          <w:szCs w:val="20"/>
          <w:color w:val="auto"/>
        </w:rPr>
      </w:pPr>
      <w:r>
        <w:rPr>
          <w:rFonts w:ascii="Times New Roman" w:cs="Times New Roman" w:eastAsia="Times New Roman" w:hAnsi="Times New Roman"/>
          <w:sz w:val="16"/>
          <w:szCs w:val="16"/>
          <w:color w:val="auto"/>
        </w:rPr>
        <w:t>The following table shows information as of December 31, 2012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92"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8" w:lineRule="exact"/>
        <w:rPr>
          <w:sz w:val="20"/>
          <w:szCs w:val="20"/>
          <w:color w:val="auto"/>
        </w:rPr>
      </w:pPr>
    </w:p>
    <w:tbl>
      <w:tblPr>
        <w:tblLayout w:type="fixed"/>
        <w:tblInd w:w="13" w:type="dxa"/>
        <w:tblCellMar>
          <w:top w:w="0" w:type="dxa"/>
          <w:left w:w="0" w:type="dxa"/>
          <w:bottom w:w="0" w:type="dxa"/>
          <w:right w:w="0" w:type="dxa"/>
        </w:tblCellMar>
      </w:tblPr>
      <w:tr>
        <w:trPr>
          <w:trHeight w:val="145"/>
        </w:trPr>
        <w:tc>
          <w:tcPr>
            <w:tcW w:w="120" w:type="dxa"/>
            <w:vAlign w:val="bottom"/>
            <w:tcBorders>
              <w:top w:val="single" w:sz="8" w:color="auto"/>
              <w:left w:val="single" w:sz="8" w:color="auto"/>
            </w:tcBorders>
            <w:shd w:val="clear" w:color="auto" w:fill="E0E0E0"/>
          </w:tcPr>
          <w:p>
            <w:pPr>
              <w:spacing w:after="0"/>
              <w:rPr>
                <w:sz w:val="12"/>
                <w:szCs w:val="12"/>
                <w:color w:val="auto"/>
              </w:rPr>
            </w:pPr>
          </w:p>
        </w:tc>
        <w:tc>
          <w:tcPr>
            <w:tcW w:w="90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1620" w:type="dxa"/>
            <w:vAlign w:val="bottom"/>
            <w:tcBorders>
              <w:top w:val="single" w:sz="8" w:color="auto"/>
            </w:tcBorders>
            <w:shd w:val="clear" w:color="auto" w:fill="E0E0E0"/>
          </w:tcPr>
          <w:p>
            <w:pPr>
              <w:spacing w:after="0"/>
              <w:rPr>
                <w:sz w:val="12"/>
                <w:szCs w:val="12"/>
                <w:color w:val="auto"/>
              </w:rPr>
            </w:pPr>
          </w:p>
        </w:tc>
        <w:tc>
          <w:tcPr>
            <w:tcW w:w="1080" w:type="dxa"/>
            <w:vAlign w:val="bottom"/>
            <w:tcBorders>
              <w:top w:val="single" w:sz="8" w:color="auto"/>
            </w:tcBorders>
            <w:shd w:val="clear" w:color="auto" w:fill="E0E0E0"/>
          </w:tcPr>
          <w:p>
            <w:pPr>
              <w:spacing w:after="0"/>
              <w:rPr>
                <w:sz w:val="12"/>
                <w:szCs w:val="12"/>
                <w:color w:val="auto"/>
              </w:rPr>
            </w:pPr>
          </w:p>
        </w:tc>
        <w:tc>
          <w:tcPr>
            <w:tcW w:w="1680" w:type="dxa"/>
            <w:vAlign w:val="bottom"/>
            <w:tcBorders>
              <w:top w:val="single" w:sz="8" w:color="auto"/>
            </w:tcBorders>
            <w:shd w:val="clear" w:color="auto" w:fill="E0E0E0"/>
          </w:tcPr>
          <w:p>
            <w:pPr>
              <w:spacing w:after="0"/>
              <w:rPr>
                <w:sz w:val="12"/>
                <w:szCs w:val="12"/>
                <w:color w:val="auto"/>
              </w:rPr>
            </w:pPr>
          </w:p>
        </w:tc>
        <w:tc>
          <w:tcPr>
            <w:tcW w:w="1180" w:type="dxa"/>
            <w:vAlign w:val="bottom"/>
            <w:tcBorders>
              <w:top w:val="single" w:sz="8" w:color="auto"/>
            </w:tcBorders>
            <w:shd w:val="clear" w:color="auto" w:fill="E0E0E0"/>
          </w:tcPr>
          <w:p>
            <w:pPr>
              <w:spacing w:after="0"/>
              <w:rPr>
                <w:sz w:val="12"/>
                <w:szCs w:val="12"/>
                <w:color w:val="auto"/>
              </w:rPr>
            </w:pPr>
          </w:p>
        </w:tc>
        <w:tc>
          <w:tcPr>
            <w:tcW w:w="1660" w:type="dxa"/>
            <w:vAlign w:val="bottom"/>
            <w:tcBorders>
              <w:top w:val="single" w:sz="8" w:color="auto"/>
            </w:tcBorders>
            <w:shd w:val="clear" w:color="auto" w:fill="E0E0E0"/>
          </w:tcPr>
          <w:p>
            <w:pPr>
              <w:spacing w:after="0"/>
              <w:rPr>
                <w:sz w:val="12"/>
                <w:szCs w:val="12"/>
                <w:color w:val="auto"/>
              </w:rPr>
            </w:pPr>
          </w:p>
        </w:tc>
        <w:tc>
          <w:tcPr>
            <w:tcW w:w="1180" w:type="dxa"/>
            <w:vAlign w:val="bottom"/>
            <w:tcBorders>
              <w:top w:val="single" w:sz="8" w:color="auto"/>
            </w:tcBorders>
            <w:shd w:val="clear" w:color="auto" w:fill="E0E0E0"/>
          </w:tcPr>
          <w:p>
            <w:pPr>
              <w:spacing w:after="0"/>
              <w:rPr>
                <w:sz w:val="12"/>
                <w:szCs w:val="12"/>
                <w:color w:val="auto"/>
              </w:rPr>
            </w:pPr>
          </w:p>
        </w:tc>
        <w:tc>
          <w:tcPr>
            <w:tcW w:w="1580" w:type="dxa"/>
            <w:vAlign w:val="bottom"/>
            <w:tcBorders>
              <w:top w:val="single" w:sz="8" w:color="auto"/>
              <w:right w:val="single" w:sz="8" w:color="auto"/>
            </w:tcBorders>
            <w:gridSpan w:val="2"/>
            <w:shd w:val="clear" w:color="auto" w:fill="E0E0E0"/>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68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66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remaining available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68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66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future issuance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2860" w:type="dxa"/>
            <w:vAlign w:val="bottom"/>
            <w:gridSpan w:val="2"/>
            <w:shd w:val="clear" w:color="auto" w:fill="E0E0E0"/>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securities to be</w:t>
            </w:r>
          </w:p>
        </w:tc>
        <w:tc>
          <w:tcPr>
            <w:tcW w:w="166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2860" w:type="dxa"/>
            <w:vAlign w:val="bottom"/>
            <w:gridSpan w:val="2"/>
            <w:shd w:val="clear" w:color="auto" w:fill="E0E0E0"/>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issued upon exercise of</w:t>
            </w:r>
          </w:p>
        </w:tc>
        <w:tc>
          <w:tcPr>
            <w:tcW w:w="2840" w:type="dxa"/>
            <w:vAlign w:val="bottom"/>
            <w:gridSpan w:val="2"/>
            <w:shd w:val="clear" w:color="auto" w:fill="E0E0E0"/>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 exercise</w:t>
            </w: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00" w:type="dxa"/>
            <w:vAlign w:val="bottom"/>
            <w:gridSpan w:val="2"/>
            <w:vMerge w:val="restart"/>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2860" w:type="dxa"/>
            <w:vAlign w:val="bottom"/>
            <w:gridSpan w:val="2"/>
            <w:shd w:val="clear" w:color="auto" w:fill="E0E0E0"/>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w:t>
            </w:r>
          </w:p>
        </w:tc>
        <w:tc>
          <w:tcPr>
            <w:tcW w:w="2840" w:type="dxa"/>
            <w:vAlign w:val="bottom"/>
            <w:gridSpan w:val="2"/>
            <w:shd w:val="clear" w:color="auto" w:fill="E0E0E0"/>
          </w:tcPr>
          <w:p>
            <w:pPr>
              <w:jc w:val="right"/>
              <w:ind w:right="1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of outstanding options,</w:t>
            </w: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w:t>
            </w:r>
          </w:p>
        </w:tc>
        <w:tc>
          <w:tcPr>
            <w:tcW w:w="0" w:type="dxa"/>
            <w:vAlign w:val="bottom"/>
          </w:tcPr>
          <w:p>
            <w:pPr>
              <w:spacing w:after="0"/>
              <w:rPr>
                <w:sz w:val="1"/>
                <w:szCs w:val="1"/>
                <w:color w:val="auto"/>
              </w:rPr>
            </w:pPr>
          </w:p>
        </w:tc>
      </w:tr>
      <w:tr>
        <w:trPr>
          <w:trHeight w:val="159"/>
        </w:trPr>
        <w:tc>
          <w:tcPr>
            <w:tcW w:w="120" w:type="dxa"/>
            <w:vAlign w:val="bottom"/>
            <w:tcBorders>
              <w:left w:val="single" w:sz="8" w:color="auto"/>
            </w:tcBorders>
            <w:shd w:val="clear" w:color="auto" w:fill="E0E0E0"/>
          </w:tcPr>
          <w:p>
            <w:pPr>
              <w:spacing w:after="0"/>
              <w:rPr>
                <w:sz w:val="13"/>
                <w:szCs w:val="13"/>
                <w:color w:val="auto"/>
              </w:rPr>
            </w:pPr>
          </w:p>
        </w:tc>
        <w:tc>
          <w:tcPr>
            <w:tcW w:w="900" w:type="dxa"/>
            <w:vAlign w:val="bottom"/>
            <w:vMerge w:val="continue"/>
            <w:shd w:val="clear" w:color="auto" w:fill="E0E0E0"/>
          </w:tcPr>
          <w:p>
            <w:pPr>
              <w:spacing w:after="0"/>
              <w:rPr>
                <w:sz w:val="13"/>
                <w:szCs w:val="13"/>
                <w:color w:val="auto"/>
              </w:rPr>
            </w:pPr>
          </w:p>
        </w:tc>
        <w:tc>
          <w:tcPr>
            <w:tcW w:w="1700" w:type="dxa"/>
            <w:vAlign w:val="bottom"/>
            <w:gridSpan w:val="2"/>
            <w:vMerge w:val="continue"/>
            <w:shd w:val="clear" w:color="auto" w:fill="E0E0E0"/>
          </w:tcPr>
          <w:p>
            <w:pPr>
              <w:spacing w:after="0"/>
              <w:rPr>
                <w:sz w:val="13"/>
                <w:szCs w:val="13"/>
                <w:color w:val="auto"/>
              </w:rPr>
            </w:pPr>
          </w:p>
        </w:tc>
        <w:tc>
          <w:tcPr>
            <w:tcW w:w="1080" w:type="dxa"/>
            <w:vAlign w:val="bottom"/>
            <w:shd w:val="clear" w:color="auto" w:fill="E0E0E0"/>
          </w:tcPr>
          <w:p>
            <w:pPr>
              <w:spacing w:after="0"/>
              <w:rPr>
                <w:sz w:val="13"/>
                <w:szCs w:val="13"/>
                <w:color w:val="auto"/>
              </w:rPr>
            </w:pPr>
          </w:p>
        </w:tc>
        <w:tc>
          <w:tcPr>
            <w:tcW w:w="2860" w:type="dxa"/>
            <w:vAlign w:val="bottom"/>
            <w:gridSpan w:val="2"/>
            <w:shd w:val="clear" w:color="auto" w:fill="E0E0E0"/>
          </w:tcPr>
          <w:p>
            <w:pPr>
              <w:jc w:val="center"/>
              <w:ind w:right="11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options, warrants, and rights</w:t>
            </w:r>
          </w:p>
        </w:tc>
        <w:tc>
          <w:tcPr>
            <w:tcW w:w="2840" w:type="dxa"/>
            <w:vAlign w:val="bottom"/>
            <w:gridSpan w:val="2"/>
            <w:shd w:val="clear" w:color="auto" w:fill="E0E0E0"/>
          </w:tcPr>
          <w:p>
            <w:pPr>
              <w:jc w:val="center"/>
              <w:ind w:right="1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1580" w:type="dxa"/>
            <w:vAlign w:val="bottom"/>
            <w:tcBorders>
              <w:right w:val="single" w:sz="8" w:color="auto"/>
            </w:tcBorders>
            <w:gridSpan w:val="2"/>
            <w:shd w:val="clear" w:color="auto" w:fill="E0E0E0"/>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reflected in column (a))</w:t>
            </w:r>
          </w:p>
        </w:tc>
        <w:tc>
          <w:tcPr>
            <w:tcW w:w="0" w:type="dxa"/>
            <w:vAlign w:val="bottom"/>
          </w:tcPr>
          <w:p>
            <w:pPr>
              <w:spacing w:after="0"/>
              <w:rPr>
                <w:sz w:val="1"/>
                <w:szCs w:val="1"/>
                <w:color w:val="auto"/>
              </w:rPr>
            </w:pPr>
          </w:p>
        </w:tc>
      </w:tr>
      <w:tr>
        <w:trPr>
          <w:trHeight w:val="255"/>
        </w:trPr>
        <w:tc>
          <w:tcPr>
            <w:tcW w:w="120" w:type="dxa"/>
            <w:vAlign w:val="bottom"/>
            <w:tcBorders>
              <w:top w:val="single" w:sz="8" w:color="E0E0E0"/>
              <w:left w:val="single" w:sz="8" w:color="auto"/>
              <w:bottom w:val="single" w:sz="8" w:color="auto"/>
            </w:tcBorders>
            <w:shd w:val="clear" w:color="auto" w:fill="E0E0E0"/>
          </w:tcPr>
          <w:p>
            <w:pPr>
              <w:spacing w:after="0"/>
              <w:rPr>
                <w:sz w:val="21"/>
                <w:szCs w:val="21"/>
                <w:color w:val="auto"/>
              </w:rPr>
            </w:pPr>
          </w:p>
        </w:tc>
        <w:tc>
          <w:tcPr>
            <w:tcW w:w="900" w:type="dxa"/>
            <w:vAlign w:val="bottom"/>
            <w:tcBorders>
              <w:top w:val="single" w:sz="8" w:color="auto"/>
              <w:bottom w:val="single" w:sz="8" w:color="auto"/>
            </w:tcBorders>
            <w:shd w:val="clear" w:color="auto" w:fill="E0E0E0"/>
          </w:tcPr>
          <w:p>
            <w:pPr>
              <w:spacing w:after="0"/>
              <w:rPr>
                <w:sz w:val="21"/>
                <w:szCs w:val="21"/>
                <w:color w:val="auto"/>
              </w:rPr>
            </w:pPr>
          </w:p>
        </w:tc>
        <w:tc>
          <w:tcPr>
            <w:tcW w:w="80" w:type="dxa"/>
            <w:vAlign w:val="bottom"/>
            <w:tcBorders>
              <w:top w:val="single" w:sz="8" w:color="E0E0E0"/>
              <w:bottom w:val="single" w:sz="8" w:color="auto"/>
            </w:tcBorders>
            <w:shd w:val="clear" w:color="auto" w:fill="E0E0E0"/>
          </w:tcPr>
          <w:p>
            <w:pPr>
              <w:spacing w:after="0"/>
              <w:rPr>
                <w:sz w:val="21"/>
                <w:szCs w:val="21"/>
                <w:color w:val="auto"/>
              </w:rPr>
            </w:pPr>
          </w:p>
        </w:tc>
        <w:tc>
          <w:tcPr>
            <w:tcW w:w="1620" w:type="dxa"/>
            <w:vAlign w:val="bottom"/>
            <w:tcBorders>
              <w:top w:val="single" w:sz="8" w:color="E0E0E0"/>
              <w:bottom w:val="single" w:sz="8" w:color="auto"/>
            </w:tcBorders>
            <w:shd w:val="clear" w:color="auto" w:fill="E0E0E0"/>
          </w:tcPr>
          <w:p>
            <w:pPr>
              <w:spacing w:after="0"/>
              <w:rPr>
                <w:sz w:val="21"/>
                <w:szCs w:val="21"/>
                <w:color w:val="auto"/>
              </w:rPr>
            </w:pPr>
          </w:p>
        </w:tc>
        <w:tc>
          <w:tcPr>
            <w:tcW w:w="1080" w:type="dxa"/>
            <w:vAlign w:val="bottom"/>
            <w:tcBorders>
              <w:top w:val="single" w:sz="8" w:color="E0E0E0"/>
              <w:bottom w:val="single" w:sz="8" w:color="E0E0E0"/>
            </w:tcBorders>
            <w:shd w:val="clear" w:color="auto" w:fill="E0E0E0"/>
          </w:tcPr>
          <w:p>
            <w:pPr>
              <w:spacing w:after="0"/>
              <w:rPr>
                <w:sz w:val="21"/>
                <w:szCs w:val="21"/>
                <w:color w:val="auto"/>
              </w:rPr>
            </w:pPr>
          </w:p>
        </w:tc>
        <w:tc>
          <w:tcPr>
            <w:tcW w:w="1680" w:type="dxa"/>
            <w:vAlign w:val="bottom"/>
            <w:tcBorders>
              <w:top w:val="single" w:sz="8" w:color="auto"/>
              <w:bottom w:val="single" w:sz="8" w:color="E0E0E0"/>
            </w:tcBorders>
            <w:shd w:val="clear" w:color="auto" w:fill="E0E0E0"/>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92"/>
              </w:rPr>
              <w:t>(a)</w:t>
            </w:r>
            <w:r>
              <w:rPr>
                <w:rFonts w:ascii="Times New Roman" w:cs="Times New Roman" w:eastAsia="Times New Roman" w:hAnsi="Times New Roman"/>
                <w:sz w:val="22"/>
                <w:szCs w:val="22"/>
                <w:b w:val="1"/>
                <w:bCs w:val="1"/>
                <w:color w:val="auto"/>
                <w:w w:val="92"/>
                <w:vertAlign w:val="superscript"/>
              </w:rPr>
              <w:t>1</w:t>
            </w:r>
          </w:p>
        </w:tc>
        <w:tc>
          <w:tcPr>
            <w:tcW w:w="1180" w:type="dxa"/>
            <w:vAlign w:val="bottom"/>
            <w:tcBorders>
              <w:top w:val="single" w:sz="8" w:color="E0E0E0"/>
              <w:bottom w:val="single" w:sz="8" w:color="E0E0E0"/>
            </w:tcBorders>
            <w:shd w:val="clear" w:color="auto" w:fill="E0E0E0"/>
          </w:tcPr>
          <w:p>
            <w:pPr>
              <w:spacing w:after="0"/>
              <w:rPr>
                <w:sz w:val="21"/>
                <w:szCs w:val="21"/>
                <w:color w:val="auto"/>
              </w:rPr>
            </w:pPr>
          </w:p>
        </w:tc>
        <w:tc>
          <w:tcPr>
            <w:tcW w:w="1660" w:type="dxa"/>
            <w:vAlign w:val="bottom"/>
            <w:tcBorders>
              <w:top w:val="single" w:sz="8" w:color="auto"/>
              <w:bottom w:val="single" w:sz="8" w:color="E0E0E0"/>
            </w:tcBorders>
            <w:shd w:val="clear" w:color="auto" w:fill="E0E0E0"/>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9"/>
              </w:rPr>
              <w:t>(b)</w:t>
            </w:r>
            <w:r>
              <w:rPr>
                <w:rFonts w:ascii="Times New Roman" w:cs="Times New Roman" w:eastAsia="Times New Roman" w:hAnsi="Times New Roman"/>
                <w:sz w:val="22"/>
                <w:szCs w:val="22"/>
                <w:b w:val="1"/>
                <w:bCs w:val="1"/>
                <w:color w:val="auto"/>
                <w:w w:val="89"/>
                <w:vertAlign w:val="superscript"/>
              </w:rPr>
              <w:t>2</w:t>
            </w:r>
          </w:p>
        </w:tc>
        <w:tc>
          <w:tcPr>
            <w:tcW w:w="1180" w:type="dxa"/>
            <w:vAlign w:val="bottom"/>
            <w:tcBorders>
              <w:top w:val="single" w:sz="8" w:color="E0E0E0"/>
              <w:bottom w:val="single" w:sz="8" w:color="E0E0E0"/>
            </w:tcBorders>
            <w:shd w:val="clear" w:color="auto" w:fill="E0E0E0"/>
          </w:tcPr>
          <w:p>
            <w:pPr>
              <w:spacing w:after="0"/>
              <w:rPr>
                <w:sz w:val="21"/>
                <w:szCs w:val="21"/>
                <w:color w:val="auto"/>
              </w:rPr>
            </w:pPr>
          </w:p>
        </w:tc>
        <w:tc>
          <w:tcPr>
            <w:tcW w:w="1360" w:type="dxa"/>
            <w:vAlign w:val="bottom"/>
            <w:tcBorders>
              <w:top w:val="single" w:sz="8" w:color="auto"/>
              <w:bottom w:val="single" w:sz="8" w:color="E0E0E0"/>
            </w:tcBorders>
            <w:shd w:val="clear" w:color="auto" w:fill="E0E0E0"/>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7"/>
              </w:rPr>
              <w:t>(c)</w:t>
            </w:r>
            <w:r>
              <w:rPr>
                <w:rFonts w:ascii="Times New Roman" w:cs="Times New Roman" w:eastAsia="Times New Roman" w:hAnsi="Times New Roman"/>
                <w:sz w:val="22"/>
                <w:szCs w:val="22"/>
                <w:b w:val="1"/>
                <w:bCs w:val="1"/>
                <w:color w:val="auto"/>
                <w:w w:val="87"/>
                <w:vertAlign w:val="superscript"/>
              </w:rPr>
              <w:t>3</w:t>
            </w:r>
          </w:p>
        </w:tc>
        <w:tc>
          <w:tcPr>
            <w:tcW w:w="220" w:type="dxa"/>
            <w:vAlign w:val="bottom"/>
            <w:tcBorders>
              <w:top w:val="single" w:sz="8" w:color="E0E0E0"/>
              <w:bottom w:val="single" w:sz="8" w:color="E0E0E0"/>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0" w:type="dxa"/>
            <w:vAlign w:val="bottom"/>
            <w:tcBorders>
              <w:top w:val="single" w:sz="8" w:color="E0E0E0"/>
              <w:left w:val="single" w:sz="8" w:color="auto"/>
            </w:tcBorders>
            <w:shd w:val="clear" w:color="auto" w:fill="E0E0E0"/>
          </w:tcPr>
          <w:p>
            <w:pPr>
              <w:spacing w:after="0"/>
              <w:rPr>
                <w:sz w:val="15"/>
                <w:szCs w:val="15"/>
                <w:color w:val="auto"/>
              </w:rPr>
            </w:pPr>
          </w:p>
        </w:tc>
        <w:tc>
          <w:tcPr>
            <w:tcW w:w="2600" w:type="dxa"/>
            <w:vAlign w:val="bottom"/>
            <w:tcBorders>
              <w:top w:val="single" w:sz="8" w:color="E0E0E0"/>
            </w:tcBorders>
            <w:gridSpan w:val="3"/>
            <w:shd w:val="clear" w:color="auto" w:fill="E0E0E0"/>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w:t>
            </w:r>
          </w:p>
        </w:tc>
        <w:tc>
          <w:tcPr>
            <w:tcW w:w="1080" w:type="dxa"/>
            <w:vAlign w:val="bottom"/>
            <w:tcBorders>
              <w:top w:val="single" w:sz="8" w:color="auto"/>
            </w:tcBorders>
            <w:shd w:val="clear" w:color="auto" w:fill="E0E0E0"/>
          </w:tcPr>
          <w:p>
            <w:pPr>
              <w:spacing w:after="0"/>
              <w:rPr>
                <w:sz w:val="15"/>
                <w:szCs w:val="15"/>
                <w:color w:val="auto"/>
              </w:rPr>
            </w:pPr>
          </w:p>
        </w:tc>
        <w:tc>
          <w:tcPr>
            <w:tcW w:w="1680" w:type="dxa"/>
            <w:vAlign w:val="bottom"/>
            <w:tcBorders>
              <w:top w:val="single" w:sz="8" w:color="auto"/>
            </w:tcBorders>
            <w:shd w:val="clear" w:color="auto" w:fill="E0E0E0"/>
          </w:tcPr>
          <w:p>
            <w:pPr>
              <w:spacing w:after="0"/>
              <w:rPr>
                <w:sz w:val="15"/>
                <w:szCs w:val="15"/>
                <w:color w:val="auto"/>
              </w:rPr>
            </w:pPr>
          </w:p>
        </w:tc>
        <w:tc>
          <w:tcPr>
            <w:tcW w:w="1180" w:type="dxa"/>
            <w:vAlign w:val="bottom"/>
            <w:tcBorders>
              <w:top w:val="single" w:sz="8" w:color="auto"/>
            </w:tcBorders>
            <w:shd w:val="clear" w:color="auto" w:fill="E0E0E0"/>
          </w:tcPr>
          <w:p>
            <w:pPr>
              <w:spacing w:after="0"/>
              <w:rPr>
                <w:sz w:val="15"/>
                <w:szCs w:val="15"/>
                <w:color w:val="auto"/>
              </w:rPr>
            </w:pPr>
          </w:p>
        </w:tc>
        <w:tc>
          <w:tcPr>
            <w:tcW w:w="1660" w:type="dxa"/>
            <w:vAlign w:val="bottom"/>
            <w:tcBorders>
              <w:top w:val="single" w:sz="8" w:color="auto"/>
            </w:tcBorders>
            <w:shd w:val="clear" w:color="auto" w:fill="E0E0E0"/>
          </w:tcPr>
          <w:p>
            <w:pPr>
              <w:spacing w:after="0"/>
              <w:rPr>
                <w:sz w:val="15"/>
                <w:szCs w:val="15"/>
                <w:color w:val="auto"/>
              </w:rPr>
            </w:pPr>
          </w:p>
        </w:tc>
        <w:tc>
          <w:tcPr>
            <w:tcW w:w="1180" w:type="dxa"/>
            <w:vAlign w:val="bottom"/>
            <w:tcBorders>
              <w:top w:val="single" w:sz="8" w:color="auto"/>
            </w:tcBorders>
            <w:shd w:val="clear" w:color="auto" w:fill="E0E0E0"/>
          </w:tcPr>
          <w:p>
            <w:pPr>
              <w:spacing w:after="0"/>
              <w:rPr>
                <w:sz w:val="15"/>
                <w:szCs w:val="15"/>
                <w:color w:val="auto"/>
              </w:rPr>
            </w:pPr>
          </w:p>
        </w:tc>
        <w:tc>
          <w:tcPr>
            <w:tcW w:w="136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auto"/>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shd w:val="clear" w:color="auto" w:fill="E0E0E0"/>
          </w:tcPr>
          <w:p>
            <w:pPr>
              <w:spacing w:after="0"/>
              <w:rPr>
                <w:sz w:val="20"/>
                <w:szCs w:val="20"/>
                <w:color w:val="auto"/>
              </w:rPr>
            </w:pPr>
          </w:p>
        </w:tc>
        <w:tc>
          <w:tcPr>
            <w:tcW w:w="2600" w:type="dxa"/>
            <w:vAlign w:val="bottom"/>
            <w:gridSpan w:val="3"/>
            <w:shd w:val="clear" w:color="auto" w:fill="E0E0E0"/>
          </w:tcPr>
          <w:p>
            <w:pPr>
              <w:ind w:left="220"/>
              <w:spacing w:after="0"/>
              <w:rPr>
                <w:sz w:val="20"/>
                <w:szCs w:val="20"/>
                <w:color w:val="auto"/>
              </w:rPr>
            </w:pPr>
            <w:r>
              <w:rPr>
                <w:rFonts w:ascii="Times New Roman" w:cs="Times New Roman" w:eastAsia="Times New Roman" w:hAnsi="Times New Roman"/>
                <w:sz w:val="18"/>
                <w:szCs w:val="18"/>
                <w:color w:val="auto"/>
              </w:rPr>
              <w:t>approved by shareholders</w:t>
            </w:r>
          </w:p>
        </w:tc>
        <w:tc>
          <w:tcPr>
            <w:tcW w:w="1080" w:type="dxa"/>
            <w:vAlign w:val="bottom"/>
            <w:shd w:val="clear" w:color="auto" w:fill="E0E0E0"/>
          </w:tcPr>
          <w:p>
            <w:pPr>
              <w:spacing w:after="0"/>
              <w:rPr>
                <w:sz w:val="20"/>
                <w:szCs w:val="20"/>
                <w:color w:val="auto"/>
              </w:rPr>
            </w:pPr>
          </w:p>
        </w:tc>
        <w:tc>
          <w:tcPr>
            <w:tcW w:w="2860" w:type="dxa"/>
            <w:vAlign w:val="bottom"/>
            <w:gridSpan w:val="2"/>
            <w:shd w:val="clear" w:color="auto" w:fill="E0E0E0"/>
          </w:tcPr>
          <w:p>
            <w:pPr>
              <w:jc w:val="right"/>
              <w:ind w:right="1180"/>
              <w:spacing w:after="0"/>
              <w:rPr>
                <w:sz w:val="20"/>
                <w:szCs w:val="20"/>
                <w:color w:val="auto"/>
              </w:rPr>
            </w:pPr>
            <w:r>
              <w:rPr>
                <w:rFonts w:ascii="Times New Roman" w:cs="Times New Roman" w:eastAsia="Times New Roman" w:hAnsi="Times New Roman"/>
                <w:sz w:val="18"/>
                <w:szCs w:val="18"/>
                <w:color w:val="auto"/>
              </w:rPr>
              <w:t>1,294,278</w:t>
            </w:r>
          </w:p>
        </w:tc>
        <w:tc>
          <w:tcPr>
            <w:tcW w:w="2840" w:type="dxa"/>
            <w:vAlign w:val="bottom"/>
            <w:gridSpan w:val="2"/>
            <w:shd w:val="clear" w:color="auto" w:fill="E0E0E0"/>
          </w:tcPr>
          <w:p>
            <w:pPr>
              <w:jc w:val="right"/>
              <w:ind w:right="1180"/>
              <w:spacing w:after="0"/>
              <w:rPr>
                <w:sz w:val="20"/>
                <w:szCs w:val="20"/>
                <w:color w:val="auto"/>
              </w:rPr>
            </w:pPr>
            <w:r>
              <w:rPr>
                <w:rFonts w:ascii="Times New Roman" w:cs="Times New Roman" w:eastAsia="Times New Roman" w:hAnsi="Times New Roman"/>
                <w:sz w:val="18"/>
                <w:szCs w:val="18"/>
                <w:color w:val="auto"/>
              </w:rPr>
              <w:t>77.72</w:t>
            </w:r>
          </w:p>
        </w:tc>
        <w:tc>
          <w:tcPr>
            <w:tcW w:w="1580" w:type="dxa"/>
            <w:vAlign w:val="bottom"/>
            <w:tcBorders>
              <w:right w:val="single" w:sz="8" w:color="auto"/>
            </w:tcBorders>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8"/>
                <w:szCs w:val="18"/>
                <w:color w:val="auto"/>
              </w:rPr>
              <w:t>837,745</w:t>
            </w:r>
          </w:p>
        </w:tc>
        <w:tc>
          <w:tcPr>
            <w:tcW w:w="0" w:type="dxa"/>
            <w:vAlign w:val="bottom"/>
          </w:tcPr>
          <w:p>
            <w:pPr>
              <w:spacing w:after="0"/>
              <w:rPr>
                <w:sz w:val="1"/>
                <w:szCs w:val="1"/>
                <w:color w:val="auto"/>
              </w:rPr>
            </w:pPr>
          </w:p>
        </w:tc>
      </w:tr>
      <w:tr>
        <w:trPr>
          <w:trHeight w:val="202"/>
        </w:trPr>
        <w:tc>
          <w:tcPr>
            <w:tcW w:w="120" w:type="dxa"/>
            <w:vAlign w:val="bottom"/>
            <w:tcBorders>
              <w:left w:val="single" w:sz="8" w:color="auto"/>
            </w:tcBorders>
          </w:tcPr>
          <w:p>
            <w:pPr>
              <w:spacing w:after="0"/>
              <w:rPr>
                <w:sz w:val="17"/>
                <w:szCs w:val="17"/>
                <w:color w:val="auto"/>
              </w:rPr>
            </w:pPr>
          </w:p>
        </w:tc>
        <w:tc>
          <w:tcPr>
            <w:tcW w:w="26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0" w:type="dxa"/>
            <w:vAlign w:val="bottom"/>
            <w:tcBorders>
              <w:left w:val="single" w:sz="8" w:color="auto"/>
            </w:tcBorders>
          </w:tcPr>
          <w:p>
            <w:pPr>
              <w:spacing w:after="0"/>
              <w:rPr>
                <w:sz w:val="19"/>
                <w:szCs w:val="19"/>
                <w:color w:val="auto"/>
              </w:rPr>
            </w:pP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approved by shareholders</w:t>
            </w:r>
          </w:p>
        </w:tc>
        <w:tc>
          <w:tcPr>
            <w:tcW w:w="1080" w:type="dxa"/>
            <w:vAlign w:val="bottom"/>
          </w:tcPr>
          <w:p>
            <w:pPr>
              <w:spacing w:after="0"/>
              <w:rPr>
                <w:sz w:val="19"/>
                <w:szCs w:val="19"/>
                <w:color w:val="auto"/>
              </w:rPr>
            </w:pPr>
          </w:p>
        </w:tc>
        <w:tc>
          <w:tcPr>
            <w:tcW w:w="28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None</w:t>
            </w:r>
          </w:p>
        </w:tc>
        <w:tc>
          <w:tcPr>
            <w:tcW w:w="28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None</w:t>
            </w:r>
          </w:p>
        </w:tc>
        <w:tc>
          <w:tcPr>
            <w:tcW w:w="15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shd w:val="clear" w:color="auto" w:fill="E0E0E0"/>
          </w:tcPr>
          <w:p>
            <w:pPr>
              <w:spacing w:after="0"/>
              <w:rPr>
                <w:sz w:val="18"/>
                <w:szCs w:val="18"/>
                <w:color w:val="auto"/>
              </w:rPr>
            </w:pPr>
          </w:p>
        </w:tc>
        <w:tc>
          <w:tcPr>
            <w:tcW w:w="2600" w:type="dxa"/>
            <w:vAlign w:val="bottom"/>
            <w:tcBorders>
              <w:bottom w:val="single" w:sz="8" w:color="auto"/>
            </w:tcBorders>
            <w:gridSpan w:val="3"/>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w:t>
            </w:r>
          </w:p>
        </w:tc>
        <w:tc>
          <w:tcPr>
            <w:tcW w:w="3940" w:type="dxa"/>
            <w:vAlign w:val="bottom"/>
            <w:tcBorders>
              <w:bottom w:val="single" w:sz="8" w:color="auto"/>
            </w:tcBorders>
            <w:gridSpan w:val="3"/>
            <w:shd w:val="clear" w:color="auto" w:fill="E0E0E0"/>
          </w:tcPr>
          <w:p>
            <w:pPr>
              <w:jc w:val="right"/>
              <w:ind w:right="1180"/>
              <w:spacing w:after="0"/>
              <w:rPr>
                <w:sz w:val="20"/>
                <w:szCs w:val="20"/>
                <w:color w:val="auto"/>
              </w:rPr>
            </w:pPr>
            <w:r>
              <w:rPr>
                <w:rFonts w:ascii="Times New Roman" w:cs="Times New Roman" w:eastAsia="Times New Roman" w:hAnsi="Times New Roman"/>
                <w:sz w:val="18"/>
                <w:szCs w:val="18"/>
                <w:color w:val="auto"/>
              </w:rPr>
              <w:t>1,294,278</w:t>
            </w:r>
          </w:p>
        </w:tc>
        <w:tc>
          <w:tcPr>
            <w:tcW w:w="2840" w:type="dxa"/>
            <w:vAlign w:val="bottom"/>
            <w:tcBorders>
              <w:bottom w:val="single" w:sz="8" w:color="auto"/>
            </w:tcBorders>
            <w:gridSpan w:val="2"/>
            <w:shd w:val="clear" w:color="auto" w:fill="E0E0E0"/>
          </w:tcPr>
          <w:p>
            <w:pPr>
              <w:jc w:val="right"/>
              <w:ind w:right="1180"/>
              <w:spacing w:after="0"/>
              <w:rPr>
                <w:sz w:val="20"/>
                <w:szCs w:val="20"/>
                <w:color w:val="auto"/>
              </w:rPr>
            </w:pPr>
            <w:r>
              <w:rPr>
                <w:rFonts w:ascii="Times New Roman" w:cs="Times New Roman" w:eastAsia="Times New Roman" w:hAnsi="Times New Roman"/>
                <w:sz w:val="18"/>
                <w:szCs w:val="18"/>
                <w:color w:val="auto"/>
              </w:rPr>
              <w:t>77.72</w:t>
            </w:r>
          </w:p>
        </w:tc>
        <w:tc>
          <w:tcPr>
            <w:tcW w:w="1580" w:type="dxa"/>
            <w:vAlign w:val="bottom"/>
            <w:tcBorders>
              <w:bottom w:val="single" w:sz="8" w:color="auto"/>
              <w:right w:val="single" w:sz="8" w:color="auto"/>
            </w:tcBorders>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8"/>
                <w:szCs w:val="18"/>
                <w:color w:val="auto"/>
              </w:rPr>
              <w:t>837,745</w:t>
            </w: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jc w:val="both"/>
        <w:ind w:left="323" w:right="20" w:hanging="323"/>
        <w:spacing w:after="0" w:line="289" w:lineRule="auto"/>
        <w:tabs>
          <w:tab w:leader="none" w:pos="323"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1,027,957 stock options that have a weighted-average exercise price of $96.10; 238,594 restricted stock units that have a $0 exercise price; and 27,727 stock units granted in accordance with Martin Marietta’s Incentive Stock Plan that are credited to participants at an average weighted cost of $65.14.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spacing w:after="0" w:line="28" w:lineRule="exact"/>
        <w:rPr>
          <w:sz w:val="20"/>
          <w:szCs w:val="20"/>
          <w:color w:val="auto"/>
        </w:rPr>
      </w:pPr>
    </w:p>
    <w:p>
      <w:pPr>
        <w:ind w:left="323" w:hanging="323"/>
        <w:spacing w:after="0"/>
        <w:tabs>
          <w:tab w:leader="none" w:pos="32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take into account the restricted stock units and stock units for which there is no exercise price.</w:t>
      </w:r>
    </w:p>
    <w:p>
      <w:pPr>
        <w:spacing w:after="0" w:line="69" w:lineRule="exact"/>
        <w:rPr>
          <w:sz w:val="20"/>
          <w:szCs w:val="20"/>
          <w:color w:val="auto"/>
        </w:rPr>
      </w:pPr>
    </w:p>
    <w:p>
      <w:pPr>
        <w:jc w:val="both"/>
        <w:ind w:left="323" w:right="20" w:hanging="323"/>
        <w:spacing w:after="0" w:line="231" w:lineRule="auto"/>
        <w:tabs>
          <w:tab w:leader="none" w:pos="32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Martin Marietta’s common stock available for issuance (other than those reported in column (a)) under Martin Marietta’s equity compensation plans as of December 31, 2012 in the following amounts: Directors’ Plan (166,841 shares), Stock-Based Award Plan (462,929 shares), and Achievement Plan (207,975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270"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083"/>
          </w:cols>
          <w:pgMar w:left="437" w:top="459" w:right="3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41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041140"/>
                    </a:xfrm>
                    <a:prstGeom prst="rect">
                      <a:avLst/>
                    </a:prstGeom>
                    <a:noFill/>
                  </pic:spPr>
                </pic:pic>
              </a:graphicData>
            </a:graphic>
          </wp:anchor>
        </w:drawing>
        <w:t>INCORPORATION BY REFERENCE</w:t>
      </w:r>
    </w:p>
    <w:p>
      <w:pPr>
        <w:spacing w:after="0" w:line="173" w:lineRule="exact"/>
        <w:rPr>
          <w:sz w:val="20"/>
          <w:szCs w:val="20"/>
          <w:color w:val="auto"/>
        </w:rPr>
      </w:pPr>
    </w:p>
    <w:p>
      <w:pPr>
        <w:jc w:val="both"/>
        <w:ind w:firstLine="775"/>
        <w:spacing w:after="0" w:line="256" w:lineRule="auto"/>
        <w:rPr>
          <w:sz w:val="20"/>
          <w:szCs w:val="20"/>
          <w:color w:val="auto"/>
        </w:rPr>
      </w:pPr>
      <w:r>
        <w:rPr>
          <w:rFonts w:ascii="Times New Roman" w:cs="Times New Roman" w:eastAsia="Times New Roman" w:hAnsi="Times New Roman"/>
          <w:sz w:val="18"/>
          <w:szCs w:val="18"/>
          <w:color w:val="auto"/>
        </w:rPr>
        <w:t>The Audit Committee Report beginning on page 31 and the Management Development and Compensation Committee Report beginning on page 32 do not constitute soliciting material and should not be deemed filed or incorporated by reference into any other filing by Martin Marietta under the Securities Act of 1933 or the Securities Exchange Act of 1934,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PROPOSALS FOR 2014 ANNUAL MEETING</w:t>
      </w:r>
    </w:p>
    <w:p>
      <w:pPr>
        <w:spacing w:after="0" w:line="173" w:lineRule="exact"/>
        <w:rPr>
          <w:sz w:val="20"/>
          <w:szCs w:val="20"/>
          <w:color w:val="auto"/>
        </w:rPr>
      </w:pPr>
    </w:p>
    <w:p>
      <w:pPr>
        <w:jc w:val="both"/>
        <w:ind w:firstLine="775"/>
        <w:spacing w:after="0" w:line="252" w:lineRule="auto"/>
        <w:rPr>
          <w:sz w:val="20"/>
          <w:szCs w:val="20"/>
          <w:color w:val="auto"/>
        </w:rPr>
      </w:pPr>
      <w:r>
        <w:rPr>
          <w:rFonts w:ascii="Times New Roman" w:cs="Times New Roman" w:eastAsia="Times New Roman" w:hAnsi="Times New Roman"/>
          <w:sz w:val="18"/>
          <w:szCs w:val="18"/>
          <w:color w:val="auto"/>
        </w:rPr>
        <w:t>Proposals by shareholders intended to be presented at the 2014 Annual Meeting of Shareholders of Martin Marietta must be received by the Secretary of Martin Marietta no later than December 17, 2013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2014 Annual Meeting of Shareholders, proposals must be received by the Secretary of Martin Marietta no earlier than January 16, 2014 and no later than February 15, 2014.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Any shareholder desiring a copy of the Bylaws of Martin Marietta will be furnished one without charge upon written request to the Secretary of Martin Marietta at its principal executive office, 2710 Wycliff Road, Raleigh, North Carolina 27607.</w:t>
      </w:r>
    </w:p>
    <w:p>
      <w:pPr>
        <w:spacing w:after="0" w:line="1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2013</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060"/>
          </w:cols>
          <w:pgMar w:left="440" w:top="461" w:right="399" w:bottom="1440" w:gutter="0" w:footer="0" w:header="0"/>
        </w:sectPr>
      </w:pPr>
    </w:p>
    <w:bookmarkStart w:id="69" w:name="page70"/>
    <w:bookmarkEnd w:id="69"/>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64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864735"/>
                    </a:xfrm>
                    <a:prstGeom prst="rect">
                      <a:avLst/>
                    </a:prstGeom>
                    <a:noFill/>
                  </pic:spPr>
                </pic:pic>
              </a:graphicData>
            </a:graphic>
          </wp:anchor>
        </w:drawing>
        <w:t>APPENDIX A</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GUIDELINES FOR POTENTIAL NEW BOARD MEMBERS</w:t>
      </w:r>
    </w:p>
    <w:p>
      <w:pPr>
        <w:spacing w:after="0" w:line="157" w:lineRule="exact"/>
        <w:rPr>
          <w:sz w:val="20"/>
          <w:szCs w:val="20"/>
          <w:color w:val="auto"/>
        </w:rPr>
      </w:pPr>
    </w:p>
    <w:p>
      <w:pPr>
        <w:jc w:val="both"/>
        <w:ind w:firstLine="775"/>
        <w:spacing w:after="0" w:line="291" w:lineRule="auto"/>
        <w:rPr>
          <w:sz w:val="20"/>
          <w:szCs w:val="20"/>
          <w:color w:val="auto"/>
        </w:rPr>
      </w:pPr>
      <w:r>
        <w:rPr>
          <w:rFonts w:ascii="Times New Roman" w:cs="Times New Roman" w:eastAsia="Times New Roman" w:hAnsi="Times New Roman"/>
          <w:sz w:val="16"/>
          <w:szCs w:val="16"/>
          <w:i w:val="1"/>
          <w:iCs w:val="1"/>
          <w:u w:val="single" w:color="auto"/>
          <w:color w:val="auto"/>
        </w:rPr>
        <w:t>Preamble</w:t>
      </w:r>
      <w:r>
        <w:rPr>
          <w:rFonts w:ascii="Times New Roman" w:cs="Times New Roman" w:eastAsia="Times New Roman" w:hAnsi="Times New Roman"/>
          <w:sz w:val="16"/>
          <w:szCs w:val="16"/>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15" w:lineRule="exact"/>
        <w:rPr>
          <w:sz w:val="20"/>
          <w:szCs w:val="20"/>
          <w:color w:val="auto"/>
        </w:rPr>
      </w:pPr>
    </w:p>
    <w:p>
      <w:pPr>
        <w:ind w:left="940" w:hanging="168"/>
        <w:spacing w:after="0"/>
        <w:tabs>
          <w:tab w:leader="none" w:pos="9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Candidates should have a long-term history of the highest integrity and should ascribe fully to the ethics program of Martin Marietta.</w:t>
      </w:r>
    </w:p>
    <w:p>
      <w:pPr>
        <w:spacing w:after="0" w:line="171" w:lineRule="exact"/>
        <w:rPr>
          <w:rFonts w:ascii="Times New Roman" w:cs="Times New Roman" w:eastAsia="Times New Roman" w:hAnsi="Times New Roman"/>
          <w:sz w:val="18"/>
          <w:szCs w:val="18"/>
          <w:color w:val="auto"/>
        </w:rPr>
      </w:pPr>
    </w:p>
    <w:p>
      <w:pPr>
        <w:ind w:left="940" w:hanging="168"/>
        <w:spacing w:after="0"/>
        <w:tabs>
          <w:tab w:leader="none" w:pos="9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Candidates should be experienced, seasoned and have mature business judgment. It would be desirable if they are still active in their careers.</w:t>
      </w:r>
    </w:p>
    <w:p>
      <w:pPr>
        <w:spacing w:after="0" w:line="194" w:lineRule="exact"/>
        <w:rPr>
          <w:rFonts w:ascii="Times New Roman" w:cs="Times New Roman" w:eastAsia="Times New Roman" w:hAnsi="Times New Roman"/>
          <w:sz w:val="16"/>
          <w:szCs w:val="16"/>
          <w:color w:val="auto"/>
        </w:rPr>
      </w:pPr>
    </w:p>
    <w:p>
      <w:pPr>
        <w:ind w:left="940" w:hanging="168"/>
        <w:spacing w:after="0"/>
        <w:tabs>
          <w:tab w:leader="none" w:pos="9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should be given to matching the geographic base of the candidate with the geographic coverage of Martin Marietta.</w:t>
      </w:r>
    </w:p>
    <w:p>
      <w:pPr>
        <w:spacing w:after="0" w:line="171" w:lineRule="exact"/>
        <w:rPr>
          <w:rFonts w:ascii="Times New Roman" w:cs="Times New Roman" w:eastAsia="Times New Roman" w:hAnsi="Times New Roman"/>
          <w:sz w:val="18"/>
          <w:szCs w:val="18"/>
          <w:color w:val="auto"/>
        </w:rPr>
      </w:pPr>
    </w:p>
    <w:p>
      <w:pPr>
        <w:ind w:firstLine="772"/>
        <w:spacing w:after="0" w:line="275" w:lineRule="auto"/>
        <w:tabs>
          <w:tab w:leader="none" w:pos="9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should be given to diversity on the Board. Such diversity may include type of experience, education, skill sets, ethnic origin, gender and other items that will enable the Board to have broad knowledge base and diverse viewpoints.</w:t>
      </w:r>
    </w:p>
    <w:p>
      <w:pPr>
        <w:spacing w:after="0" w:line="119" w:lineRule="exact"/>
        <w:rPr>
          <w:rFonts w:ascii="Times New Roman" w:cs="Times New Roman" w:eastAsia="Times New Roman" w:hAnsi="Times New Roman"/>
          <w:sz w:val="18"/>
          <w:szCs w:val="18"/>
          <w:color w:val="auto"/>
        </w:rPr>
      </w:pPr>
    </w:p>
    <w:p>
      <w:pPr>
        <w:ind w:left="960" w:hanging="188"/>
        <w:spacing w:after="0"/>
        <w:tabs>
          <w:tab w:leader="none" w:pos="9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candidates should not come from firms or companies that are significant sellers or buyers of goods and services to or from Martin</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Marietta.</w:t>
      </w:r>
    </w:p>
    <w:p>
      <w:pPr>
        <w:spacing w:after="0" w:line="158" w:lineRule="exact"/>
        <w:rPr>
          <w:rFonts w:ascii="Times New Roman" w:cs="Times New Roman" w:eastAsia="Times New Roman" w:hAnsi="Times New Roman"/>
          <w:sz w:val="16"/>
          <w:szCs w:val="16"/>
          <w:color w:val="auto"/>
        </w:rPr>
      </w:pPr>
    </w:p>
    <w:p>
      <w:pPr>
        <w:jc w:val="both"/>
        <w:ind w:firstLine="772"/>
        <w:spacing w:after="0" w:line="262" w:lineRule="auto"/>
        <w:tabs>
          <w:tab w:leader="none" w:pos="9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Times New Roman" w:cs="Times New Roman" w:eastAsia="Times New Roman" w:hAnsi="Times New Roman"/>
          <w:sz w:val="18"/>
          <w:szCs w:val="18"/>
          <w:i w:val="1"/>
          <w:iCs w:val="1"/>
          <w:color w:val="auto"/>
        </w:rPr>
        <w:t>Corporate Governance Guidelines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jc w:val="both"/>
        <w:ind w:firstLine="772"/>
        <w:spacing w:after="0" w:line="262" w:lineRule="auto"/>
        <w:tabs>
          <w:tab w:leader="none" w:pos="9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132" w:lineRule="exact"/>
        <w:rPr>
          <w:rFonts w:ascii="Times New Roman" w:cs="Times New Roman" w:eastAsia="Times New Roman" w:hAnsi="Times New Roman"/>
          <w:sz w:val="18"/>
          <w:szCs w:val="18"/>
          <w:color w:val="auto"/>
        </w:rPr>
      </w:pPr>
    </w:p>
    <w:p>
      <w:pPr>
        <w:jc w:val="both"/>
        <w:ind w:firstLine="772"/>
        <w:spacing w:after="0" w:line="262" w:lineRule="auto"/>
        <w:tabs>
          <w:tab w:leader="none" w:pos="9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060"/>
          </w:cols>
          <w:pgMar w:left="440" w:top="461" w:right="399" w:bottom="1440" w:gutter="0" w:footer="0" w:header="0"/>
        </w:sectPr>
      </w:pPr>
    </w:p>
    <w:bookmarkStart w:id="70" w:name="page71"/>
    <w:bookmarkEnd w:id="70"/>
    <w:p>
      <w:pPr>
        <w:ind w:left="940" w:hanging="168"/>
        <w:spacing w:after="0"/>
        <w:tabs>
          <w:tab w:leader="none" w:pos="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10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1210945"/>
                    </a:xfrm>
                    <a:prstGeom prst="rect">
                      <a:avLst/>
                    </a:prstGeom>
                    <a:noFill/>
                  </pic:spPr>
                </pic:pic>
              </a:graphicData>
            </a:graphic>
          </wp:anchor>
        </w:drawing>
        <w:t>Public company experience is highly desirable.</w:t>
      </w:r>
    </w:p>
    <w:p>
      <w:pPr>
        <w:spacing w:after="0" w:line="171" w:lineRule="exact"/>
        <w:rPr>
          <w:rFonts w:ascii="Times New Roman" w:cs="Times New Roman" w:eastAsia="Times New Roman" w:hAnsi="Times New Roman"/>
          <w:sz w:val="18"/>
          <w:szCs w:val="18"/>
          <w:color w:val="auto"/>
        </w:rPr>
      </w:pPr>
    </w:p>
    <w:p>
      <w:pPr>
        <w:ind w:firstLine="772"/>
        <w:spacing w:after="0" w:line="275" w:lineRule="auto"/>
        <w:tabs>
          <w:tab w:leader="none" w:pos="10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Candidates from education or nonprofit organizations will be considered where there is a specific priority need identified by the Board and where such a candidate can add value.</w:t>
      </w:r>
    </w:p>
    <w:p>
      <w:pPr>
        <w:spacing w:after="0" w:line="119" w:lineRule="exact"/>
        <w:rPr>
          <w:rFonts w:ascii="Times New Roman" w:cs="Times New Roman" w:eastAsia="Times New Roman" w:hAnsi="Times New Roman"/>
          <w:sz w:val="18"/>
          <w:szCs w:val="18"/>
          <w:color w:val="auto"/>
        </w:rPr>
      </w:pPr>
    </w:p>
    <w:p>
      <w:pPr>
        <w:ind w:firstLine="772"/>
        <w:spacing w:after="0" w:line="275" w:lineRule="auto"/>
        <w:tabs>
          <w:tab w:leader="none" w:pos="103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candidates ideally would serve on no more than three for-profit boards inclusive of Martin Marietta Materials to assure adequate time to discharge the duties of a Board member.</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060"/>
          </w:cols>
          <w:pgMar w:left="440" w:top="463" w:right="39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APPENDIX B</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3" w:lineRule="exact"/>
        <w:rPr>
          <w:sz w:val="20"/>
          <w:szCs w:val="20"/>
          <w:color w:val="auto"/>
        </w:rPr>
      </w:pPr>
    </w:p>
    <w:p>
      <w:pPr>
        <w:jc w:val="both"/>
        <w:ind w:right="20" w:firstLine="775"/>
        <w:spacing w:after="0" w:line="254" w:lineRule="auto"/>
        <w:rPr>
          <w:sz w:val="20"/>
          <w:szCs w:val="20"/>
          <w:color w:val="auto"/>
        </w:rPr>
      </w:pPr>
      <w:r>
        <w:rPr>
          <w:rFonts w:ascii="Times New Roman" w:cs="Times New Roman" w:eastAsia="Times New Roman" w:hAnsi="Times New Roman"/>
          <w:sz w:val="18"/>
          <w:szCs w:val="18"/>
          <w:color w:val="auto"/>
        </w:rPr>
        <w:t>Adjusted net earnings attributable to Martin Marietta (“Adjusted Net Earnings”) and adjusted earnings per diluted share (“Adjusted EPS”) and the percentage change in Adjusted EPS for the year ended December 31, 2012 compared with 2011 represent non-GAAP financial measures as they exclude the impact from business development expenses. Management presents these non-GAAP measures in its Compensation Discussion and Analysis as these represent measures Martin Marietta’s Management Development and Compensation Committee (“the Committee”) considered in determining executive incentive compensation for the year ended December 31, 2012. The Committee believed the assessment of management’s performance for 2012 should be exclusive of business development expenses, the majority of which related to a proposed significant business combination that was not consummated. Further, Martin Marietta believes that Adjusted Net Earnings and Adjusted EPS represent more meaningful comparisons of performance considering the unusually significant impact of business development expenses in 2012 and 2011.</w:t>
      </w:r>
    </w:p>
    <w:p>
      <w:pPr>
        <w:spacing w:after="0" w:line="138" w:lineRule="exact"/>
        <w:rPr>
          <w:sz w:val="20"/>
          <w:szCs w:val="20"/>
          <w:color w:val="auto"/>
        </w:rPr>
      </w:pPr>
    </w:p>
    <w:p>
      <w:pPr>
        <w:jc w:val="both"/>
        <w:ind w:right="20" w:firstLine="775"/>
        <w:spacing w:after="0" w:line="256" w:lineRule="auto"/>
        <w:rPr>
          <w:sz w:val="20"/>
          <w:szCs w:val="20"/>
          <w:color w:val="auto"/>
        </w:rPr>
      </w:pPr>
      <w:r>
        <w:rPr>
          <w:rFonts w:ascii="Times New Roman" w:cs="Times New Roman" w:eastAsia="Times New Roman" w:hAnsi="Times New Roman"/>
          <w:sz w:val="18"/>
          <w:szCs w:val="18"/>
          <w:color w:val="auto"/>
        </w:rPr>
        <w:t>The following presents the calculation of the earnings per diluted share impact of business development expenses, reconciles net earnings attributable to Martin Marietta in accordance with generally accepted accounting principles (“GAAP”) to Adjusted Net Earnings for the years ended December 31, 2012 and 2011, reconciles earnings per diluted share in accordance with GAAP to Adjusted EPS for the years ended December 31, 2012 and 2011, and presents the percentage increase in Adjusted EPS for the year ended December 31, 2012 compared with 2011 (dollars, other than per share amounts, and number of shares in millions):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00" w:type="dxa"/>
            <w:vAlign w:val="bottom"/>
            <w:tcBorders>
              <w:top w:val="single" w:sz="8" w:color="auto"/>
              <w:left w:val="single" w:sz="8" w:color="auto"/>
            </w:tcBorders>
            <w:shd w:val="clear" w:color="auto" w:fill="E0E0E0"/>
          </w:tcPr>
          <w:p>
            <w:pPr>
              <w:spacing w:after="0"/>
              <w:rPr>
                <w:sz w:val="22"/>
                <w:szCs w:val="22"/>
                <w:color w:val="auto"/>
              </w:rPr>
            </w:pPr>
          </w:p>
        </w:tc>
        <w:tc>
          <w:tcPr>
            <w:tcW w:w="800" w:type="dxa"/>
            <w:vAlign w:val="bottom"/>
            <w:tcBorders>
              <w:top w:val="single" w:sz="8" w:color="auto"/>
            </w:tcBorders>
            <w:shd w:val="clear" w:color="auto" w:fill="E0E0E0"/>
          </w:tcPr>
          <w:p>
            <w:pPr>
              <w:spacing w:after="0"/>
              <w:rPr>
                <w:sz w:val="22"/>
                <w:szCs w:val="22"/>
                <w:color w:val="auto"/>
              </w:rPr>
            </w:pPr>
          </w:p>
        </w:tc>
        <w:tc>
          <w:tcPr>
            <w:tcW w:w="120" w:type="dxa"/>
            <w:vAlign w:val="bottom"/>
            <w:tcBorders>
              <w:top w:val="single" w:sz="8" w:color="auto"/>
            </w:tcBorders>
            <w:shd w:val="clear" w:color="auto" w:fill="E0E0E0"/>
          </w:tcPr>
          <w:p>
            <w:pPr>
              <w:spacing w:after="0"/>
              <w:rPr>
                <w:sz w:val="22"/>
                <w:szCs w:val="22"/>
                <w:color w:val="auto"/>
              </w:rPr>
            </w:pPr>
          </w:p>
        </w:tc>
        <w:tc>
          <w:tcPr>
            <w:tcW w:w="120" w:type="dxa"/>
            <w:vAlign w:val="bottom"/>
            <w:tcBorders>
              <w:top w:val="single" w:sz="8" w:color="auto"/>
            </w:tcBorders>
            <w:shd w:val="clear" w:color="auto" w:fill="E0E0E0"/>
          </w:tcPr>
          <w:p>
            <w:pPr>
              <w:spacing w:after="0"/>
              <w:rPr>
                <w:sz w:val="22"/>
                <w:szCs w:val="22"/>
                <w:color w:val="auto"/>
              </w:rPr>
            </w:pPr>
          </w:p>
        </w:tc>
        <w:tc>
          <w:tcPr>
            <w:tcW w:w="2040" w:type="dxa"/>
            <w:vAlign w:val="bottom"/>
            <w:tcBorders>
              <w:top w:val="single" w:sz="8" w:color="auto"/>
              <w:right w:val="single" w:sz="8" w:color="auto"/>
            </w:tcBorders>
            <w:gridSpan w:val="6"/>
            <w:shd w:val="clear" w:color="auto" w:fill="E0E0E0"/>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800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800" w:type="dxa"/>
            <w:vAlign w:val="bottom"/>
            <w:tcBorders>
              <w:top w:val="single" w:sz="8" w:color="E0E0E0"/>
              <w:bottom w:val="single" w:sz="8" w:color="auto"/>
            </w:tcBorders>
            <w:shd w:val="clear" w:color="auto" w:fill="E0E0E0"/>
          </w:tcPr>
          <w:p>
            <w:pPr>
              <w:spacing w:after="0"/>
              <w:rPr>
                <w:sz w:val="19"/>
                <w:szCs w:val="19"/>
                <w:color w:val="auto"/>
              </w:rPr>
            </w:pPr>
          </w:p>
        </w:tc>
        <w:tc>
          <w:tcPr>
            <w:tcW w:w="640" w:type="dxa"/>
            <w:vAlign w:val="bottom"/>
            <w:tcBorders>
              <w:top w:val="single" w:sz="8" w:color="auto"/>
              <w:bottom w:val="single" w:sz="8" w:color="auto"/>
            </w:tcBorders>
            <w:gridSpan w:val="3"/>
            <w:shd w:val="clear" w:color="auto" w:fill="E0E0E0"/>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lef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E0E0E0"/>
          </w:tcPr>
          <w:p>
            <w:pPr>
              <w:spacing w:after="0"/>
              <w:rPr>
                <w:sz w:val="18"/>
                <w:szCs w:val="18"/>
                <w:color w:val="auto"/>
              </w:rPr>
            </w:pPr>
          </w:p>
        </w:tc>
        <w:tc>
          <w:tcPr>
            <w:tcW w:w="5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Income tax effect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800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tcBorders>
              <w:lef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After-tax impact of business development expenses</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E0E0E0"/>
          </w:tcPr>
          <w:p>
            <w:pPr>
              <w:spacing w:after="0"/>
              <w:rPr>
                <w:sz w:val="18"/>
                <w:szCs w:val="18"/>
                <w:color w:val="auto"/>
              </w:rPr>
            </w:pPr>
          </w:p>
        </w:tc>
        <w:tc>
          <w:tcPr>
            <w:tcW w:w="5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21.2</w:t>
            </w:r>
          </w:p>
        </w:tc>
        <w:tc>
          <w:tcPr>
            <w:tcW w:w="6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 number of common shares outstanding</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Borders>
              <w:left w:val="single" w:sz="8" w:color="auto"/>
            </w:tcBorders>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46.0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tcBorders>
              <w:lef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Earnings per diluted share impact of business development expenses</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E0E0E0"/>
          </w:tcPr>
          <w:p>
            <w:pPr>
              <w:spacing w:after="0"/>
              <w:rPr>
                <w:sz w:val="18"/>
                <w:szCs w:val="18"/>
                <w:color w:val="auto"/>
              </w:rPr>
            </w:pPr>
          </w:p>
        </w:tc>
        <w:tc>
          <w:tcPr>
            <w:tcW w:w="50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0.46</w:t>
            </w:r>
          </w:p>
        </w:tc>
        <w:tc>
          <w:tcPr>
            <w:tcW w:w="6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spacing w:after="0"/>
              <w:rPr>
                <w:sz w:val="15"/>
                <w:szCs w:val="15"/>
                <w:color w:val="auto"/>
              </w:rPr>
            </w:pPr>
          </w:p>
        </w:tc>
        <w:tc>
          <w:tcPr>
            <w:tcW w:w="154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0" w:type="dxa"/>
            <w:vAlign w:val="bottom"/>
            <w:tcBorders>
              <w:left w:val="single" w:sz="8" w:color="auto"/>
            </w:tcBorders>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40" w:type="dxa"/>
            <w:vAlign w:val="bottom"/>
            <w:tcBorders>
              <w:right w:val="single" w:sz="8" w:color="auto"/>
            </w:tcBorders>
            <w:gridSpan w:val="6"/>
            <w:shd w:val="clear" w:color="auto" w:fill="E0E0E0"/>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800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80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spacing w:after="0"/>
              <w:rPr>
                <w:sz w:val="19"/>
                <w:szCs w:val="19"/>
                <w:color w:val="auto"/>
              </w:rPr>
            </w:pPr>
          </w:p>
        </w:tc>
        <w:tc>
          <w:tcPr>
            <w:tcW w:w="400" w:type="dxa"/>
            <w:vAlign w:val="bottom"/>
            <w:tcBorders>
              <w:top w:val="single" w:sz="8" w:color="auto"/>
              <w:bottom w:val="single" w:sz="8" w:color="auto"/>
            </w:tcBorders>
            <w:shd w:val="clear" w:color="auto" w:fill="E0E0E0"/>
          </w:tcPr>
          <w:p>
            <w:pPr>
              <w:ind w:left="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lef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Net earnings attributable to Martin Marietta in accordance with GAAP</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shd w:val="clear" w:color="auto" w:fill="E0E0E0"/>
          </w:tcPr>
          <w:p>
            <w:pPr>
              <w:jc w:val="right"/>
              <w:ind w:right="62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 after-tax impact of business development expenses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800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tcBorders>
              <w:left w:val="single" w:sz="8" w:color="auto"/>
            </w:tcBorders>
            <w:shd w:val="clear" w:color="auto" w:fill="E0E0E0"/>
          </w:tcPr>
          <w:p>
            <w:pPr>
              <w:ind w:left="120"/>
              <w:spacing w:after="0"/>
              <w:rPr>
                <w:sz w:val="20"/>
                <w:szCs w:val="20"/>
                <w:color w:val="auto"/>
              </w:rPr>
            </w:pPr>
            <w:r>
              <w:rPr>
                <w:rFonts w:ascii="Times New Roman" w:cs="Times New Roman" w:eastAsia="Times New Roman" w:hAnsi="Times New Roman"/>
                <w:sz w:val="18"/>
                <w:szCs w:val="18"/>
                <w:color w:val="auto"/>
              </w:rPr>
              <w:t>Adjusted Net Earnings</w:t>
            </w:r>
          </w:p>
        </w:tc>
        <w:tc>
          <w:tcPr>
            <w:tcW w:w="104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E0E0E0"/>
          </w:tcPr>
          <w:p>
            <w:pPr>
              <w:jc w:val="right"/>
              <w:ind w:right="620"/>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080"/>
          </w:cols>
          <w:pgMar w:left="440" w:top="461" w:right="37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192"/>
        </w:trPr>
        <w:tc>
          <w:tcPr>
            <w:tcW w:w="220" w:type="dxa"/>
            <w:vAlign w:val="bottom"/>
            <w:tcBorders>
              <w:top w:val="single" w:sz="8" w:color="auto"/>
              <w:left w:val="single" w:sz="8" w:color="auto"/>
            </w:tcBorders>
          </w:tcPr>
          <w:p>
            <w:pPr>
              <w:spacing w:after="0"/>
              <w:rPr>
                <w:sz w:val="16"/>
                <w:szCs w:val="16"/>
                <w:color w:val="auto"/>
              </w:rPr>
            </w:pPr>
          </w:p>
        </w:tc>
        <w:tc>
          <w:tcPr>
            <w:tcW w:w="79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right w:val="single" w:sz="8" w:color="auto"/>
            </w:tcBorders>
          </w:tcPr>
          <w:p>
            <w:pPr>
              <w:spacing w:after="0"/>
              <w:rPr>
                <w:sz w:val="20"/>
                <w:szCs w:val="20"/>
                <w:color w:val="auto"/>
              </w:rPr>
            </w:pPr>
          </w:p>
        </w:tc>
        <w:tc>
          <w:tcPr>
            <w:tcW w:w="7980" w:type="dxa"/>
            <w:vAlign w:val="bottom"/>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2140" w:type="dxa"/>
            <w:vAlign w:val="bottom"/>
            <w:tcBorders>
              <w:right w:val="single" w:sz="8" w:color="auto"/>
            </w:tcBorders>
            <w:gridSpan w:val="5"/>
            <w:shd w:val="clear" w:color="auto" w:fill="E0E0E0"/>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Borders>
              <w:left w:val="single" w:sz="8" w:color="auto"/>
              <w:right w:val="single" w:sz="8" w:color="auto"/>
            </w:tcBorders>
          </w:tcPr>
          <w:p>
            <w:pPr>
              <w:spacing w:after="0"/>
              <w:rPr>
                <w:sz w:val="19"/>
                <w:szCs w:val="19"/>
                <w:color w:val="auto"/>
              </w:rPr>
            </w:pPr>
          </w:p>
        </w:tc>
        <w:tc>
          <w:tcPr>
            <w:tcW w:w="7980" w:type="dxa"/>
            <w:vAlign w:val="bottom"/>
            <w:tcBorders>
              <w:top w:val="single" w:sz="8" w:color="E0E0E0"/>
              <w:bottom w:val="single" w:sz="8" w:color="auto"/>
            </w:tcBorders>
            <w:shd w:val="clear" w:color="auto" w:fill="E0E0E0"/>
          </w:tcPr>
          <w:p>
            <w:pPr>
              <w:spacing w:after="0"/>
              <w:rPr>
                <w:sz w:val="19"/>
                <w:szCs w:val="19"/>
                <w:color w:val="auto"/>
              </w:rPr>
            </w:pPr>
          </w:p>
        </w:tc>
        <w:tc>
          <w:tcPr>
            <w:tcW w:w="80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auto"/>
              <w:bottom w:val="single" w:sz="8" w:color="auto"/>
            </w:tcBorders>
            <w:shd w:val="clear" w:color="auto" w:fill="E0E0E0"/>
          </w:tcPr>
          <w:p>
            <w:pPr>
              <w:spacing w:after="0"/>
              <w:rPr>
                <w:sz w:val="19"/>
                <w:szCs w:val="19"/>
                <w:color w:val="auto"/>
              </w:rPr>
            </w:pPr>
          </w:p>
        </w:tc>
        <w:tc>
          <w:tcPr>
            <w:tcW w:w="500" w:type="dxa"/>
            <w:vAlign w:val="bottom"/>
            <w:tcBorders>
              <w:top w:val="single" w:sz="8" w:color="auto"/>
              <w:bottom w:val="single" w:sz="8" w:color="auto"/>
            </w:tcBorders>
            <w:shd w:val="clear" w:color="auto" w:fill="E0E0E0"/>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2012</w:t>
            </w:r>
          </w:p>
        </w:tc>
        <w:tc>
          <w:tcPr>
            <w:tcW w:w="72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Earnings per diluted share in accordance with GAAP</w:t>
            </w:r>
          </w:p>
        </w:tc>
        <w:tc>
          <w:tcPr>
            <w:tcW w:w="80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0E0E0"/>
          </w:tcPr>
          <w:p>
            <w:pPr>
              <w:jc w:val="right"/>
              <w:ind w:right="72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 EPS impact of business development expenses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right w:val="single" w:sz="8" w:color="auto"/>
            </w:tcBorders>
          </w:tcPr>
          <w:p>
            <w:pPr>
              <w:spacing w:after="0"/>
              <w:rPr>
                <w:sz w:val="2"/>
                <w:szCs w:val="2"/>
                <w:color w:val="auto"/>
              </w:rPr>
            </w:pPr>
          </w:p>
        </w:tc>
        <w:tc>
          <w:tcPr>
            <w:tcW w:w="7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Adjusted EPS</w:t>
            </w:r>
          </w:p>
        </w:tc>
        <w:tc>
          <w:tcPr>
            <w:tcW w:w="80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0E0E0"/>
          </w:tcPr>
          <w:p>
            <w:pPr>
              <w:jc w:val="right"/>
              <w:ind w:right="72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Adjusted EPS for year ended December 31, 2012</w:t>
            </w: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18"/>
                <w:szCs w:val="18"/>
                <w:color w:val="auto"/>
              </w:rPr>
              <w:t>Adjusted EPS for year ended December 31, 2011</w:t>
            </w:r>
          </w:p>
        </w:tc>
        <w:tc>
          <w:tcPr>
            <w:tcW w:w="8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Percentage increase in Adjusted EPS in 2012 compared with 2011</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20" w:type="dxa"/>
            <w:vAlign w:val="bottom"/>
            <w:tcBorders>
              <w:left w:val="single" w:sz="8" w:color="auto"/>
              <w:bottom w:val="single" w:sz="8" w:color="auto"/>
            </w:tcBorders>
          </w:tcPr>
          <w:p>
            <w:pPr>
              <w:spacing w:after="0"/>
              <w:rPr>
                <w:sz w:val="11"/>
                <w:szCs w:val="11"/>
                <w:color w:val="auto"/>
              </w:rPr>
            </w:pPr>
          </w:p>
        </w:tc>
        <w:tc>
          <w:tcPr>
            <w:tcW w:w="79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460"/>
          </w:cols>
          <w:pgMar w:left="240" w:top="265" w:right="199" w:bottom="1440" w:gutter="0" w:footer="0" w:header="0"/>
        </w:sectPr>
      </w:pPr>
    </w:p>
    <w:bookmarkStart w:id="73" w:name="page74"/>
    <w:bookmarkEnd w:id="73"/>
    <w:p>
      <w:pPr>
        <w:ind w:left="50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554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555490"/>
                    </a:xfrm>
                    <a:prstGeom prst="rect">
                      <a:avLst/>
                    </a:prstGeom>
                    <a:noFill/>
                  </pic:spPr>
                </pic:pic>
              </a:graphicData>
            </a:graphic>
          </wp:anchor>
        </w:drawing>
        <w:t>APPENDIX C</w:t>
      </w:r>
    </w:p>
    <w:p>
      <w:pPr>
        <w:spacing w:after="0" w:line="171"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6"/>
          <w:szCs w:val="16"/>
          <w:b w:val="1"/>
          <w:bCs w:val="1"/>
          <w:color w:val="auto"/>
        </w:rPr>
        <w:t>Proposed Amendments to Martin Marietta’s Articles of Incorporation Regarding Majority Voting in Director Elections Other Than Contested</w:t>
      </w:r>
    </w:p>
    <w:p>
      <w:pPr>
        <w:spacing w:after="0" w:line="46" w:lineRule="exact"/>
        <w:rPr>
          <w:sz w:val="20"/>
          <w:szCs w:val="20"/>
          <w:color w:val="auto"/>
        </w:rPr>
      </w:pPr>
    </w:p>
    <w:p>
      <w:pPr>
        <w:ind w:left="5203"/>
        <w:spacing w:after="0"/>
        <w:rPr>
          <w:sz w:val="20"/>
          <w:szCs w:val="20"/>
          <w:color w:val="auto"/>
        </w:rPr>
      </w:pPr>
      <w:r>
        <w:rPr>
          <w:rFonts w:ascii="Times New Roman" w:cs="Times New Roman" w:eastAsia="Times New Roman" w:hAnsi="Times New Roman"/>
          <w:sz w:val="18"/>
          <w:szCs w:val="18"/>
          <w:b w:val="1"/>
          <w:bCs w:val="1"/>
          <w:color w:val="auto"/>
        </w:rPr>
        <w:t>Elections</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 The following is added as new Article 5(b)(iv) immediately following Article 5(b)(iii):</w:t>
      </w:r>
    </w:p>
    <w:p>
      <w:pPr>
        <w:spacing w:after="0" w:line="90" w:lineRule="exact"/>
        <w:rPr>
          <w:sz w:val="20"/>
          <w:szCs w:val="20"/>
          <w:color w:val="auto"/>
        </w:rPr>
      </w:pPr>
    </w:p>
    <w:p>
      <w:pPr>
        <w:jc w:val="both"/>
        <w:ind w:left="443"/>
        <w:spacing w:after="0" w:line="253" w:lineRule="auto"/>
        <w:rPr>
          <w:sz w:val="20"/>
          <w:szCs w:val="20"/>
          <w:color w:val="auto"/>
        </w:rPr>
      </w:pPr>
      <w:r>
        <w:rPr>
          <w:rFonts w:ascii="Times New Roman" w:cs="Times New Roman" w:eastAsia="Times New Roman" w:hAnsi="Times New Roman"/>
          <w:sz w:val="18"/>
          <w:szCs w:val="18"/>
          <w:color w:val="auto"/>
        </w:rPr>
        <w:t>“(iv) Except as otherwise provided in these Articles, for the election of directors, other than with respect to a Contested Election (as defined below), by the shareholders at any annual meeting, or special meeting called for that purpose, at which a quorum is present each director shall be elected by a vote of the majority of the votes cast with respect to the election of such director by the shares entitled to vote in the election of directors at such meeting. In a Contested Election, directors shall be elected by a plurality of the votes cast by the shares entitled to vote in the election of directors at such a meeting at which a quorum is present. For purposes of this Article 5(b)(iv), a “vote of the majority of the votes cast” means a shareholder vote in which the number of votes cast “for” the election of a director exceeds the number of votes cast “against” that director’s election. A “Contested Election” means an election of directors at a meeting of shareholders for the election of directors for which there are more nominees for election to the Board of Directors than open directorships on the Board of Directors to be filled pursuant to that election. In the event that, other than in a Contested Election, a nominee is not elected by a vote of the majority of the votes cast with respect to that nominee’s election, the Board of Directors may decrease the number of directors, fill any vacancy or take other appropriate action.”</w:t>
      </w:r>
    </w:p>
    <w:p>
      <w:pPr>
        <w:spacing w:after="0" w:line="141" w:lineRule="exact"/>
        <w:rPr>
          <w:sz w:val="20"/>
          <w:szCs w:val="20"/>
          <w:color w:val="auto"/>
        </w:rPr>
      </w:pPr>
    </w:p>
    <w:p>
      <w:pPr>
        <w:ind w:left="3" w:hanging="3"/>
        <w:spacing w:after="0" w:line="275" w:lineRule="auto"/>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sentence of Article 5(a) is amended and restated to read as follows (with deletions marked by strikethrough and additions, if any, marked by underlining):</w:t>
      </w:r>
    </w:p>
    <w:p>
      <w:pPr>
        <w:spacing w:after="0" w:line="39" w:lineRule="exact"/>
        <w:rPr>
          <w:sz w:val="20"/>
          <w:szCs w:val="20"/>
          <w:color w:val="auto"/>
        </w:rPr>
      </w:pPr>
    </w:p>
    <w:p>
      <w:pPr>
        <w:jc w:val="both"/>
        <w:ind w:left="443"/>
        <w:spacing w:after="0" w:line="262" w:lineRule="auto"/>
        <w:rPr>
          <w:sz w:val="20"/>
          <w:szCs w:val="20"/>
          <w:color w:val="auto"/>
        </w:rPr>
      </w:pPr>
      <w:r>
        <w:rPr>
          <w:rFonts w:ascii="Times New Roman" w:cs="Times New Roman" w:eastAsia="Times New Roman" w:hAnsi="Times New Roman"/>
          <w:sz w:val="18"/>
          <w:szCs w:val="18"/>
          <w:color w:val="auto"/>
        </w:rPr>
        <w:t xml:space="preserve">“By vote of a majority of the Board of Directors or shareholders of the Corporation, the number of directors of the Corporation may be increased or decreased, from time to time, within the range above specified </w:t>
      </w:r>
      <w:r>
        <w:rPr>
          <w:rFonts w:ascii="Times New Roman" w:cs="Times New Roman" w:eastAsia="Times New Roman" w:hAnsi="Times New Roman"/>
          <w:sz w:val="18"/>
          <w:szCs w:val="18"/>
          <w:color w:val="auto"/>
          <w:strike w:val="1"/>
        </w:rPr>
        <w:t>provided, however, that the tenure of office of a director shall not be affected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decrease in the number of directors so made by the Board or the shareholders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left="3" w:hanging="3"/>
        <w:spacing w:after="0" w:line="275" w:lineRule="auto"/>
        <w:tabs>
          <w:tab w:leader="none" w:pos="2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sentence of Article 5(b)(i) (which reads: “Those persons who receive the highest votes at a meeting at which a quorum is present shall be deemed to have been elected”) is deleted in its entirety.</w:t>
      </w:r>
    </w:p>
    <w:p>
      <w:pPr>
        <w:spacing w:after="0" w:line="119" w:lineRule="exact"/>
        <w:rPr>
          <w:rFonts w:ascii="Times New Roman" w:cs="Times New Roman" w:eastAsia="Times New Roman" w:hAnsi="Times New Roman"/>
          <w:sz w:val="18"/>
          <w:szCs w:val="18"/>
          <w:color w:val="auto"/>
        </w:rPr>
      </w:pPr>
    </w:p>
    <w:p>
      <w:pPr>
        <w:ind w:left="3" w:hanging="3"/>
        <w:spacing w:after="0" w:line="275"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sentence of Article 5(b)(ii) is amended and restated to read as follows (with deletions, if any, marked by strikethrough and additions marked by underlining):</w:t>
      </w:r>
    </w:p>
    <w:p>
      <w:pPr>
        <w:spacing w:after="0" w:line="39" w:lineRule="exact"/>
        <w:rPr>
          <w:sz w:val="20"/>
          <w:szCs w:val="20"/>
          <w:color w:val="auto"/>
        </w:rPr>
      </w:pPr>
    </w:p>
    <w:p>
      <w:pPr>
        <w:jc w:val="both"/>
        <w:ind w:left="443"/>
        <w:spacing w:after="0" w:line="262" w:lineRule="auto"/>
        <w:rPr>
          <w:sz w:val="20"/>
          <w:szCs w:val="20"/>
          <w:color w:val="auto"/>
        </w:rPr>
      </w:pPr>
      <w:r>
        <w:rPr>
          <w:rFonts w:ascii="Times New Roman" w:cs="Times New Roman" w:eastAsia="Times New Roman" w:hAnsi="Times New Roman"/>
          <w:sz w:val="18"/>
          <w:szCs w:val="18"/>
          <w:color w:val="auto"/>
        </w:rPr>
        <w:t xml:space="preserve">“A director shall hold office until the annual meeting for the year in which his or her term expires, and </w:t>
      </w:r>
      <w:r>
        <w:rPr>
          <w:rFonts w:ascii="Times New Roman" w:cs="Times New Roman" w:eastAsia="Times New Roman" w:hAnsi="Times New Roman"/>
          <w:sz w:val="18"/>
          <w:szCs w:val="18"/>
          <w:u w:val="single" w:color="auto"/>
          <w:color w:val="auto"/>
        </w:rPr>
        <w:t>shall continue to hold office after the 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such term only</w:t>
      </w:r>
      <w:r>
        <w:rPr>
          <w:rFonts w:ascii="Times New Roman" w:cs="Times New Roman" w:eastAsia="Times New Roman" w:hAnsi="Times New Roman"/>
          <w:sz w:val="18"/>
          <w:szCs w:val="18"/>
          <w:color w:val="auto"/>
        </w:rPr>
        <w:t xml:space="preserve"> until his or her successor shall be elected and shall qualify </w:t>
      </w:r>
      <w:r>
        <w:rPr>
          <w:rFonts w:ascii="Times New Roman" w:cs="Times New Roman" w:eastAsia="Times New Roman" w:hAnsi="Times New Roman"/>
          <w:sz w:val="18"/>
          <w:szCs w:val="18"/>
          <w:u w:val="single" w:color="auto"/>
          <w:color w:val="auto"/>
        </w:rPr>
        <w:t>or until there is a decrease in the number of directors</w:t>
      </w:r>
      <w:r>
        <w:rPr>
          <w:rFonts w:ascii="Times New Roman" w:cs="Times New Roman" w:eastAsia="Times New Roman" w:hAnsi="Times New Roman"/>
          <w:sz w:val="18"/>
          <w:szCs w:val="18"/>
          <w:color w:val="auto"/>
        </w:rPr>
        <w:t xml:space="preserve">, subject, </w:t>
      </w:r>
      <w:r>
        <w:rPr>
          <w:rFonts w:ascii="Times New Roman" w:cs="Times New Roman" w:eastAsia="Times New Roman" w:hAnsi="Times New Roman"/>
          <w:sz w:val="18"/>
          <w:szCs w:val="18"/>
          <w:u w:val="single" w:color="auto"/>
          <w:color w:val="auto"/>
        </w:rPr>
        <w:t>in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instance</w:t>
      </w:r>
      <w:r>
        <w:rPr>
          <w:rFonts w:ascii="Times New Roman" w:cs="Times New Roman" w:eastAsia="Times New Roman" w:hAnsi="Times New Roman"/>
          <w:sz w:val="18"/>
          <w:szCs w:val="18"/>
          <w:color w:val="auto"/>
        </w:rPr>
        <w:t>, however, to prior death, resignation, retirement, disqualification or removal from office.”</w:t>
      </w:r>
    </w:p>
    <w:p>
      <w:pPr>
        <w:spacing w:after="0" w:line="26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063"/>
          </w:cols>
          <w:pgMar w:left="437" w:top="461" w:right="399" w:bottom="1440" w:gutter="0" w:footer="0" w:header="0"/>
        </w:sectPr>
      </w:pPr>
    </w:p>
    <w:bookmarkStart w:id="74" w:name="page75"/>
    <w:bookmarkEnd w:id="74"/>
    <w:p>
      <w:pPr>
        <w:ind w:left="3" w:hanging="3"/>
        <w:spacing w:after="0" w:line="275" w:lineRule="auto"/>
        <w:tabs>
          <w:tab w:leader="none" w:pos="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7602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1760220"/>
                    </a:xfrm>
                    <a:prstGeom prst="rect">
                      <a:avLst/>
                    </a:prstGeom>
                    <a:noFill/>
                  </pic:spPr>
                </pic:pic>
              </a:graphicData>
            </a:graphic>
          </wp:anchor>
        </w:drawing>
        <w:t>The first sentence of Article 5(c) is amended and restated to read as follows (with deletions marked by strikethrough and additions marked by underlining):</w:t>
      </w:r>
    </w:p>
    <w:p>
      <w:pPr>
        <w:spacing w:after="0" w:line="39" w:lineRule="exact"/>
        <w:rPr>
          <w:sz w:val="20"/>
          <w:szCs w:val="20"/>
          <w:color w:val="auto"/>
        </w:rPr>
      </w:pPr>
    </w:p>
    <w:p>
      <w:pPr>
        <w:jc w:val="both"/>
        <w:ind w:left="443"/>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Except for vacancies resulting from an increase in the number of directors, vacancies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Vacancies</w:t>
      </w:r>
      <w:r>
        <w:rPr>
          <w:rFonts w:ascii="Times New Roman" w:cs="Times New Roman" w:eastAsia="Times New Roman" w:hAnsi="Times New Roman"/>
          <w:sz w:val="16"/>
          <w:szCs w:val="16"/>
          <w:color w:val="auto"/>
        </w:rPr>
        <w:t xml:space="preserve"> in the Board of Directors, </w:t>
      </w:r>
      <w:r>
        <w:rPr>
          <w:rFonts w:ascii="Times New Roman" w:cs="Times New Roman" w:eastAsia="Times New Roman" w:hAnsi="Times New Roman"/>
          <w:sz w:val="16"/>
          <w:szCs w:val="16"/>
          <w:color w:val="auto"/>
          <w:strike w:val="1"/>
        </w:rPr>
        <w:t>except for vacancies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 xml:space="preserve">resulting from an increase in the number of directors </w:t>
      </w:r>
      <w:r>
        <w:rPr>
          <w:rFonts w:ascii="Times New Roman" w:cs="Times New Roman" w:eastAsia="Times New Roman" w:hAnsi="Times New Roman"/>
          <w:sz w:val="16"/>
          <w:szCs w:val="16"/>
          <w:u w:val="single" w:color="auto"/>
          <w:color w:val="auto"/>
          <w:strike w:val="1"/>
        </w:rPr>
        <w:t>including vacancies resulting from the failure of the shareholders to elect the full authorized</w:t>
      </w:r>
      <w:r>
        <w:rPr>
          <w:rFonts w:ascii="Times New Roman" w:cs="Times New Roman" w:eastAsia="Times New Roman" w:hAnsi="Times New Roman"/>
          <w:sz w:val="16"/>
          <w:szCs w:val="16"/>
          <w:color w:val="auto"/>
          <w:strike w:val="1"/>
        </w:rPr>
        <w:t xml:space="preserve"> </w:t>
      </w:r>
      <w:r>
        <w:rPr>
          <w:rFonts w:ascii="Times New Roman" w:cs="Times New Roman" w:eastAsia="Times New Roman" w:hAnsi="Times New Roman"/>
          <w:sz w:val="16"/>
          <w:szCs w:val="16"/>
          <w:u w:val="single" w:color="auto"/>
          <w:color w:val="auto"/>
          <w:strike w:val="1"/>
        </w:rPr>
        <w:t>number of directors</w:t>
      </w:r>
      <w:r>
        <w:rPr>
          <w:rFonts w:ascii="Times New Roman" w:cs="Times New Roman" w:eastAsia="Times New Roman" w:hAnsi="Times New Roman"/>
          <w:sz w:val="16"/>
          <w:szCs w:val="16"/>
          <w:color w:val="auto"/>
          <w:strike w:val="1"/>
        </w:rPr>
        <w:t>, shall be filled only by a majority vote of the remaining directors then in office, though less than a quorum, except that vacancies resulting from removal from office by a vote of the shareholders may be filled by the shareholders at the same meeting at which such removal occurs.”</w:t>
      </w:r>
    </w:p>
    <w:p>
      <w:pPr>
        <w:spacing w:after="0" w:line="103" w:lineRule="exact"/>
        <w:rPr>
          <w:sz w:val="20"/>
          <w:szCs w:val="20"/>
          <w:color w:val="auto"/>
        </w:rPr>
      </w:pPr>
    </w:p>
    <w:p>
      <w:pPr>
        <w:ind w:left="3" w:hanging="3"/>
        <w:spacing w:after="0" w:line="275" w:lineRule="auto"/>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sentence of Article 5(c) is amended and restated to read as follows (with deletions marked by strikethrough and additions marked by underlining):</w:t>
      </w:r>
    </w:p>
    <w:p>
      <w:pPr>
        <w:spacing w:after="0" w:line="39" w:lineRule="exact"/>
        <w:rPr>
          <w:sz w:val="20"/>
          <w:szCs w:val="20"/>
          <w:color w:val="auto"/>
        </w:rPr>
      </w:pPr>
    </w:p>
    <w:p>
      <w:pPr>
        <w:ind w:left="443"/>
        <w:spacing w:after="0"/>
        <w:rPr>
          <w:sz w:val="20"/>
          <w:szCs w:val="20"/>
          <w:color w:val="auto"/>
        </w:rPr>
      </w:pPr>
      <w:r>
        <w:rPr>
          <w:rFonts w:ascii="Times New Roman" w:cs="Times New Roman" w:eastAsia="Times New Roman" w:hAnsi="Times New Roman"/>
          <w:sz w:val="18"/>
          <w:szCs w:val="18"/>
          <w:color w:val="auto"/>
        </w:rPr>
        <w:t xml:space="preserve">“No decrease in the number of directors constituting the Board of Directors shall </w:t>
      </w:r>
      <w:r>
        <w:rPr>
          <w:rFonts w:ascii="Times New Roman" w:cs="Times New Roman" w:eastAsia="Times New Roman" w:hAnsi="Times New Roman"/>
          <w:sz w:val="18"/>
          <w:szCs w:val="18"/>
          <w:color w:val="auto"/>
          <w:strike w:val="1"/>
        </w:rPr>
        <w:t>affect the tenure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shorten the term</w:t>
      </w:r>
      <w:r>
        <w:rPr>
          <w:rFonts w:ascii="Times New Roman" w:cs="Times New Roman" w:eastAsia="Times New Roman" w:hAnsi="Times New Roman"/>
          <w:sz w:val="18"/>
          <w:szCs w:val="18"/>
          <w:color w:val="auto"/>
        </w:rPr>
        <w:t xml:space="preserve"> of any incumbent director.”</w:t>
      </w:r>
    </w:p>
    <w:p>
      <w:pPr>
        <w:spacing w:after="0" w:line="30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C-2</w:t>
      </w:r>
    </w:p>
    <w:p>
      <w:pPr>
        <w:sectPr>
          <w:pgSz w:w="11900" w:h="16838" w:orient="portrait"/>
          <w:cols w:equalWidth="0" w:num="1">
            <w:col w:w="11063"/>
          </w:cols>
          <w:pgMar w:left="437" w:top="463" w:right="39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3862070</wp:posOffset>
            </wp:positionV>
            <wp:extent cx="246126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4612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Martin Marietta Materials,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2710 Wycliff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Raleigh, NC 27607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919-781-4550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www.martinmarietta.com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NYSE Stock Symbol: MLM</w:t>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color w:val="auto"/>
        </w:rPr>
        <w:t xml:space="preserve">q </w:t>
      </w:r>
      <w:r>
        <w:rPr>
          <w:rFonts w:ascii="Times New Roman" w:cs="Times New Roman" w:eastAsia="Times New Roman" w:hAnsi="Times New Roman"/>
          <w:sz w:val="17"/>
          <w:szCs w:val="17"/>
          <w:color w:val="auto"/>
        </w:rPr>
        <w:t>FOLD AND DETACH HERE</w:t>
      </w:r>
      <w:r>
        <w:rPr>
          <w:rFonts w:ascii="Times New Roman" w:cs="Times New Roman" w:eastAsia="Times New Roman" w:hAnsi="Times New Roman"/>
          <w:sz w:val="11"/>
          <w:szCs w:val="11"/>
          <w:color w:val="auto"/>
        </w:rPr>
        <w:t xml:space="preserve"> q</w:t>
      </w:r>
    </w:p>
    <w:p>
      <w:pPr>
        <w:spacing w:after="0" w:line="1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solicited by the Board of Directors for the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Annual Meeting to be held May 23, 2013</w:t>
      </w:r>
    </w:p>
    <w:p>
      <w:pPr>
        <w:spacing w:after="0" w:line="15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23, 2013, and at any adjournment thereof.</w:t>
      </w:r>
    </w:p>
    <w:p>
      <w:pPr>
        <w:spacing w:after="0" w:line="130" w:lineRule="exact"/>
        <w:rPr>
          <w:sz w:val="20"/>
          <w:szCs w:val="20"/>
          <w:color w:val="auto"/>
        </w:rPr>
      </w:pPr>
    </w:p>
    <w:p>
      <w:pPr>
        <w:ind w:left="460" w:right="460"/>
        <w:spacing w:after="0" w:line="342" w:lineRule="auto"/>
        <w:rPr>
          <w:sz w:val="20"/>
          <w:szCs w:val="20"/>
          <w:color w:val="auto"/>
        </w:rPr>
      </w:pPr>
      <w:r>
        <w:rPr>
          <w:rFonts w:ascii="Times New Roman" w:cs="Times New Roman" w:eastAsia="Times New Roman" w:hAnsi="Times New Roman"/>
          <w:sz w:val="16"/>
          <w:szCs w:val="16"/>
          <w:b w:val="1"/>
          <w:bCs w:val="1"/>
          <w:color w:val="auto"/>
        </w:rPr>
        <w:t>YOU DO NOT NEED TO MARK ANY BOXES IF YOU WISH TO VOTE IN ACCORDANCE WITH THE BOARD OF DIRECTORS’ RECOMMENDATIONS. PLEASE DATE AND SIGN THE PROXY AND RETURN IT PROMPTLY IN THE ENCLOSED ENVELOPE.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YOU VOTE FOR ITEMS 1, 2, 3 AND 4:</w:t>
      </w:r>
    </w:p>
    <w:p>
      <w:pPr>
        <w:spacing w:after="0" w:line="214" w:lineRule="exact"/>
        <w:rPr>
          <w:sz w:val="20"/>
          <w:szCs w:val="20"/>
          <w:color w:val="auto"/>
        </w:rPr>
      </w:pPr>
    </w:p>
    <w:p>
      <w:pPr>
        <w:ind w:left="680" w:right="140" w:hanging="672"/>
        <w:spacing w:after="0" w:line="275"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Nominees are C. Howard Nye, Laree E. Perez and Dennis L. Rediker for the terms described in the Martin Marietta Materials, Inc. Proxy Statement dated April 16, 2013.</w:t>
      </w:r>
    </w:p>
    <w:p>
      <w:pPr>
        <w:spacing w:after="0" w:line="117" w:lineRule="exact"/>
        <w:rPr>
          <w:rFonts w:ascii="Times New Roman" w:cs="Times New Roman" w:eastAsia="Times New Roman" w:hAnsi="Times New Roman"/>
          <w:sz w:val="18"/>
          <w:szCs w:val="18"/>
          <w:color w:val="auto"/>
        </w:rPr>
      </w:pPr>
    </w:p>
    <w:p>
      <w:pPr>
        <w:ind w:left="1820" w:hanging="214"/>
        <w:spacing w:after="0"/>
        <w:tabs>
          <w:tab w:leader="none" w:pos="1820" w:val="left"/>
        </w:tabs>
        <w:numPr>
          <w:ilvl w:val="1"/>
          <w:numId w:val="7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all listed nominees (except do not vote for the nominee(s) whose name(s) I have written below):</w:t>
      </w:r>
    </w:p>
    <w:p>
      <w:pPr>
        <w:spacing w:after="0" w:line="265" w:lineRule="exact"/>
        <w:rPr>
          <w:rFonts w:ascii="MS PGothic" w:cs="MS PGothic" w:eastAsia="MS PGothic" w:hAnsi="MS PGothic"/>
          <w:sz w:val="18"/>
          <w:szCs w:val="18"/>
          <w:color w:val="auto"/>
        </w:rPr>
      </w:pPr>
    </w:p>
    <w:p>
      <w:pPr>
        <w:ind w:left="1820" w:hanging="214"/>
        <w:spacing w:after="0"/>
        <w:tabs>
          <w:tab w:leader="none" w:pos="1820" w:val="left"/>
        </w:tabs>
        <w:numPr>
          <w:ilvl w:val="1"/>
          <w:numId w:val="7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Withhold Authority </w:t>
      </w:r>
      <w:r>
        <w:rPr>
          <w:rFonts w:ascii="Times New Roman" w:cs="Times New Roman" w:eastAsia="Times New Roman" w:hAnsi="Times New Roman"/>
          <w:sz w:val="18"/>
          <w:szCs w:val="18"/>
          <w:color w:val="auto"/>
        </w:rPr>
        <w:t>to vote for the listed nominees</w:t>
      </w:r>
    </w:p>
    <w:p>
      <w:pPr>
        <w:spacing w:after="0" w:line="213" w:lineRule="exact"/>
        <w:rPr>
          <w:rFonts w:ascii="MS PGothic" w:cs="MS PGothic" w:eastAsia="MS PGothic" w:hAnsi="MS PGothic"/>
          <w:sz w:val="18"/>
          <w:szCs w:val="18"/>
          <w:color w:val="auto"/>
        </w:rPr>
      </w:pPr>
    </w:p>
    <w:p>
      <w:pPr>
        <w:ind w:left="680" w:hanging="672"/>
        <w:spacing w:after="0"/>
        <w:tabs>
          <w:tab w:leader="none" w:pos="6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amend Martin Marietta Materials, Inc.’s Articles of Incorporation to provide for majority voting in director elections other than 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-433070</wp:posOffset>
            </wp:positionV>
            <wp:extent cx="28213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8" w:lineRule="exact"/>
        <w:rPr>
          <w:sz w:val="20"/>
          <w:szCs w:val="20"/>
          <w:color w:val="auto"/>
        </w:rPr>
      </w:pPr>
    </w:p>
    <w:p>
      <w:pPr>
        <w:ind w:left="2000"/>
        <w:spacing w:after="0" w:line="207" w:lineRule="exact"/>
        <w:tabs>
          <w:tab w:leader="none" w:pos="4600" w:val="left"/>
          <w:tab w:leader="none" w:pos="7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Abstain</w:t>
      </w:r>
    </w:p>
    <w:p>
      <w:pPr>
        <w:spacing w:after="0" w:line="238" w:lineRule="exact"/>
        <w:rPr>
          <w:sz w:val="20"/>
          <w:szCs w:val="20"/>
          <w:color w:val="auto"/>
        </w:rPr>
      </w:pPr>
    </w:p>
    <w:p>
      <w:pPr>
        <w:ind w:left="680" w:hanging="672"/>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appointment of Ernst &amp; Young LLP as independent auditors for 2013.</w:t>
      </w:r>
    </w:p>
    <w:p>
      <w:pPr>
        <w:spacing w:after="0" w:line="145" w:lineRule="exact"/>
        <w:rPr>
          <w:sz w:val="20"/>
          <w:szCs w:val="20"/>
          <w:color w:val="auto"/>
        </w:rPr>
      </w:pPr>
    </w:p>
    <w:p>
      <w:pPr>
        <w:ind w:left="2000"/>
        <w:spacing w:after="0" w:line="207" w:lineRule="exact"/>
        <w:tabs>
          <w:tab w:leader="none" w:pos="4600" w:val="left"/>
          <w:tab w:leader="none" w:pos="7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Abstain</w:t>
      </w:r>
    </w:p>
    <w:p>
      <w:pPr>
        <w:spacing w:after="0" w:line="238" w:lineRule="exact"/>
        <w:rPr>
          <w:sz w:val="20"/>
          <w:szCs w:val="20"/>
          <w:color w:val="auto"/>
        </w:rPr>
      </w:pPr>
    </w:p>
    <w:p>
      <w:pPr>
        <w:ind w:left="680" w:hanging="672"/>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Martin Marietta Materials, Inc.’s named executive officers.</w:t>
      </w:r>
    </w:p>
    <w:p>
      <w:pPr>
        <w:spacing w:after="0" w:line="145" w:lineRule="exact"/>
        <w:rPr>
          <w:sz w:val="20"/>
          <w:szCs w:val="20"/>
          <w:color w:val="auto"/>
        </w:rPr>
      </w:pPr>
    </w:p>
    <w:p>
      <w:pPr>
        <w:ind w:left="2000"/>
        <w:spacing w:after="0" w:line="207" w:lineRule="exact"/>
        <w:tabs>
          <w:tab w:leader="none" w:pos="4560" w:val="left"/>
          <w:tab w:leader="none" w:pos="7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Abstain</w:t>
      </w:r>
    </w:p>
    <w:p>
      <w:pPr>
        <w:spacing w:after="0" w:line="238" w:lineRule="exact"/>
        <w:rPr>
          <w:sz w:val="20"/>
          <w:szCs w:val="20"/>
          <w:color w:val="auto"/>
        </w:rPr>
      </w:pPr>
    </w:p>
    <w:p>
      <w:pPr>
        <w:ind w:left="680" w:hanging="672"/>
        <w:spacing w:after="0"/>
        <w:tabs>
          <w:tab w:leader="none" w:pos="6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their discretion, the proxies are authorized to vote upon such other business as may properly come before the meeting, or any adjournments thereof.</w:t>
      </w:r>
    </w:p>
    <w:p>
      <w:pPr>
        <w:sectPr>
          <w:pgSz w:w="11900" w:h="16838" w:orient="portrait"/>
          <w:cols w:equalWidth="0" w:num="1">
            <w:col w:w="11260"/>
          </w:cols>
          <w:pgMar w:left="240" w:top="1440" w:right="399" w:bottom="1440" w:gutter="0" w:footer="0" w:header="0"/>
        </w:sectPr>
      </w:pPr>
    </w:p>
    <w:bookmarkStart w:id="77" w:name="page78"/>
    <w:bookmarkEnd w:id="7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 xml:space="preserve">q </w:t>
      </w:r>
      <w:r>
        <w:rPr>
          <w:rFonts w:ascii="Times New Roman" w:cs="Times New Roman" w:eastAsia="Times New Roman" w:hAnsi="Times New Roman"/>
          <w:sz w:val="17"/>
          <w:szCs w:val="17"/>
          <w:color w:val="auto"/>
        </w:rPr>
        <w:t>FOLD AND DETACH HERE</w:t>
      </w:r>
      <w:r>
        <w:rPr>
          <w:rFonts w:ascii="Times New Roman" w:cs="Times New Roman" w:eastAsia="Times New Roman" w:hAnsi="Times New Roman"/>
          <w:sz w:val="11"/>
          <w:szCs w:val="11"/>
          <w:color w:val="auto"/>
        </w:rPr>
        <w:t xml:space="preserve"> q</w:t>
      </w:r>
    </w:p>
    <w:p>
      <w:pPr>
        <w:spacing w:after="0" w:line="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proxy is solicited by the Board of Directors of Martin Marietta Materials, Inc. and when properly executed will be voted as specified herein and, unless otherwise directed,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all nominees as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amend Martin Marietta Materials, Inc.’s Articles of Incorporation to provide for majority voting in director elections other than contested elections,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appointment of Ernst &amp; Young LLP as independent auditors for 2013,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approve, by a non-binding advisory vote, the compensation of our named executive officers. The Board of Directors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item.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Notice of Annual Meeting of Shareholders and accompanying Proxy Statement is hereby acknowledged.</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Please date and sign exactly as printed below and return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promptly in the enclosed postage paid envelope</w:t>
      </w:r>
    </w:p>
    <w:p>
      <w:pPr>
        <w:spacing w:after="0" w:line="105" w:lineRule="exact"/>
        <w:rPr>
          <w:sz w:val="20"/>
          <w:szCs w:val="20"/>
          <w:color w:val="auto"/>
        </w:rPr>
      </w:pPr>
    </w:p>
    <w:p>
      <w:pPr>
        <w:ind w:left="6860"/>
        <w:spacing w:after="0"/>
        <w:tabs>
          <w:tab w:leader="none" w:pos="8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-10160</wp:posOffset>
            </wp:positionV>
            <wp:extent cx="9194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11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(When signing as attorney, executor, administrator, trustee,</w:t>
      </w:r>
    </w:p>
    <w:p>
      <w:pPr>
        <w:spacing w:after="0" w:line="4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guardian, etc., give title as such. If joint account, each joint</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owner should sign. If a corporation or a partnership, sign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full corporate name or partnership name, as the case may</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be, by an authorized person.)</w:t>
      </w:r>
    </w:p>
    <w:sectPr>
      <w:pgSz w:w="11900" w:h="16838" w:orient="portrait"/>
      <w:cols w:equalWidth="0" w:num="1">
        <w:col w:w="11280"/>
      </w:cols>
      <w:pgMar w:left="240" w:top="27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lvl w:ilvl="1">
      <w:lvlJc w:val="left"/>
      <w:lvlText w:val="(%2)"/>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bullet"/>
      <w:start w:val="1"/>
    </w:lvl>
  </w:abstractNum>
  <w:abstractNum w:abstractNumId="6">
    <w:nsid w:val="2CD89A32"/>
    <w:multiLevelType w:val="hybridMultilevel"/>
    <w:lvl w:ilvl="0">
      <w:lvlJc w:val="left"/>
      <w:lvlText w:val="1"/>
      <w:numFmt w:val="bullet"/>
      <w:start w:val="1"/>
    </w:lvl>
  </w:abstractNum>
  <w:abstractNum w:abstractNumId="7">
    <w:nsid w:val="57E4CCAF"/>
    <w:multiLevelType w:val="hybridMultilevel"/>
    <w:lvl w:ilvl="0">
      <w:lvlJc w:val="left"/>
      <w:lvlText w:val="2"/>
      <w:numFmt w:val="bullet"/>
      <w:start w:val="1"/>
    </w:lvl>
  </w:abstractNum>
  <w:abstractNum w:abstractNumId="8">
    <w:nsid w:val="7A6D8D3C"/>
    <w:multiLevelType w:val="hybridMultilevel"/>
    <w:lvl w:ilvl="0">
      <w:lvlJc w:val="left"/>
      <w:lvlText w:val="3"/>
      <w:numFmt w:val="bullet"/>
      <w:start w:val="1"/>
    </w:lvl>
  </w:abstractNum>
  <w:abstractNum w:abstractNumId="9">
    <w:nsid w:val="4B588F54"/>
    <w:multiLevelType w:val="hybridMultilevel"/>
    <w:lvl w:ilvl="0">
      <w:lvlJc w:val="left"/>
      <w:lvlText w:val="4"/>
      <w:numFmt w:val="bullet"/>
      <w:start w:val="1"/>
    </w:lvl>
  </w:abstractNum>
  <w:abstractNum w:abstractNumId="10">
    <w:nsid w:val="542289EC"/>
    <w:multiLevelType w:val="hybridMultilevel"/>
    <w:lvl w:ilvl="0">
      <w:lvlJc w:val="left"/>
      <w:lvlText w:val="5"/>
      <w:numFmt w:val="bullet"/>
      <w:start w:val="1"/>
    </w:lvl>
  </w:abstractNum>
  <w:abstractNum w:abstractNumId="11">
    <w:nsid w:val="6DE91B18"/>
    <w:multiLevelType w:val="hybridMultilevel"/>
    <w:lvl w:ilvl="0">
      <w:lvlJc w:val="left"/>
      <w:lvlText w:val="6"/>
      <w:numFmt w:val="bullet"/>
      <w:start w:val="1"/>
    </w:lvl>
  </w:abstractNum>
  <w:abstractNum w:abstractNumId="12">
    <w:nsid w:val="38437FDB"/>
    <w:multiLevelType w:val="hybridMultilevel"/>
    <w:lvl w:ilvl="0">
      <w:lvlJc w:val="left"/>
      <w:lvlText w:val="7"/>
      <w:numFmt w:val="bullet"/>
      <w:start w:val="1"/>
    </w:lvl>
  </w:abstractNum>
  <w:abstractNum w:abstractNumId="13">
    <w:nsid w:val="7644A45C"/>
    <w:multiLevelType w:val="hybridMultilevel"/>
    <w:lvl w:ilvl="0">
      <w:lvlJc w:val="left"/>
      <w:lvlText w:val="1"/>
      <w:numFmt w:val="bullet"/>
      <w:start w:val="1"/>
    </w:lvl>
  </w:abstractNum>
  <w:abstractNum w:abstractNumId="14">
    <w:nsid w:val="32FFF902"/>
    <w:multiLevelType w:val="hybridMultilevel"/>
    <w:lvl w:ilvl="0">
      <w:lvlJc w:val="left"/>
      <w:lvlText w:val="2"/>
      <w:numFmt w:val="bullet"/>
      <w:start w:val="1"/>
    </w:lvl>
  </w:abstractNum>
  <w:abstractNum w:abstractNumId="15">
    <w:nsid w:val="684A481A"/>
    <w:multiLevelType w:val="hybridMultilevel"/>
    <w:lvl w:ilvl="0">
      <w:lvlJc w:val="left"/>
      <w:lvlText w:val="3"/>
      <w:numFmt w:val="bullet"/>
      <w:start w:val="1"/>
    </w:lvl>
  </w:abstractNum>
  <w:abstractNum w:abstractNumId="16">
    <w:nsid w:val="579478FE"/>
    <w:multiLevelType w:val="hybridMultilevel"/>
    <w:lvl w:ilvl="0">
      <w:lvlJc w:val="left"/>
      <w:lvlText w:val="4"/>
      <w:numFmt w:val="bullet"/>
      <w:start w:val="1"/>
    </w:lvl>
  </w:abstractNum>
  <w:abstractNum w:abstractNumId="17">
    <w:nsid w:val="749ABB43"/>
    <w:multiLevelType w:val="hybridMultilevel"/>
    <w:lvl w:ilvl="0">
      <w:lvlJc w:val="left"/>
      <w:lvlText w:val="5"/>
      <w:numFmt w:val="bullet"/>
      <w:start w:val="1"/>
    </w:lvl>
  </w:abstractNum>
  <w:abstractNum w:abstractNumId="18">
    <w:nsid w:val="3DC240FB"/>
    <w:multiLevelType w:val="hybridMultilevel"/>
    <w:lvl w:ilvl="0">
      <w:lvlJc w:val="left"/>
      <w:lvlText w:val="6"/>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
      <w:numFmt w:val="bullet"/>
      <w:start w:val="1"/>
    </w:lvl>
    <w:lvl w:ilvl="1">
      <w:lvlJc w:val="left"/>
      <w:lvlText w:val="¯"/>
      <w:numFmt w:val="bullet"/>
      <w:start w:val="1"/>
    </w:lvl>
  </w:abstractNum>
  <w:abstractNum w:abstractNumId="27">
    <w:nsid w:val="23F9C13C"/>
    <w:multiLevelType w:val="hybridMultilevel"/>
    <w:lvl w:ilvl="0">
      <w:lvlJc w:val="left"/>
      <w:lvlText w:val="•"/>
      <w:numFmt w:val="bullet"/>
      <w:start w:val="1"/>
    </w:lvl>
    <w:lvl w:ilvl="1">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lvl w:ilvl="1">
      <w:lvlJc w:val="left"/>
      <w:lvlText w:val="¯"/>
      <w:numFmt w:val="bullet"/>
      <w:start w:val="1"/>
    </w:lvl>
  </w:abstractNum>
  <w:abstractNum w:abstractNumId="41">
    <w:nsid w:val="61574095"/>
    <w:multiLevelType w:val="hybridMultilevel"/>
    <w:lvl w:ilvl="0">
      <w:lvlJc w:val="left"/>
      <w:lvlText w:val="•"/>
      <w:numFmt w:val="bullet"/>
      <w:start w:val="1"/>
    </w:lvl>
    <w:lvl w:ilvl="1">
      <w:lvlJc w:val="left"/>
      <w:lvlText w:val="¯"/>
      <w:numFmt w:val="bullet"/>
      <w:start w:val="1"/>
    </w:lvl>
  </w:abstractNum>
  <w:abstractNum w:abstractNumId="42">
    <w:nsid w:val="7E0C57B1"/>
    <w:multiLevelType w:val="hybridMultilevel"/>
    <w:lvl w:ilvl="0">
      <w:lvlJc w:val="left"/>
      <w:lvlText w:val="(%1)"/>
      <w:numFmt w:val="upperLetter"/>
      <w:start w:val="1"/>
    </w:lvl>
  </w:abstractNum>
  <w:abstractNum w:abstractNumId="43">
    <w:nsid w:val="77AE35EB"/>
    <w:multiLevelType w:val="hybridMultilevel"/>
    <w:lvl w:ilvl="0">
      <w:lvlJc w:val="left"/>
      <w:lvlText w:val="1"/>
      <w:numFmt w:val="bullet"/>
      <w:start w:val="1"/>
    </w:lvl>
  </w:abstractNum>
  <w:abstractNum w:abstractNumId="44">
    <w:nsid w:val="579BE4F1"/>
    <w:multiLevelType w:val="hybridMultilevel"/>
    <w:lvl w:ilvl="0">
      <w:lvlJc w:val="left"/>
      <w:lvlText w:val="2"/>
      <w:numFmt w:val="bullet"/>
      <w:start w:val="1"/>
    </w:lvl>
  </w:abstractNum>
  <w:abstractNum w:abstractNumId="45">
    <w:nsid w:val="310C50B3"/>
    <w:multiLevelType w:val="hybridMultilevel"/>
    <w:lvl w:ilvl="0">
      <w:lvlJc w:val="left"/>
      <w:lvlText w:val="3"/>
      <w:numFmt w:val="bullet"/>
      <w:start w:val="1"/>
    </w:lvl>
  </w:abstractNum>
  <w:abstractNum w:abstractNumId="46">
    <w:nsid w:val="5FF87E05"/>
    <w:multiLevelType w:val="hybridMultilevel"/>
    <w:lvl w:ilvl="0">
      <w:lvlJc w:val="left"/>
      <w:lvlText w:val="4"/>
      <w:numFmt w:val="bullet"/>
      <w:start w:val="1"/>
    </w:lvl>
  </w:abstractNum>
  <w:abstractNum w:abstractNumId="47">
    <w:nsid w:val="2F305DEF"/>
    <w:multiLevelType w:val="hybridMultilevel"/>
    <w:lvl w:ilvl="0">
      <w:lvlJc w:val="left"/>
      <w:lvlText w:val="5"/>
      <w:numFmt w:val="bullet"/>
      <w:start w:val="1"/>
    </w:lvl>
  </w:abstractNum>
  <w:abstractNum w:abstractNumId="48">
    <w:nsid w:val="25A70BF7"/>
    <w:multiLevelType w:val="hybridMultilevel"/>
    <w:lvl w:ilvl="0">
      <w:lvlJc w:val="left"/>
      <w:lvlText w:val="6"/>
      <w:numFmt w:val="bullet"/>
      <w:start w:val="1"/>
    </w:lvl>
  </w:abstractNum>
  <w:abstractNum w:abstractNumId="49">
    <w:nsid w:val="1DBABF00"/>
    <w:multiLevelType w:val="hybridMultilevel"/>
    <w:lvl w:ilvl="0">
      <w:lvlJc w:val="left"/>
      <w:lvlText w:val="7"/>
      <w:numFmt w:val="bullet"/>
      <w:start w:val="1"/>
    </w:lvl>
  </w:abstractNum>
  <w:abstractNum w:abstractNumId="50">
    <w:nsid w:val="4AD084E9"/>
    <w:multiLevelType w:val="hybridMultilevel"/>
    <w:lvl w:ilvl="0">
      <w:lvlJc w:val="left"/>
      <w:lvlText w:val="8"/>
      <w:numFmt w:val="bullet"/>
      <w:start w:val="1"/>
    </w:lvl>
  </w:abstractNum>
  <w:abstractNum w:abstractNumId="51">
    <w:nsid w:val="1F48EAA1"/>
    <w:multiLevelType w:val="hybridMultilevel"/>
    <w:lvl w:ilvl="0">
      <w:lvlJc w:val="left"/>
      <w:lvlText w:val="1"/>
      <w:numFmt w:val="bullet"/>
      <w:start w:val="1"/>
    </w:lvl>
  </w:abstractNum>
  <w:abstractNum w:abstractNumId="52">
    <w:nsid w:val="1381823A"/>
    <w:multiLevelType w:val="hybridMultilevel"/>
    <w:lvl w:ilvl="0">
      <w:lvlJc w:val="left"/>
      <w:lvlText w:val="2"/>
      <w:numFmt w:val="bullet"/>
      <w:start w:val="1"/>
    </w:lvl>
  </w:abstractNum>
  <w:abstractNum w:abstractNumId="53">
    <w:nsid w:val="5DB70AE5"/>
    <w:multiLevelType w:val="hybridMultilevel"/>
    <w:lvl w:ilvl="0">
      <w:lvlJc w:val="left"/>
      <w:lvlText w:val="3"/>
      <w:numFmt w:val="bullet"/>
      <w:start w:val="1"/>
    </w:lvl>
  </w:abstractNum>
  <w:abstractNum w:abstractNumId="54">
    <w:nsid w:val="100F8FCA"/>
    <w:multiLevelType w:val="hybridMultilevel"/>
    <w:lvl w:ilvl="0">
      <w:lvlJc w:val="left"/>
      <w:lvlText w:val="4"/>
      <w:numFmt w:val="bullet"/>
      <w:start w:val="1"/>
    </w:lvl>
  </w:abstractNum>
  <w:abstractNum w:abstractNumId="55">
    <w:nsid w:val="6590700B"/>
    <w:multiLevelType w:val="hybridMultilevel"/>
    <w:lvl w:ilvl="0">
      <w:lvlJc w:val="left"/>
      <w:lvlText w:val="5"/>
      <w:numFmt w:val="bullet"/>
      <w:start w:val="1"/>
    </w:lvl>
  </w:abstractNum>
  <w:abstractNum w:abstractNumId="56">
    <w:nsid w:val="15014ACB"/>
    <w:multiLevelType w:val="hybridMultilevel"/>
    <w:lvl w:ilvl="0">
      <w:lvlJc w:val="left"/>
      <w:lvlText w:val="1"/>
      <w:numFmt w:val="bullet"/>
      <w:start w:val="1"/>
    </w:lvl>
  </w:abstractNum>
  <w:abstractNum w:abstractNumId="57">
    <w:nsid w:val="5F5E7FD0"/>
    <w:multiLevelType w:val="hybridMultilevel"/>
    <w:lvl w:ilvl="0">
      <w:lvlJc w:val="left"/>
      <w:lvlText w:val="%1"/>
      <w:numFmt w:val="decimal"/>
      <w:start w:val="10"/>
    </w:lvl>
  </w:abstractNum>
  <w:abstractNum w:abstractNumId="58">
    <w:nsid w:val="98A3148"/>
    <w:multiLevelType w:val="hybridMultilevel"/>
    <w:lvl w:ilvl="0">
      <w:lvlJc w:val="left"/>
      <w:lvlText w:val="1"/>
      <w:numFmt w:val="bullet"/>
      <w:start w:val="1"/>
    </w:lvl>
  </w:abstractNum>
  <w:abstractNum w:abstractNumId="59">
    <w:nsid w:val="799D0247"/>
    <w:multiLevelType w:val="hybridMultilevel"/>
    <w:lvl w:ilvl="0">
      <w:lvlJc w:val="left"/>
      <w:lvlText w:val="2"/>
      <w:numFmt w:val="bullet"/>
      <w:start w:val="1"/>
    </w:lvl>
  </w:abstractNum>
  <w:abstractNum w:abstractNumId="60">
    <w:nsid w:val="6B94764"/>
    <w:multiLevelType w:val="hybridMultilevel"/>
    <w:lvl w:ilvl="0">
      <w:lvlJc w:val="left"/>
      <w:lvlText w:val="1"/>
      <w:numFmt w:val="bullet"/>
      <w:start w:val="1"/>
    </w:lvl>
  </w:abstractNum>
  <w:abstractNum w:abstractNumId="61">
    <w:nsid w:val="42C296BD"/>
    <w:multiLevelType w:val="hybridMultilevel"/>
    <w:lvl w:ilvl="0">
      <w:lvlJc w:val="left"/>
      <w:lvlText w:val="1"/>
      <w:numFmt w:val="bullet"/>
      <w:start w:val="1"/>
    </w:lvl>
  </w:abstractNum>
  <w:abstractNum w:abstractNumId="62">
    <w:nsid w:val="168E121F"/>
    <w:multiLevelType w:val="hybridMultilevel"/>
    <w:lvl w:ilvl="0">
      <w:lvlJc w:val="left"/>
      <w:lvlText w:val="2"/>
      <w:numFmt w:val="bullet"/>
      <w:start w:val="1"/>
    </w:lvl>
  </w:abstractNum>
  <w:abstractNum w:abstractNumId="63">
    <w:nsid w:val="1EBA5D23"/>
    <w:multiLevelType w:val="hybridMultilevel"/>
    <w:lvl w:ilvl="0">
      <w:lvlJc w:val="left"/>
      <w:lvlText w:val="3"/>
      <w:numFmt w:val="bullet"/>
      <w:start w:val="1"/>
    </w:lvl>
  </w:abstractNum>
  <w:abstractNum w:abstractNumId="64">
    <w:nsid w:val="661E3F1E"/>
    <w:multiLevelType w:val="hybridMultilevel"/>
    <w:lvl w:ilvl="0">
      <w:lvlJc w:val="left"/>
      <w:lvlText w:val="5"/>
      <w:numFmt w:val="bullet"/>
      <w:start w:val="1"/>
    </w:lvl>
  </w:abstractNum>
  <w:abstractNum w:abstractNumId="65">
    <w:nsid w:val="5DC79EA8"/>
    <w:multiLevelType w:val="hybridMultilevel"/>
    <w:lvl w:ilvl="0">
      <w:lvlJc w:val="left"/>
      <w:lvlText w:val="6"/>
      <w:numFmt w:val="bullet"/>
      <w:start w:val="1"/>
    </w:lvl>
  </w:abstractNum>
  <w:abstractNum w:abstractNumId="66">
    <w:nsid w:val="540A471C"/>
    <w:multiLevelType w:val="hybridMultilevel"/>
    <w:lvl w:ilvl="0">
      <w:lvlJc w:val="left"/>
      <w:lvlText w:val="7"/>
      <w:numFmt w:val="bullet"/>
      <w:start w:val="1"/>
    </w:lvl>
  </w:abstractNum>
  <w:abstractNum w:abstractNumId="67">
    <w:nsid w:val="7BD3EE7B"/>
    <w:multiLevelType w:val="hybridMultilevel"/>
    <w:lvl w:ilvl="0">
      <w:lvlJc w:val="left"/>
      <w:lvlText w:val="8"/>
      <w:numFmt w:val="bullet"/>
      <w:start w:val="1"/>
    </w:lvl>
  </w:abstractNum>
  <w:abstractNum w:abstractNumId="68">
    <w:nsid w:val="51D9C564"/>
    <w:multiLevelType w:val="hybridMultilevel"/>
    <w:lvl w:ilvl="0">
      <w:lvlJc w:val="left"/>
      <w:lvlText w:val="9"/>
      <w:numFmt w:val="bullet"/>
      <w:start w:val="1"/>
    </w:lvl>
  </w:abstractNum>
  <w:abstractNum w:abstractNumId="69">
    <w:nsid w:val="613EFDC5"/>
    <w:multiLevelType w:val="hybridMultilevel"/>
    <w:lvl w:ilvl="0">
      <w:lvlJc w:val="left"/>
      <w:lvlText w:val="1"/>
      <w:numFmt w:val="bullet"/>
      <w:start w:val="1"/>
    </w:lvl>
  </w:abstractNum>
  <w:abstractNum w:abstractNumId="70">
    <w:nsid w:val="BF72B14"/>
    <w:multiLevelType w:val="hybridMultilevel"/>
    <w:lvl w:ilvl="0">
      <w:lvlJc w:val="left"/>
      <w:lvlText w:val="2"/>
      <w:numFmt w:val="bullet"/>
      <w:start w:val="1"/>
    </w:lvl>
  </w:abstractNum>
  <w:abstractNum w:abstractNumId="71">
    <w:nsid w:val="11447B73"/>
    <w:multiLevelType w:val="hybridMultilevel"/>
    <w:lvl w:ilvl="0">
      <w:lvlJc w:val="left"/>
      <w:lvlText w:val="3"/>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9"/>
    </w:lvl>
  </w:abstractNum>
  <w:abstractNum w:abstractNumId="74">
    <w:nsid w:val="8F2B15E"/>
    <w:multiLevelType w:val="hybridMultilevel"/>
    <w:lvl w:ilvl="0">
      <w:lvlJc w:val="left"/>
      <w:lvlText w:val="(%1)"/>
      <w:numFmt w:val="lowerLetter"/>
      <w:start w:val="2"/>
    </w:lvl>
  </w:abstractNum>
  <w:abstractNum w:abstractNumId="75">
    <w:nsid w:val="1A32234B"/>
    <w:multiLevelType w:val="hybridMultilevel"/>
    <w:lvl w:ilvl="0">
      <w:lvlJc w:val="left"/>
      <w:lvlText w:val="(%1)"/>
      <w:numFmt w:val="lowerLetter"/>
      <w:start w:val="3"/>
    </w:lvl>
  </w:abstractNum>
  <w:abstractNum w:abstractNumId="76">
    <w:nsid w:val="3B0FD379"/>
    <w:multiLevelType w:val="hybridMultilevel"/>
    <w:lvl w:ilvl="0">
      <w:lvlJc w:val="left"/>
      <w:lvlText w:val="(%1)"/>
      <w:numFmt w:val="lowerLetter"/>
      <w:start w:val="5"/>
    </w:lvl>
  </w:abstractNum>
  <w:abstractNum w:abstractNumId="77">
    <w:nsid w:val="68EB2F63"/>
    <w:multiLevelType w:val="hybridMultilevel"/>
    <w:lvl w:ilvl="0">
      <w:lvlJc w:val="left"/>
      <w:lvlText w:val="(%1)"/>
      <w:numFmt w:val="lowerLetter"/>
      <w:start w:val="6"/>
    </w:lvl>
  </w:abstractNum>
  <w:abstractNum w:abstractNumId="78">
    <w:nsid w:val="4962813B"/>
    <w:multiLevelType w:val="hybridMultilevel"/>
    <w:lvl w:ilvl="0">
      <w:lvlJc w:val="left"/>
      <w:lvlText w:val="%1."/>
      <w:numFmt w:val="decimal"/>
      <w:start w:val="1"/>
    </w:lvl>
    <w:lvl w:ilvl="1">
      <w:lvlJc w:val="left"/>
      <w:lvlText w:val="☐"/>
      <w:numFmt w:val="bullet"/>
      <w:start w:val="1"/>
    </w:lvl>
  </w:abstractNum>
  <w:abstractNum w:abstractNumId="79">
    <w:nsid w:val="60B6DF70"/>
    <w:multiLevelType w:val="hybridMultilevel"/>
    <w:lvl w:ilvl="0">
      <w:lvlJc w:val="left"/>
      <w:lvlText w:val="%1."/>
      <w:numFmt w:val="decimal"/>
      <w:start w:val="3"/>
    </w:lvl>
  </w:abstractNum>
  <w:abstractNum w:abstractNumId="80">
    <w:nsid w:val="6A5EE64"/>
    <w:multiLevelType w:val="hybridMultilevel"/>
    <w:lvl w:ilvl="0">
      <w:lvlJc w:val="left"/>
      <w:lvlText w:val="%1."/>
      <w:numFmt w:val="decimal"/>
      <w:start w:val="4"/>
    </w:lvl>
  </w:abstractNum>
  <w:abstractNum w:abstractNumId="81">
    <w:nsid w:val="1433062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2019-12-06T11:43:22Z</dcterms:created>
  <dcterms:modified xsi:type="dcterms:W3CDTF">2019-12-06T11:43:22Z</dcterms:modified>
</cp:coreProperties>
</file>