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800" w:right="1300" w:hanging="3792"/>
        <w:spacing w:after="0" w:line="243" w:lineRule="auto"/>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March 31, 2016</w:t>
      </w:r>
    </w:p>
    <w:p>
      <w:pPr>
        <w:spacing w:after="0" w:line="184"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40"/>
          </w:cols>
          <w:pgMar w:left="240" w:top="597" w:right="219" w:bottom="1440" w:gutter="0" w:footer="0" w:header="0"/>
        </w:sectPr>
      </w:pPr>
    </w:p>
    <w:p>
      <w:pPr>
        <w:spacing w:after="0" w:line="29" w:lineRule="exact"/>
        <w:rPr>
          <w:sz w:val="24"/>
          <w:szCs w:val="24"/>
          <w:color w:val="auto"/>
        </w:rPr>
      </w:pPr>
    </w:p>
    <w:p>
      <w:pPr>
        <w:jc w:val="right"/>
        <w:ind w:right="440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right"/>
        <w:ind w:right="436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40"/>
          </w:cols>
          <w:pgMar w:left="240" w:top="597" w:right="219" w:bottom="1440" w:gutter="0" w:footer="0" w:header="0"/>
          <w:type w:val="continuous"/>
        </w:sectPr>
      </w:pP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79" w:lineRule="exact"/>
        <w:rPr>
          <w:sz w:val="24"/>
          <w:szCs w:val="24"/>
          <w:color w:val="auto"/>
        </w:rPr>
      </w:pPr>
    </w:p>
    <w:tbl>
      <w:tblPr>
        <w:tblLayout w:type="fixed"/>
        <w:tblInd w:w="1240" w:type="dxa"/>
        <w:tblCellMar>
          <w:top w:w="0" w:type="dxa"/>
          <w:left w:w="0" w:type="dxa"/>
          <w:bottom w:w="0" w:type="dxa"/>
          <w:right w:w="0" w:type="dxa"/>
        </w:tblCellMar>
      </w:tblPr>
      <w:tr>
        <w:trPr>
          <w:trHeight w:val="201"/>
        </w:trPr>
        <w:tc>
          <w:tcPr>
            <w:tcW w:w="3340" w:type="dxa"/>
            <w:vAlign w:val="bottom"/>
          </w:tcPr>
          <w:p>
            <w:pPr>
              <w:jc w:val="center"/>
              <w:ind w:right="45"/>
              <w:spacing w:after="0" w:line="201" w:lineRule="exact"/>
              <w:rPr>
                <w:sz w:val="20"/>
                <w:szCs w:val="20"/>
                <w:color w:val="auto"/>
              </w:rPr>
            </w:pPr>
            <w:r>
              <w:rPr>
                <w:rFonts w:ascii="Arial" w:cs="Arial" w:eastAsia="Arial" w:hAnsi="Arial"/>
                <w:sz w:val="19"/>
                <w:szCs w:val="19"/>
                <w:b w:val="1"/>
                <w:bCs w:val="1"/>
                <w:color w:val="auto"/>
                <w:w w:val="93"/>
              </w:rPr>
              <w:t>North Carolina</w:t>
            </w:r>
          </w:p>
        </w:tc>
        <w:tc>
          <w:tcPr>
            <w:tcW w:w="2280" w:type="dxa"/>
            <w:vAlign w:val="bottom"/>
            <w:tcBorders>
              <w:top w:val="single" w:sz="8" w:color="auto"/>
            </w:tcBorders>
          </w:tcPr>
          <w:p>
            <w:pPr>
              <w:spacing w:after="0"/>
              <w:rPr>
                <w:sz w:val="17"/>
                <w:szCs w:val="17"/>
                <w:color w:val="auto"/>
              </w:rPr>
            </w:pPr>
          </w:p>
        </w:tc>
        <w:tc>
          <w:tcPr>
            <w:tcW w:w="2700" w:type="dxa"/>
            <w:vAlign w:val="bottom"/>
          </w:tcPr>
          <w:p>
            <w:pPr>
              <w:jc w:val="center"/>
              <w:ind w:left="725"/>
              <w:spacing w:after="0" w:line="201" w:lineRule="exact"/>
              <w:rPr>
                <w:sz w:val="20"/>
                <w:szCs w:val="20"/>
                <w:color w:val="auto"/>
              </w:rPr>
            </w:pPr>
            <w:r>
              <w:rPr>
                <w:rFonts w:ascii="Arial" w:cs="Arial" w:eastAsia="Arial" w:hAnsi="Arial"/>
                <w:sz w:val="19"/>
                <w:szCs w:val="19"/>
                <w:b w:val="1"/>
                <w:bCs w:val="1"/>
                <w:color w:val="auto"/>
                <w:w w:val="90"/>
              </w:rPr>
              <w:t>56-1848578</w:t>
            </w:r>
          </w:p>
        </w:tc>
      </w:tr>
      <w:tr>
        <w:trPr>
          <w:trHeight w:val="216"/>
        </w:trPr>
        <w:tc>
          <w:tcPr>
            <w:tcW w:w="3340" w:type="dxa"/>
            <w:vAlign w:val="bottom"/>
          </w:tcPr>
          <w:p>
            <w:pPr>
              <w:jc w:val="center"/>
              <w:ind w:right="105"/>
              <w:spacing w:after="0" w:line="216" w:lineRule="exact"/>
              <w:rPr>
                <w:sz w:val="20"/>
                <w:szCs w:val="20"/>
                <w:color w:val="auto"/>
              </w:rPr>
            </w:pPr>
            <w:r>
              <w:rPr>
                <w:rFonts w:ascii="Arial" w:cs="Arial" w:eastAsia="Arial" w:hAnsi="Arial"/>
                <w:sz w:val="19"/>
                <w:szCs w:val="19"/>
                <w:b w:val="1"/>
                <w:bCs w:val="1"/>
                <w:color w:val="auto"/>
                <w:w w:val="91"/>
              </w:rPr>
              <w:t>(State or other jurisdiction of</w:t>
            </w:r>
          </w:p>
        </w:tc>
        <w:tc>
          <w:tcPr>
            <w:tcW w:w="2280" w:type="dxa"/>
            <w:vAlign w:val="bottom"/>
          </w:tcPr>
          <w:p>
            <w:pPr>
              <w:spacing w:after="0"/>
              <w:rPr>
                <w:sz w:val="18"/>
                <w:szCs w:val="18"/>
                <w:color w:val="auto"/>
              </w:rPr>
            </w:pPr>
          </w:p>
        </w:tc>
        <w:tc>
          <w:tcPr>
            <w:tcW w:w="2700" w:type="dxa"/>
            <w:vAlign w:val="bottom"/>
          </w:tcPr>
          <w:p>
            <w:pPr>
              <w:jc w:val="center"/>
              <w:ind w:left="725"/>
              <w:spacing w:after="0" w:line="216" w:lineRule="exact"/>
              <w:rPr>
                <w:sz w:val="20"/>
                <w:szCs w:val="20"/>
                <w:color w:val="auto"/>
              </w:rPr>
            </w:pPr>
            <w:r>
              <w:rPr>
                <w:rFonts w:ascii="Arial" w:cs="Arial" w:eastAsia="Arial" w:hAnsi="Arial"/>
                <w:sz w:val="19"/>
                <w:szCs w:val="19"/>
                <w:b w:val="1"/>
                <w:bCs w:val="1"/>
                <w:color w:val="auto"/>
                <w:w w:val="93"/>
              </w:rPr>
              <w:t>(I.R.S. Employer</w:t>
            </w:r>
          </w:p>
        </w:tc>
      </w:tr>
      <w:tr>
        <w:trPr>
          <w:trHeight w:val="246"/>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90"/>
              </w:rPr>
              <w:t>incorporation or organization)</w:t>
            </w:r>
          </w:p>
        </w:tc>
        <w:tc>
          <w:tcPr>
            <w:tcW w:w="2280" w:type="dxa"/>
            <w:vAlign w:val="bottom"/>
          </w:tcPr>
          <w:p>
            <w:pPr>
              <w:spacing w:after="0"/>
              <w:rPr>
                <w:sz w:val="21"/>
                <w:szCs w:val="21"/>
                <w:color w:val="auto"/>
              </w:rPr>
            </w:pPr>
          </w:p>
        </w:tc>
        <w:tc>
          <w:tcPr>
            <w:tcW w:w="2700" w:type="dxa"/>
            <w:vAlign w:val="bottom"/>
          </w:tcPr>
          <w:p>
            <w:pPr>
              <w:jc w:val="center"/>
              <w:ind w:left="725"/>
              <w:spacing w:after="0"/>
              <w:rPr>
                <w:sz w:val="20"/>
                <w:szCs w:val="20"/>
                <w:color w:val="auto"/>
              </w:rPr>
            </w:pPr>
            <w:r>
              <w:rPr>
                <w:rFonts w:ascii="Arial" w:cs="Arial" w:eastAsia="Arial" w:hAnsi="Arial"/>
                <w:sz w:val="19"/>
                <w:szCs w:val="19"/>
                <w:b w:val="1"/>
                <w:bCs w:val="1"/>
                <w:color w:val="auto"/>
                <w:w w:val="93"/>
              </w:rPr>
              <w:t>Identification Number)</w:t>
            </w:r>
          </w:p>
        </w:tc>
      </w:tr>
      <w:tr>
        <w:trPr>
          <w:trHeight w:val="415"/>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92"/>
              </w:rPr>
              <w:t>2710 Wycliff Road, Raleigh, NC</w:t>
            </w:r>
          </w:p>
        </w:tc>
        <w:tc>
          <w:tcPr>
            <w:tcW w:w="4980" w:type="dxa"/>
            <w:vAlign w:val="bottom"/>
            <w:gridSpan w:val="2"/>
          </w:tcPr>
          <w:p>
            <w:pPr>
              <w:jc w:val="center"/>
              <w:ind w:left="3005"/>
              <w:spacing w:after="0"/>
              <w:rPr>
                <w:sz w:val="20"/>
                <w:szCs w:val="20"/>
                <w:color w:val="auto"/>
              </w:rPr>
            </w:pPr>
            <w:r>
              <w:rPr>
                <w:rFonts w:ascii="Arial" w:cs="Arial" w:eastAsia="Arial" w:hAnsi="Arial"/>
                <w:sz w:val="19"/>
                <w:szCs w:val="19"/>
                <w:b w:val="1"/>
                <w:bCs w:val="1"/>
                <w:color w:val="auto"/>
                <w:w w:val="90"/>
              </w:rPr>
              <w:t>27607-3033</w:t>
            </w:r>
          </w:p>
        </w:tc>
      </w:tr>
      <w:tr>
        <w:trPr>
          <w:trHeight w:val="238"/>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88"/>
              </w:rPr>
              <w:t>(Address of principal executive offices)</w:t>
            </w:r>
          </w:p>
        </w:tc>
        <w:tc>
          <w:tcPr>
            <w:tcW w:w="2280" w:type="dxa"/>
            <w:vAlign w:val="bottom"/>
          </w:tcPr>
          <w:p>
            <w:pPr>
              <w:spacing w:after="0"/>
              <w:rPr>
                <w:sz w:val="20"/>
                <w:szCs w:val="20"/>
                <w:color w:val="auto"/>
              </w:rPr>
            </w:pPr>
          </w:p>
        </w:tc>
        <w:tc>
          <w:tcPr>
            <w:tcW w:w="2700" w:type="dxa"/>
            <w:vAlign w:val="bottom"/>
          </w:tcPr>
          <w:p>
            <w:pPr>
              <w:jc w:val="center"/>
              <w:ind w:left="725"/>
              <w:spacing w:after="0"/>
              <w:rPr>
                <w:sz w:val="20"/>
                <w:szCs w:val="20"/>
                <w:color w:val="auto"/>
              </w:rPr>
            </w:pPr>
            <w:r>
              <w:rPr>
                <w:rFonts w:ascii="Arial" w:cs="Arial" w:eastAsia="Arial" w:hAnsi="Arial"/>
                <w:sz w:val="19"/>
                <w:szCs w:val="19"/>
                <w:b w:val="1"/>
                <w:bCs w:val="1"/>
                <w:color w:val="auto"/>
                <w:w w:val="93"/>
              </w:rPr>
              <w:t>(Zip Code)</w:t>
            </w:r>
          </w:p>
        </w:tc>
      </w:tr>
    </w:tbl>
    <w:p>
      <w:pPr>
        <w:jc w:val="center"/>
        <w:ind w:right="20"/>
        <w:spacing w:after="0" w:line="237"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ind w:right="20"/>
        <w:spacing w:after="0" w:line="237" w:lineRule="auto"/>
        <w:rPr>
          <w:sz w:val="20"/>
          <w:szCs w:val="20"/>
          <w:color w:val="auto"/>
        </w:rPr>
      </w:pPr>
      <w:r>
        <w:rPr>
          <w:rFonts w:ascii="Arial" w:cs="Arial" w:eastAsia="Arial" w:hAnsi="Arial"/>
          <w:sz w:val="19"/>
          <w:szCs w:val="19"/>
          <w:b w:val="1"/>
          <w:bCs w:val="1"/>
          <w:color w:val="auto"/>
        </w:rPr>
        <w:t>Former name: None</w:t>
      </w:r>
    </w:p>
    <w:p>
      <w:pPr>
        <w:jc w:val="center"/>
        <w:ind w:right="20"/>
        <w:spacing w:after="0" w:line="238"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jc w:val="both"/>
        <w:ind w:right="20"/>
        <w:spacing w:after="0" w:line="237"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0"/>
        <w:spacing w:after="0" w:line="217"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r>
        <w:rPr>
          <w:rFonts w:ascii="Arial" w:cs="Arial" w:eastAsia="Arial" w:hAnsi="Arial"/>
          <w:sz w:val="19"/>
          <w:szCs w:val="19"/>
          <w:color w:val="auto"/>
        </w:rPr>
        <w:tab/>
        <w:t xml:space="preserve">No </w:t>
      </w:r>
      <w:r>
        <w:rPr>
          <w:rFonts w:ascii="Arial" w:cs="Arial" w:eastAsia="Arial" w:hAnsi="Arial"/>
          <w:sz w:val="18"/>
          <w:szCs w:val="18"/>
          <w:color w:val="auto"/>
        </w:rPr>
        <w:t>o</w:t>
      </w:r>
    </w:p>
    <w:p>
      <w:pPr>
        <w:jc w:val="both"/>
        <w:ind w:right="20"/>
        <w:spacing w:after="0" w:line="23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20"/>
        <w:spacing w:after="0" w:line="217"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r>
        <w:rPr>
          <w:rFonts w:ascii="Arial" w:cs="Arial" w:eastAsia="Arial" w:hAnsi="Arial"/>
          <w:sz w:val="19"/>
          <w:szCs w:val="19"/>
          <w:color w:val="auto"/>
        </w:rPr>
        <w:tab/>
        <w:t xml:space="preserve">No </w:t>
      </w:r>
      <w:r>
        <w:rPr>
          <w:rFonts w:ascii="Arial" w:cs="Arial" w:eastAsia="Arial" w:hAnsi="Arial"/>
          <w:sz w:val="18"/>
          <w:szCs w:val="18"/>
          <w:color w:val="auto"/>
        </w:rPr>
        <w:t>o</w:t>
      </w: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color w:val="auto"/>
        </w:rPr>
        <w:t>See the definitions of “large accelerated filer,” “accelerated filer” and “smaller reporting company” in Rule 12b-2 of the Exchange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Large accelerated filer</w:t>
            </w:r>
          </w:p>
        </w:tc>
        <w:tc>
          <w:tcPr>
            <w:tcW w:w="34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4700" w:type="dxa"/>
            <w:vAlign w:val="bottom"/>
          </w:tcPr>
          <w:p>
            <w:pPr>
              <w:ind w:left="1860"/>
              <w:spacing w:after="0"/>
              <w:rPr>
                <w:sz w:val="20"/>
                <w:szCs w:val="20"/>
                <w:color w:val="auto"/>
              </w:rPr>
            </w:pPr>
            <w:r>
              <w:rPr>
                <w:rFonts w:ascii="Arial" w:cs="Arial" w:eastAsia="Arial" w:hAnsi="Arial"/>
                <w:sz w:val="19"/>
                <w:szCs w:val="19"/>
                <w:color w:val="auto"/>
              </w:rPr>
              <w:t>Accelerated filer</w:t>
            </w:r>
          </w:p>
        </w:tc>
        <w:tc>
          <w:tcPr>
            <w:tcW w:w="900" w:type="dxa"/>
            <w:vAlign w:val="bottom"/>
          </w:tcPr>
          <w:p>
            <w:pPr>
              <w:ind w:left="68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390"/>
        </w:trPr>
        <w:tc>
          <w:tcPr>
            <w:tcW w:w="2180" w:type="dxa"/>
            <w:vAlign w:val="bottom"/>
            <w:gridSpan w:val="2"/>
          </w:tcPr>
          <w:p>
            <w:pPr>
              <w:spacing w:after="0"/>
              <w:rPr>
                <w:sz w:val="20"/>
                <w:szCs w:val="20"/>
                <w:color w:val="auto"/>
              </w:rPr>
            </w:pPr>
            <w:r>
              <w:rPr>
                <w:rFonts w:ascii="Arial" w:cs="Arial" w:eastAsia="Arial" w:hAnsi="Arial"/>
                <w:sz w:val="19"/>
                <w:szCs w:val="19"/>
                <w:color w:val="auto"/>
              </w:rPr>
              <w:t>Non-accelerated filer</w:t>
            </w:r>
          </w:p>
        </w:tc>
        <w:tc>
          <w:tcPr>
            <w:tcW w:w="3440" w:type="dxa"/>
            <w:vAlign w:val="bottom"/>
          </w:tcPr>
          <w:p>
            <w:pPr>
              <w:ind w:left="1380"/>
              <w:spacing w:after="0"/>
              <w:rPr>
                <w:sz w:val="20"/>
                <w:szCs w:val="20"/>
                <w:color w:val="auto"/>
              </w:rPr>
            </w:pPr>
            <w:r>
              <w:rPr>
                <w:rFonts w:ascii="Arial" w:cs="Arial" w:eastAsia="Arial" w:hAnsi="Arial"/>
                <w:sz w:val="18"/>
                <w:szCs w:val="18"/>
                <w:color w:val="auto"/>
              </w:rPr>
              <w:t>o</w:t>
            </w:r>
          </w:p>
        </w:tc>
        <w:tc>
          <w:tcPr>
            <w:tcW w:w="200" w:type="dxa"/>
            <w:vAlign w:val="bottom"/>
          </w:tcPr>
          <w:p>
            <w:pPr>
              <w:spacing w:after="0"/>
              <w:rPr>
                <w:sz w:val="24"/>
                <w:szCs w:val="24"/>
                <w:color w:val="auto"/>
              </w:rPr>
            </w:pPr>
          </w:p>
        </w:tc>
        <w:tc>
          <w:tcPr>
            <w:tcW w:w="4700" w:type="dxa"/>
            <w:vAlign w:val="bottom"/>
          </w:tcPr>
          <w:p>
            <w:pPr>
              <w:ind w:left="1860"/>
              <w:spacing w:after="0"/>
              <w:rPr>
                <w:sz w:val="20"/>
                <w:szCs w:val="20"/>
                <w:color w:val="auto"/>
              </w:rPr>
            </w:pPr>
            <w:r>
              <w:rPr>
                <w:rFonts w:ascii="Arial" w:cs="Arial" w:eastAsia="Arial" w:hAnsi="Arial"/>
                <w:sz w:val="19"/>
                <w:szCs w:val="19"/>
                <w:color w:val="auto"/>
              </w:rPr>
              <w:t>Smaller reporting company</w:t>
            </w:r>
          </w:p>
        </w:tc>
        <w:tc>
          <w:tcPr>
            <w:tcW w:w="900" w:type="dxa"/>
            <w:vAlign w:val="bottom"/>
          </w:tcPr>
          <w:p>
            <w:pPr>
              <w:ind w:left="68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191"/>
        </w:trPr>
        <w:tc>
          <w:tcPr>
            <w:tcW w:w="10520" w:type="dxa"/>
            <w:vAlign w:val="bottom"/>
            <w:gridSpan w:val="5"/>
          </w:tcPr>
          <w:p>
            <w:pPr>
              <w:spacing w:after="0" w:line="192" w:lineRule="exact"/>
              <w:rPr>
                <w:sz w:val="20"/>
                <w:szCs w:val="20"/>
                <w:color w:val="auto"/>
              </w:rPr>
            </w:pPr>
            <w:r>
              <w:rPr>
                <w:rFonts w:ascii="Arial" w:cs="Arial" w:eastAsia="Arial" w:hAnsi="Arial"/>
                <w:sz w:val="19"/>
                <w:szCs w:val="19"/>
                <w:color w:val="auto"/>
              </w:rPr>
              <w:t>Indicate by check mark whether the registrant is a shell company (as defined in Rule 12b-2 of the Exchange Act).</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40" w:type="dxa"/>
            <w:vAlign w:val="bottom"/>
          </w:tcPr>
          <w:p>
            <w:pPr>
              <w:ind w:left="2940"/>
              <w:spacing w:after="0"/>
              <w:rPr>
                <w:sz w:val="20"/>
                <w:szCs w:val="20"/>
                <w:color w:val="auto"/>
              </w:rPr>
            </w:pPr>
            <w:r>
              <w:rPr>
                <w:rFonts w:ascii="Arial" w:cs="Arial" w:eastAsia="Arial" w:hAnsi="Arial"/>
                <w:sz w:val="19"/>
                <w:szCs w:val="19"/>
                <w:color w:val="auto"/>
                <w:w w:val="99"/>
              </w:rPr>
              <w:t xml:space="preserve">Yes </w:t>
            </w:r>
            <w:r>
              <w:rPr>
                <w:rFonts w:ascii="Arial" w:cs="Arial" w:eastAsia="Arial" w:hAnsi="Arial"/>
                <w:sz w:val="18"/>
                <w:szCs w:val="18"/>
                <w:color w:val="auto"/>
                <w:w w:val="99"/>
              </w:rPr>
              <w:t>o</w:t>
            </w:r>
          </w:p>
        </w:tc>
        <w:tc>
          <w:tcPr>
            <w:tcW w:w="4900" w:type="dxa"/>
            <w:vAlign w:val="bottom"/>
            <w:gridSpan w:val="2"/>
          </w:tcPr>
          <w:p>
            <w:pPr>
              <w:ind w:left="160"/>
              <w:spacing w:after="0" w:line="219"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8"/>
                <w:szCs w:val="18"/>
                <w:color w:val="auto"/>
              </w:rPr>
              <w: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10520" w:type="dxa"/>
            <w:vAlign w:val="bottom"/>
            <w:gridSpan w:val="5"/>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4"/>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center"/>
              <w:ind w:right="2088"/>
              <w:spacing w:after="0"/>
              <w:rPr>
                <w:sz w:val="20"/>
                <w:szCs w:val="20"/>
                <w:color w:val="auto"/>
              </w:rPr>
            </w:pPr>
            <w:r>
              <w:rPr>
                <w:rFonts w:ascii="Arial" w:cs="Arial" w:eastAsia="Arial" w:hAnsi="Arial"/>
                <w:sz w:val="19"/>
                <w:szCs w:val="19"/>
                <w:b w:val="1"/>
                <w:bCs w:val="1"/>
                <w:color w:val="auto"/>
                <w:w w:val="82"/>
              </w:rPr>
              <w:t>Class</w:t>
            </w:r>
          </w:p>
        </w:tc>
        <w:tc>
          <w:tcPr>
            <w:tcW w:w="200" w:type="dxa"/>
            <w:vAlign w:val="bottom"/>
          </w:tcPr>
          <w:p>
            <w:pPr>
              <w:spacing w:after="0"/>
              <w:rPr>
                <w:sz w:val="24"/>
                <w:szCs w:val="24"/>
                <w:color w:val="auto"/>
              </w:rPr>
            </w:pPr>
          </w:p>
        </w:tc>
        <w:tc>
          <w:tcPr>
            <w:tcW w:w="4700" w:type="dxa"/>
            <w:vAlign w:val="bottom"/>
            <w:tcBorders>
              <w:bottom w:val="single" w:sz="8" w:color="auto"/>
            </w:tcBorders>
          </w:tcPr>
          <w:p>
            <w:pPr>
              <w:jc w:val="center"/>
              <w:ind w:left="825"/>
              <w:spacing w:after="0"/>
              <w:rPr>
                <w:sz w:val="20"/>
                <w:szCs w:val="20"/>
                <w:color w:val="auto"/>
              </w:rPr>
            </w:pPr>
            <w:r>
              <w:rPr>
                <w:rFonts w:ascii="Arial" w:cs="Arial" w:eastAsia="Arial" w:hAnsi="Arial"/>
                <w:sz w:val="19"/>
                <w:szCs w:val="19"/>
                <w:b w:val="1"/>
                <w:bCs w:val="1"/>
                <w:color w:val="auto"/>
                <w:w w:val="90"/>
              </w:rPr>
              <w:t>Outstanding as of May 2, 2016</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600" w:type="dxa"/>
            <w:vAlign w:val="bottom"/>
            <w:gridSpan w:val="2"/>
          </w:tcPr>
          <w:p>
            <w:pPr>
              <w:jc w:val="center"/>
              <w:spacing w:after="0"/>
              <w:rPr>
                <w:sz w:val="20"/>
                <w:szCs w:val="20"/>
                <w:color w:val="auto"/>
              </w:rPr>
            </w:pPr>
            <w:r>
              <w:rPr>
                <w:rFonts w:ascii="Arial" w:cs="Arial" w:eastAsia="Arial" w:hAnsi="Arial"/>
                <w:sz w:val="19"/>
                <w:szCs w:val="19"/>
                <w:color w:val="auto"/>
                <w:w w:val="90"/>
              </w:rPr>
              <w:t>Common Stock, $0.01 par value</w:t>
            </w:r>
          </w:p>
        </w:tc>
        <w:tc>
          <w:tcPr>
            <w:tcW w:w="200" w:type="dxa"/>
            <w:vAlign w:val="bottom"/>
          </w:tcPr>
          <w:p>
            <w:pPr>
              <w:spacing w:after="0"/>
              <w:rPr>
                <w:sz w:val="20"/>
                <w:szCs w:val="20"/>
                <w:color w:val="auto"/>
              </w:rPr>
            </w:pPr>
          </w:p>
        </w:tc>
        <w:tc>
          <w:tcPr>
            <w:tcW w:w="4700" w:type="dxa"/>
            <w:vAlign w:val="bottom"/>
          </w:tcPr>
          <w:p>
            <w:pPr>
              <w:jc w:val="right"/>
              <w:ind w:right="1385"/>
              <w:spacing w:after="0"/>
              <w:rPr>
                <w:sz w:val="20"/>
                <w:szCs w:val="20"/>
                <w:color w:val="auto"/>
              </w:rPr>
            </w:pPr>
            <w:r>
              <w:rPr>
                <w:rFonts w:ascii="Arial" w:cs="Arial" w:eastAsia="Arial" w:hAnsi="Arial"/>
                <w:sz w:val="19"/>
                <w:szCs w:val="19"/>
                <w:color w:val="auto"/>
              </w:rPr>
              <w:t>63,527,166</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1"/>
        </w:trPr>
        <w:tc>
          <w:tcPr>
            <w:tcW w:w="20" w:type="dxa"/>
            <w:vAlign w:val="bottom"/>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7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121"/>
        </w:trPr>
        <w:tc>
          <w:tcPr>
            <w:tcW w:w="20" w:type="dxa"/>
            <w:vAlign w:val="bottom"/>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60" w:type="dxa"/>
            <w:vAlign w:val="bottom"/>
            <w:gridSpan w:val="19"/>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7"/>
        </w:trPr>
        <w:tc>
          <w:tcPr>
            <w:tcW w:w="10860" w:type="dxa"/>
            <w:vAlign w:val="bottom"/>
            <w:gridSpan w:val="19"/>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20" w:type="dxa"/>
            <w:vAlign w:val="bottom"/>
          </w:tcPr>
          <w:p>
            <w:pPr>
              <w:spacing w:after="0"/>
              <w:rPr>
                <w:sz w:val="24"/>
                <w:szCs w:val="24"/>
                <w:color w:val="auto"/>
              </w:rPr>
            </w:pPr>
          </w:p>
        </w:tc>
        <w:tc>
          <w:tcPr>
            <w:tcW w:w="10640" w:type="dxa"/>
            <w:vAlign w:val="bottom"/>
            <w:gridSpan w:val="18"/>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Item 1. Financial Statements</w:t>
              </w:r>
            </w:hyperlink>
            <w:r>
              <w:rPr>
                <w:rFonts w:ascii="Arial" w:cs="Arial" w:eastAsia="Arial" w:hAnsi="Arial"/>
                <w:sz w:val="20"/>
                <w:szCs w:val="20"/>
                <w:color w:val="000000"/>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60" w:type="dxa"/>
            <w:vAlign w:val="bottom"/>
            <w:tcBorders>
              <w:bottom w:val="single" w:sz="8" w:color="0000EE"/>
            </w:tcBorders>
            <w:gridSpan w:val="13"/>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Consolidated Balance Sheets – March 31, 2016, December 31, 2015 and March 31, 2015</w:t>
              </w:r>
            </w:hyperlink>
          </w:p>
        </w:tc>
        <w:tc>
          <w:tcPr>
            <w:tcW w:w="33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66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20"/>
                <w:szCs w:val="20"/>
                <w:color w:val="0000EE"/>
                <w:w w:val="99"/>
              </w:rPr>
            </w:pPr>
            <w:hyperlink w:anchor="page4">
              <w:r>
                <w:rPr>
                  <w:rFonts w:ascii="Arial" w:cs="Arial" w:eastAsia="Arial" w:hAnsi="Arial"/>
                  <w:sz w:val="20"/>
                  <w:szCs w:val="20"/>
                  <w:color w:val="0000EE"/>
                  <w:w w:val="99"/>
                </w:rPr>
                <w:t>Consolidated Statements of Earnings and Comprehensive Earnings – Three Months Ended March 31, 2016 and 2015</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tcBorders>
              <w:top w:val="single" w:sz="8" w:color="0000EE"/>
              <w:bottom w:val="single" w:sz="8" w:color="0000EE"/>
            </w:tcBorders>
            <w:gridSpan w:val="14"/>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Cash Flows – Three Months Ended March 31, 2016 and 2015</w:t>
              </w:r>
            </w:hyperlink>
          </w:p>
        </w:tc>
        <w:tc>
          <w:tcPr>
            <w:tcW w:w="2140" w:type="dxa"/>
            <w:vAlign w:val="bottom"/>
            <w:tcBorders>
              <w:top w:val="single" w:sz="8" w:color="0000EE"/>
            </w:tcBorders>
            <w:gridSpan w:val="2"/>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tcBorders>
              <w:bottom w:val="single" w:sz="8" w:color="0000EE"/>
            </w:tcBorders>
            <w:gridSpan w:val="12"/>
          </w:tcPr>
          <w:p>
            <w:pPr>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Consolidated Statement of Total Equity - Three Months Ended March 31, 2016</w:t>
              </w:r>
            </w:hyperlink>
          </w:p>
        </w:tc>
        <w:tc>
          <w:tcPr>
            <w:tcW w:w="414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10640" w:type="dxa"/>
            <w:vAlign w:val="bottom"/>
            <w:gridSpan w:val="18"/>
          </w:tcPr>
          <w:p>
            <w:pPr>
              <w:spacing w:after="0"/>
              <w:rPr>
                <w:rFonts w:ascii="Arial" w:cs="Arial" w:eastAsia="Arial" w:hAnsi="Arial"/>
                <w:sz w:val="20"/>
                <w:szCs w:val="20"/>
                <w:color w:val="0000EE"/>
              </w:rPr>
            </w:pPr>
            <w:hyperlink w:anchor="page21">
              <w:r>
                <w:rPr>
                  <w:rFonts w:ascii="Arial" w:cs="Arial" w:eastAsia="Arial" w:hAnsi="Arial"/>
                  <w:sz w:val="20"/>
                  <w:szCs w:val="20"/>
                  <w:color w:val="0000EE"/>
                </w:rPr>
                <w:t>Item 2. Management’s Discussion and Analysis of Financial Condition and Results of Operations</w:t>
              </w:r>
            </w:hyperlink>
            <w:r>
              <w:rPr>
                <w:rFonts w:ascii="Arial" w:cs="Arial" w:eastAsia="Arial" w:hAnsi="Arial"/>
                <w:sz w:val="20"/>
                <w:szCs w:val="20"/>
                <w:color w:val="000000"/>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7720" w:type="dxa"/>
            <w:vAlign w:val="bottom"/>
            <w:tcBorders>
              <w:top w:val="single" w:sz="8" w:color="0000EE"/>
            </w:tcBorders>
            <w:gridSpan w:val="16"/>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Item 3. Quantitative and Qualitative Disclosures About Market Risk</w:t>
              </w:r>
            </w:hyperlink>
            <w:r>
              <w:rPr>
                <w:rFonts w:ascii="Arial" w:cs="Arial" w:eastAsia="Arial" w:hAnsi="Arial"/>
                <w:sz w:val="20"/>
                <w:szCs w:val="20"/>
                <w:color w:val="000000"/>
              </w:rPr>
              <w:t>.</w:t>
            </w:r>
          </w:p>
        </w:tc>
        <w:tc>
          <w:tcPr>
            <w:tcW w:w="29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400" w:type="dxa"/>
            <w:vAlign w:val="bottom"/>
            <w:tcBorders>
              <w:top w:val="single" w:sz="8" w:color="0000EE"/>
            </w:tcBorders>
            <w:gridSpan w:val="11"/>
          </w:tcPr>
          <w:p>
            <w:pPr>
              <w:spacing w:after="0"/>
              <w:rPr>
                <w:rFonts w:ascii="Arial" w:cs="Arial" w:eastAsia="Arial" w:hAnsi="Arial"/>
                <w:sz w:val="20"/>
                <w:szCs w:val="20"/>
                <w:color w:val="0000EE"/>
              </w:rPr>
            </w:pPr>
            <w:hyperlink w:anchor="page42">
              <w:r>
                <w:rPr>
                  <w:rFonts w:ascii="Arial" w:cs="Arial" w:eastAsia="Arial" w:hAnsi="Arial"/>
                  <w:sz w:val="20"/>
                  <w:szCs w:val="20"/>
                  <w:color w:val="0000EE"/>
                </w:rPr>
                <w:t>Item 4. Controls and Procedures</w:t>
              </w:r>
            </w:hyperlink>
            <w:r>
              <w:rPr>
                <w:rFonts w:ascii="Arial" w:cs="Arial" w:eastAsia="Arial" w:hAnsi="Arial"/>
                <w:sz w:val="20"/>
                <w:szCs w:val="20"/>
                <w:color w:val="000000"/>
              </w:rPr>
              <w:t>.</w:t>
            </w:r>
          </w:p>
        </w:tc>
        <w:tc>
          <w:tcPr>
            <w:tcW w:w="52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0860" w:type="dxa"/>
            <w:vAlign w:val="bottom"/>
            <w:gridSpan w:val="19"/>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43">
              <w:r>
                <w:rPr>
                  <w:rFonts w:ascii="Arial" w:cs="Arial" w:eastAsia="Arial" w:hAnsi="Arial"/>
                  <w:sz w:val="20"/>
                  <w:szCs w:val="20"/>
                  <w:color w:val="0000EE"/>
                  <w:w w:val="91"/>
                </w:rPr>
                <w:t>Item 1.</w:t>
              </w:r>
            </w:hyperlink>
          </w:p>
        </w:tc>
        <w:tc>
          <w:tcPr>
            <w:tcW w:w="10060" w:type="dxa"/>
            <w:vAlign w:val="bottom"/>
            <w:gridSpan w:val="16"/>
          </w:tcPr>
          <w:p>
            <w:pPr>
              <w:ind w:left="40"/>
              <w:spacing w:after="0"/>
              <w:rPr>
                <w:rFonts w:ascii="Arial" w:cs="Arial" w:eastAsia="Arial" w:hAnsi="Arial"/>
                <w:sz w:val="20"/>
                <w:szCs w:val="20"/>
                <w:color w:val="0000EE"/>
              </w:rPr>
            </w:pPr>
            <w:hyperlink w:anchor="page43">
              <w:r>
                <w:rPr>
                  <w:rFonts w:ascii="Arial" w:cs="Arial" w:eastAsia="Arial" w:hAnsi="Arial"/>
                  <w:sz w:val="20"/>
                  <w:szCs w:val="20"/>
                  <w:color w:val="0000EE"/>
                </w:rPr>
                <w:t>Legal Proceedings</w:t>
              </w:r>
            </w:hyperlink>
            <w:r>
              <w:rPr>
                <w:rFonts w:ascii="Arial" w:cs="Arial" w:eastAsia="Arial" w:hAnsi="Arial"/>
                <w:sz w:val="20"/>
                <w:szCs w:val="20"/>
                <w:color w:val="000000"/>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080" w:type="dxa"/>
            <w:vAlign w:val="bottom"/>
            <w:tcBorders>
              <w:top w:val="single" w:sz="8" w:color="0000EE"/>
            </w:tcBorders>
            <w:gridSpan w:val="7"/>
          </w:tcPr>
          <w:p>
            <w:pPr>
              <w:spacing w:after="0"/>
              <w:rPr>
                <w:rFonts w:ascii="Arial" w:cs="Arial" w:eastAsia="Arial" w:hAnsi="Arial"/>
                <w:sz w:val="20"/>
                <w:szCs w:val="20"/>
                <w:color w:val="0000EE"/>
              </w:rPr>
            </w:pPr>
            <w:hyperlink w:anchor="page43">
              <w:r>
                <w:rPr>
                  <w:rFonts w:ascii="Arial" w:cs="Arial" w:eastAsia="Arial" w:hAnsi="Arial"/>
                  <w:sz w:val="20"/>
                  <w:szCs w:val="20"/>
                  <w:color w:val="0000EE"/>
                </w:rPr>
                <w:t>Item 1A. Risk Factors</w:t>
              </w:r>
            </w:hyperlink>
            <w:r>
              <w:rPr>
                <w:rFonts w:ascii="Arial" w:cs="Arial" w:eastAsia="Arial" w:hAnsi="Arial"/>
                <w:sz w:val="20"/>
                <w:szCs w:val="20"/>
                <w:color w:val="000000"/>
              </w:rPr>
              <w:t>.</w:t>
            </w:r>
          </w:p>
        </w:tc>
        <w:tc>
          <w:tcPr>
            <w:tcW w:w="856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43">
              <w:r>
                <w:rPr>
                  <w:rFonts w:ascii="Arial" w:cs="Arial" w:eastAsia="Arial" w:hAnsi="Arial"/>
                  <w:sz w:val="20"/>
                  <w:szCs w:val="20"/>
                  <w:color w:val="0000EE"/>
                  <w:w w:val="91"/>
                </w:rPr>
                <w:t>Item 2.</w:t>
              </w:r>
            </w:hyperlink>
          </w:p>
        </w:tc>
        <w:tc>
          <w:tcPr>
            <w:tcW w:w="10060" w:type="dxa"/>
            <w:vAlign w:val="bottom"/>
            <w:gridSpan w:val="16"/>
          </w:tcPr>
          <w:p>
            <w:pPr>
              <w:ind w:left="40"/>
              <w:spacing w:after="0"/>
              <w:rPr>
                <w:rFonts w:ascii="Arial" w:cs="Arial" w:eastAsia="Arial" w:hAnsi="Arial"/>
                <w:sz w:val="20"/>
                <w:szCs w:val="20"/>
                <w:color w:val="0000EE"/>
              </w:rPr>
            </w:pPr>
            <w:hyperlink w:anchor="page43">
              <w:r>
                <w:rPr>
                  <w:rFonts w:ascii="Arial" w:cs="Arial" w:eastAsia="Arial" w:hAnsi="Arial"/>
                  <w:sz w:val="20"/>
                  <w:szCs w:val="20"/>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43">
              <w:r>
                <w:rPr>
                  <w:rFonts w:ascii="Arial" w:cs="Arial" w:eastAsia="Arial" w:hAnsi="Arial"/>
                  <w:sz w:val="20"/>
                  <w:szCs w:val="20"/>
                  <w:color w:val="0000EE"/>
                  <w:w w:val="91"/>
                </w:rPr>
                <w:t>Item 4.</w:t>
              </w:r>
            </w:hyperlink>
          </w:p>
        </w:tc>
        <w:tc>
          <w:tcPr>
            <w:tcW w:w="4860" w:type="dxa"/>
            <w:vAlign w:val="bottom"/>
            <w:tcBorders>
              <w:top w:val="single" w:sz="8" w:color="0000EE"/>
            </w:tcBorders>
            <w:gridSpan w:val="10"/>
          </w:tcPr>
          <w:p>
            <w:pPr>
              <w:ind w:left="40"/>
              <w:spacing w:after="0"/>
              <w:rPr>
                <w:rFonts w:ascii="Arial" w:cs="Arial" w:eastAsia="Arial" w:hAnsi="Arial"/>
                <w:sz w:val="20"/>
                <w:szCs w:val="20"/>
                <w:color w:val="0000EE"/>
              </w:rPr>
            </w:pPr>
            <w:hyperlink w:anchor="page43">
              <w:r>
                <w:rPr>
                  <w:rFonts w:ascii="Arial" w:cs="Arial" w:eastAsia="Arial" w:hAnsi="Arial"/>
                  <w:sz w:val="20"/>
                  <w:szCs w:val="20"/>
                  <w:color w:val="0000EE"/>
                </w:rPr>
                <w:t>Mine Safety Disclosures</w:t>
              </w:r>
            </w:hyperlink>
            <w:r>
              <w:rPr>
                <w:rFonts w:ascii="Arial" w:cs="Arial" w:eastAsia="Arial" w:hAnsi="Arial"/>
                <w:sz w:val="20"/>
                <w:szCs w:val="20"/>
                <w:color w:val="000000"/>
              </w:rPr>
              <w:t>.</w:t>
            </w:r>
          </w:p>
        </w:tc>
        <w:tc>
          <w:tcPr>
            <w:tcW w:w="520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44">
              <w:r>
                <w:rPr>
                  <w:rFonts w:ascii="Arial" w:cs="Arial" w:eastAsia="Arial" w:hAnsi="Arial"/>
                  <w:sz w:val="20"/>
                  <w:szCs w:val="20"/>
                  <w:color w:val="0000EE"/>
                  <w:w w:val="91"/>
                </w:rPr>
                <w:t>Item 6.</w:t>
              </w:r>
            </w:hyperlink>
          </w:p>
        </w:tc>
        <w:tc>
          <w:tcPr>
            <w:tcW w:w="1980" w:type="dxa"/>
            <w:vAlign w:val="bottom"/>
            <w:tcBorders>
              <w:top w:val="single" w:sz="8" w:color="0000EE"/>
            </w:tcBorders>
            <w:gridSpan w:val="7"/>
          </w:tcPr>
          <w:p>
            <w:pPr>
              <w:ind w:left="40"/>
              <w:spacing w:after="0"/>
              <w:rPr>
                <w:rFonts w:ascii="Arial" w:cs="Arial" w:eastAsia="Arial" w:hAnsi="Arial"/>
                <w:sz w:val="20"/>
                <w:szCs w:val="20"/>
                <w:color w:val="0000EE"/>
              </w:rPr>
            </w:pPr>
            <w:hyperlink w:anchor="page44">
              <w:r>
                <w:rPr>
                  <w:rFonts w:ascii="Arial" w:cs="Arial" w:eastAsia="Arial" w:hAnsi="Arial"/>
                  <w:sz w:val="20"/>
                  <w:szCs w:val="20"/>
                  <w:color w:val="0000EE"/>
                </w:rPr>
                <w:t>Exhibits</w:t>
              </w:r>
            </w:hyperlink>
            <w:r>
              <w:rPr>
                <w:rFonts w:ascii="Arial" w:cs="Arial" w:eastAsia="Arial" w:hAnsi="Arial"/>
                <w:sz w:val="20"/>
                <w:szCs w:val="20"/>
                <w:color w:val="000000"/>
              </w:rPr>
              <w:t>.</w:t>
            </w:r>
          </w:p>
        </w:tc>
        <w:tc>
          <w:tcPr>
            <w:tcW w:w="80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36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860" w:type="dxa"/>
            <w:vAlign w:val="bottom"/>
            <w:gridSpan w:val="19"/>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0"/>
        </w:trPr>
        <w:tc>
          <w:tcPr>
            <w:tcW w:w="8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76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00" w:type="dxa"/>
            <w:vAlign w:val="bottom"/>
            <w:tcBorders>
              <w:bottom w:val="single" w:sz="8" w:color="0000EE"/>
            </w:tcBorders>
            <w:gridSpan w:val="5"/>
          </w:tcPr>
          <w:p>
            <w:pPr>
              <w:spacing w:after="0"/>
              <w:rPr>
                <w:rFonts w:ascii="Arial" w:cs="Arial" w:eastAsia="Arial" w:hAnsi="Arial"/>
                <w:sz w:val="20"/>
                <w:szCs w:val="20"/>
                <w:color w:val="0000EE"/>
                <w:w w:val="94"/>
              </w:rPr>
            </w:pPr>
            <w:hyperlink w:anchor="page46">
              <w:r>
                <w:rPr>
                  <w:rFonts w:ascii="Arial" w:cs="Arial" w:eastAsia="Arial" w:hAnsi="Arial"/>
                  <w:sz w:val="20"/>
                  <w:szCs w:val="20"/>
                  <w:color w:val="0000EE"/>
                  <w:w w:val="94"/>
                </w:rPr>
                <w:t>Exhibit Index</w:t>
              </w:r>
            </w:hyperlink>
          </w:p>
        </w:tc>
        <w:tc>
          <w:tcPr>
            <w:tcW w:w="976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INFOMRATION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6"/>
                <w:szCs w:val="16"/>
                <w:color w:val="auto"/>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6"/>
                <w:szCs w:val="16"/>
                <w:color w:val="auto"/>
                <w:w w:val="89"/>
              </w:rPr>
              <w:t>December 31,</w:t>
            </w:r>
          </w:p>
        </w:tc>
        <w:tc>
          <w:tcPr>
            <w:tcW w:w="440" w:type="dxa"/>
            <w:vAlign w:val="bottom"/>
          </w:tcPr>
          <w:p>
            <w:pPr>
              <w:spacing w:after="0"/>
              <w:rPr>
                <w:sz w:val="17"/>
                <w:szCs w:val="17"/>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6"/>
                <w:szCs w:val="16"/>
                <w:color w:val="auto"/>
                <w:w w:val="92"/>
              </w:rPr>
              <w:t>March 31,</w:t>
            </w:r>
          </w:p>
        </w:tc>
        <w:tc>
          <w:tcPr>
            <w:tcW w:w="0" w:type="dxa"/>
            <w:vAlign w:val="bottom"/>
          </w:tcPr>
          <w:p>
            <w:pPr>
              <w:spacing w:after="0"/>
              <w:rPr>
                <w:sz w:val="1"/>
                <w:szCs w:val="1"/>
                <w:color w:val="auto"/>
              </w:rPr>
            </w:pPr>
          </w:p>
        </w:tc>
      </w:tr>
      <w:tr>
        <w:trPr>
          <w:trHeight w:val="219"/>
        </w:trPr>
        <w:tc>
          <w:tcPr>
            <w:tcW w:w="4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2016</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5"/>
              </w:rPr>
              <w:t>2015</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80" w:type="dxa"/>
            <w:vAlign w:val="bottom"/>
            <w:gridSpan w:val="7"/>
          </w:tcPr>
          <w:p>
            <w:pPr>
              <w:jc w:val="center"/>
              <w:ind w:left="799"/>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27,242</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168,409</w:t>
            </w:r>
          </w:p>
        </w:tc>
        <w:tc>
          <w:tcPr>
            <w:tcW w:w="30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 net</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448,048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410,921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Inventories, net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485,367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469,141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505,047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33,164</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Current Assets</w:t>
            </w: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998,315</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1,081,635</w:t>
            </w:r>
          </w:p>
        </w:tc>
        <w:tc>
          <w:tcPr>
            <w:tcW w:w="3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1,045,829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5,778,368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5,613,198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5,694,546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(2,515,387)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(2,457,198)</w:t>
            </w: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(2,329,440)</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6"/>
                <w:szCs w:val="16"/>
                <w:color w:val="auto"/>
              </w:rPr>
              <w:t>Net property, plant and equipment</w:t>
            </w:r>
          </w:p>
        </w:tc>
        <w:tc>
          <w:tcPr>
            <w:tcW w:w="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3,262,981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3,156,000</w:t>
            </w:r>
          </w:p>
        </w:tc>
        <w:tc>
          <w:tcPr>
            <w:tcW w:w="3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3,365,106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2,135,295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2,068,235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Operating permits, net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444,148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444,725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497,841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 net</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65,827</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assets</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142,281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141,189</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102,959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Assets</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7,058,287</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6,957,611</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7,177,319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20" w:type="dxa"/>
            <w:vAlign w:val="bottom"/>
          </w:tcPr>
          <w:p>
            <w:pPr>
              <w:spacing w:after="0"/>
              <w:rPr>
                <w:sz w:val="20"/>
                <w:szCs w:val="20"/>
                <w:color w:val="auto"/>
              </w:rPr>
            </w:pPr>
            <w:r>
              <w:rPr>
                <w:rFonts w:ascii="Arial" w:cs="Arial" w:eastAsia="Arial" w:hAnsi="Arial"/>
                <w:sz w:val="16"/>
                <w:szCs w:val="16"/>
                <w:color w:val="auto"/>
              </w:rPr>
              <w:t>Current Liabilities: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Bank overdraft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174,398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164,718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Accrued salaries, benefits and payroll taxes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30,939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Pension and postretirement benefits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8,168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Accrued insurance and other taxes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62,781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Current maturities of long-term debt and short-term facilities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18,713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current liabilities</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38,577</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54,948</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Current Liabilities</w:t>
            </w:r>
          </w:p>
        </w:tc>
        <w:tc>
          <w:tcPr>
            <w:tcW w:w="9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492,131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366,658</w:t>
            </w:r>
          </w:p>
        </w:tc>
        <w:tc>
          <w:tcPr>
            <w:tcW w:w="3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1,575,327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1,550,061</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Pension, postretirement and postemployment benefits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226,924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224,538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 net</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620,569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583,459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liabilities</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197,700</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172,718</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Liabilities</w:t>
            </w:r>
          </w:p>
        </w:tc>
        <w:tc>
          <w:tcPr>
            <w:tcW w:w="9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3,112,651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2,897,434</w:t>
            </w:r>
          </w:p>
        </w:tc>
        <w:tc>
          <w:tcPr>
            <w:tcW w:w="3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2,835,136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Common stock, par value $0.01 per share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par value $0.01 per share</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3,302,258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3,287,827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3,255,809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(103,833)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(105,622)</w:t>
            </w: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(106,723)</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Retained earnings</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743,593</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874,436</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1,190,807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Shareholders' Equity</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3,942,651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4,057,284</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4,340,566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Noncontrolling interests</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Equity</w:t>
            </w:r>
          </w:p>
        </w:tc>
        <w:tc>
          <w:tcPr>
            <w:tcW w:w="9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3,945,636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4,060,177</w:t>
            </w:r>
          </w:p>
        </w:tc>
        <w:tc>
          <w:tcPr>
            <w:tcW w:w="3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4,342,183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tcPr>
          <w:p>
            <w:pPr>
              <w:ind w:left="260"/>
              <w:spacing w:after="0"/>
              <w:rPr>
                <w:sz w:val="20"/>
                <w:szCs w:val="20"/>
                <w:color w:val="auto"/>
              </w:rPr>
            </w:pPr>
            <w:r>
              <w:rPr>
                <w:rFonts w:ascii="Arial" w:cs="Arial" w:eastAsia="Arial" w:hAnsi="Arial"/>
                <w:sz w:val="16"/>
                <w:szCs w:val="16"/>
                <w:color w:val="auto"/>
              </w:rPr>
              <w:t>Total Liabilities and Equity</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7,058,287</w:t>
            </w:r>
          </w:p>
        </w:tc>
        <w:tc>
          <w:tcPr>
            <w:tcW w:w="1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6,957,611</w:t>
            </w:r>
          </w:p>
        </w:tc>
        <w:tc>
          <w:tcPr>
            <w:tcW w:w="30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7,177,319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4"/>
          </w:tcPr>
          <w:p>
            <w:pPr>
              <w:jc w:val="center"/>
              <w:ind w:left="670"/>
              <w:spacing w:after="0"/>
              <w:rPr>
                <w:sz w:val="20"/>
                <w:szCs w:val="20"/>
                <w:color w:val="auto"/>
              </w:rPr>
            </w:pPr>
            <w:r>
              <w:rPr>
                <w:rFonts w:ascii="Arial" w:cs="Arial" w:eastAsia="Arial" w:hAnsi="Arial"/>
                <w:sz w:val="18"/>
                <w:szCs w:val="18"/>
                <w:color w:val="auto"/>
                <w:w w:val="90"/>
              </w:rPr>
              <w:t>Three Months Ended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color w:val="auto"/>
                <w:w w:val="92"/>
              </w:rPr>
              <w:t>March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gridSpan w:val="5"/>
          </w:tcPr>
          <w:p>
            <w:pPr>
              <w:jc w:val="center"/>
              <w:ind w:right="150"/>
              <w:spacing w:after="0"/>
              <w:rPr>
                <w:sz w:val="20"/>
                <w:szCs w:val="20"/>
                <w:color w:val="auto"/>
              </w:rPr>
            </w:pPr>
            <w:r>
              <w:rPr>
                <w:rFonts w:ascii="Arial" w:cs="Arial" w:eastAsia="Arial" w:hAnsi="Arial"/>
                <w:sz w:val="18"/>
                <w:szCs w:val="18"/>
                <w:i w:val="1"/>
                <w:iCs w:val="1"/>
                <w:color w:val="auto"/>
                <w:w w:val="90"/>
              </w:rPr>
              <w:t>(In Thousands, Except Per Share Data)</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733,960</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631,876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and delivery revenues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788,734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and delivery costs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644,100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expenses and (income), net</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and expenses, net</w:t>
            </w: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Earnings before taxes on income</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Taxes on income</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Consolidated net earnings</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Consolidated Comprehensive Earnings: (See Note 1)</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attributable to Martin Marietta Materials, Inc.</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46,783</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Earnings attributable to noncontrolling interests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 Common Share:</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Basic attributable to common shareholders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23"/>
                <w:szCs w:val="23"/>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attributable to common shareholders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64,158</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67,411</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64,350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67,676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Per Common Share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80" w:type="dxa"/>
            <w:vAlign w:val="bottom"/>
            <w:gridSpan w:val="3"/>
          </w:tcPr>
          <w:p>
            <w:pPr>
              <w:jc w:val="right"/>
              <w:ind w:right="310"/>
              <w:spacing w:after="0"/>
              <w:rPr>
                <w:sz w:val="20"/>
                <w:szCs w:val="20"/>
                <w:color w:val="auto"/>
              </w:rPr>
            </w:pPr>
            <w:r>
              <w:rPr>
                <w:rFonts w:ascii="Arial" w:cs="Arial" w:eastAsia="Arial" w:hAnsi="Arial"/>
                <w:sz w:val="18"/>
                <w:szCs w:val="18"/>
                <w:i w:val="1"/>
                <w:iCs w:val="1"/>
                <w:color w:val="auto"/>
                <w:w w:val="91"/>
              </w:rPr>
              <w:t>(Dollars in Thousands)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45,055</w:t>
            </w:r>
          </w:p>
        </w:tc>
        <w:tc>
          <w:tcPr>
            <w:tcW w:w="28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provided by operating activities:</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68,410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Gain on divestitures and sales of assets</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17,988</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 transactions</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(1,278)</w:t>
            </w:r>
          </w:p>
        </w:tc>
        <w:tc>
          <w:tcPr>
            <w:tcW w:w="1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items, net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(2,036)</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and divestitures:</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net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(29,695)</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Inventories, net</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(13,495)</w:t>
            </w:r>
          </w:p>
        </w:tc>
        <w:tc>
          <w:tcPr>
            <w:tcW w:w="1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9,231</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Other assets and liabilities, net</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(34,300)</w:t>
            </w:r>
          </w:p>
        </w:tc>
        <w:tc>
          <w:tcPr>
            <w:tcW w:w="1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67,008</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(94,228)</w:t>
            </w:r>
          </w:p>
        </w:tc>
        <w:tc>
          <w:tcPr>
            <w:tcW w:w="1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net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(123,000)</w:t>
            </w: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Cash received in acquisition</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3,446</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Repayments from affiliate</w:t>
            </w:r>
          </w:p>
        </w:tc>
        <w:tc>
          <w:tcPr>
            <w:tcW w:w="10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(210,367)</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(63,391)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210,000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debt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(26,390)</w:t>
            </w: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Payments on capital lease obligations</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bank overdraft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(10,235)</w:t>
            </w: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(25,847)</w:t>
            </w:r>
          </w:p>
        </w:tc>
        <w:tc>
          <w:tcPr>
            <w:tcW w:w="1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Issuances of common stock</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(150,000)</w:t>
            </w:r>
          </w:p>
        </w:tc>
        <w:tc>
          <w:tcPr>
            <w:tcW w:w="1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tax benefits from stock-based compensation transactions</w:t>
            </w:r>
          </w:p>
        </w:tc>
        <w:tc>
          <w:tcPr>
            <w:tcW w:w="10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Cash Provided by (Used for) Financing Activities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2,192</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(141,167)</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(52,285)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168,409</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108,651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27,242</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Cash paid for income taxes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10,721</w:t>
            </w:r>
          </w:p>
        </w:tc>
        <w:tc>
          <w:tcPr>
            <w:tcW w:w="2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 OF TOTAL EQUITY</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8"/>
              </w:rPr>
              <w:t>Additional</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Common</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Paid-</w:t>
            </w:r>
          </w:p>
        </w:tc>
        <w:tc>
          <w:tcPr>
            <w:tcW w:w="2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Accumulated Other</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Retained</w:t>
            </w:r>
          </w:p>
        </w:tc>
        <w:tc>
          <w:tcPr>
            <w:tcW w:w="1240" w:type="dxa"/>
            <w:vAlign w:val="bottom"/>
            <w:gridSpan w:val="4"/>
          </w:tcPr>
          <w:p>
            <w:pPr>
              <w:ind w:left="80"/>
              <w:spacing w:after="0"/>
              <w:rPr>
                <w:sz w:val="20"/>
                <w:szCs w:val="20"/>
                <w:color w:val="auto"/>
              </w:rPr>
            </w:pPr>
            <w:r>
              <w:rPr>
                <w:rFonts w:ascii="Arial" w:cs="Arial" w:eastAsia="Arial" w:hAnsi="Arial"/>
                <w:sz w:val="18"/>
                <w:szCs w:val="18"/>
                <w:color w:val="auto"/>
              </w:rPr>
              <w:t>Shareholders'</w:t>
            </w: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Noncontrolling</w:t>
            </w: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Stock</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in Capital</w:t>
            </w:r>
          </w:p>
        </w:tc>
        <w:tc>
          <w:tcPr>
            <w:tcW w:w="1900" w:type="dxa"/>
            <w:vAlign w:val="bottom"/>
            <w:gridSpan w:val="4"/>
          </w:tcPr>
          <w:p>
            <w:pPr>
              <w:jc w:val="right"/>
              <w:ind w:right="200"/>
              <w:spacing w:after="0"/>
              <w:rPr>
                <w:sz w:val="20"/>
                <w:szCs w:val="20"/>
                <w:color w:val="auto"/>
              </w:rPr>
            </w:pPr>
            <w:r>
              <w:rPr>
                <w:rFonts w:ascii="Arial" w:cs="Arial" w:eastAsia="Arial" w:hAnsi="Arial"/>
                <w:sz w:val="18"/>
                <w:szCs w:val="18"/>
                <w:color w:val="auto"/>
                <w:w w:val="99"/>
              </w:rPr>
              <w:t>Comprehensive Loss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Earnings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5"/>
              </w:rPr>
              <w:t>Interests</w:t>
            </w:r>
          </w:p>
        </w:tc>
        <w:tc>
          <w:tcPr>
            <w:tcW w:w="4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r>
      <w:tr>
        <w:trPr>
          <w:trHeight w:val="209"/>
        </w:trPr>
        <w:tc>
          <w:tcPr>
            <w:tcW w:w="20" w:type="dxa"/>
            <w:vAlign w:val="bottom"/>
          </w:tcPr>
          <w:p>
            <w:pPr>
              <w:spacing w:after="0"/>
              <w:rPr>
                <w:sz w:val="18"/>
                <w:szCs w:val="18"/>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Balance at December 31,</w:t>
            </w: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64,479</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$ 3,287,827</w:t>
            </w:r>
          </w:p>
        </w:tc>
        <w:tc>
          <w:tcPr>
            <w:tcW w:w="680" w:type="dxa"/>
            <w:vAlign w:val="bottom"/>
            <w:gridSpan w:val="2"/>
          </w:tcPr>
          <w:p>
            <w:pPr>
              <w:jc w:val="right"/>
              <w:ind w:right="31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(105,622)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874,436</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4,057,284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$ 4,060,177</w:t>
            </w: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45,055</w:t>
            </w:r>
          </w:p>
        </w:tc>
        <w:tc>
          <w:tcPr>
            <w:tcW w:w="8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color w:val="auto"/>
              </w:rPr>
              <w:t>Other comprehensive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color w:val="auto"/>
              </w:rPr>
              <w:t>(loss) earnings,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ind w:left="460"/>
              <w:spacing w:after="0"/>
              <w:rPr>
                <w:sz w:val="20"/>
                <w:szCs w:val="20"/>
                <w:color w:val="auto"/>
              </w:rPr>
            </w:pPr>
            <w:r>
              <w:rPr>
                <w:rFonts w:ascii="Arial" w:cs="Arial" w:eastAsia="Arial" w:hAnsi="Arial"/>
                <w:sz w:val="18"/>
                <w:szCs w:val="18"/>
                <w:color w:val="auto"/>
              </w:rPr>
              <w:t>net of tax</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(25,847)</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(25,847)</w:t>
            </w:r>
          </w:p>
        </w:tc>
      </w:tr>
      <w:tr>
        <w:trPr>
          <w:trHeight w:val="215"/>
        </w:trPr>
        <w:tc>
          <w:tcPr>
            <w:tcW w:w="20" w:type="dxa"/>
            <w:vAlign w:val="bottom"/>
          </w:tcPr>
          <w:p>
            <w:pPr>
              <w:spacing w:after="0"/>
              <w:rPr>
                <w:sz w:val="18"/>
                <w:szCs w:val="18"/>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color w:val="auto"/>
              </w:rPr>
              <w:t>Issuances of common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color w:val="auto"/>
              </w:rPr>
              <w:t>stock for stock</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ind w:left="460"/>
              <w:spacing w:after="0"/>
              <w:rPr>
                <w:sz w:val="20"/>
                <w:szCs w:val="20"/>
                <w:color w:val="auto"/>
              </w:rPr>
            </w:pPr>
            <w:r>
              <w:rPr>
                <w:rFonts w:ascii="Arial" w:cs="Arial" w:eastAsia="Arial" w:hAnsi="Arial"/>
                <w:sz w:val="18"/>
                <w:szCs w:val="18"/>
                <w:color w:val="auto"/>
              </w:rPr>
              <w:t>award plans</w:t>
            </w: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7,203</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7,203</w:t>
            </w: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Repurchases of</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(1,028)</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(149,990)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(150,000)</w:t>
            </w:r>
          </w:p>
        </w:tc>
      </w:tr>
      <w:tr>
        <w:trPr>
          <w:trHeight w:val="215"/>
        </w:trPr>
        <w:tc>
          <w:tcPr>
            <w:tcW w:w="20" w:type="dxa"/>
            <w:vAlign w:val="bottom"/>
          </w:tcPr>
          <w:p>
            <w:pPr>
              <w:spacing w:after="0"/>
              <w:rPr>
                <w:sz w:val="18"/>
                <w:szCs w:val="18"/>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7,228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7,228</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March 31, 2016</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$ 3,302,258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(103,833)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743,593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3,942,651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$ 3,945,636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237" w:lineRule="exact"/>
        <w:rPr>
          <w:sz w:val="20"/>
          <w:szCs w:val="20"/>
          <w:color w:val="auto"/>
        </w:rPr>
      </w:pPr>
    </w:p>
    <w:p>
      <w:pPr>
        <w:ind w:left="380" w:right="8420" w:hanging="372"/>
        <w:spacing w:after="0" w:line="355" w:lineRule="auto"/>
        <w:tabs>
          <w:tab w:leader="none" w:pos="37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57" w:lineRule="auto"/>
        <w:rPr>
          <w:rFonts w:ascii="Arial" w:cs="Arial" w:eastAsia="Arial" w:hAnsi="Arial"/>
          <w:sz w:val="20"/>
          <w:szCs w:val="20"/>
          <w:b w:val="1"/>
          <w:bCs w:val="1"/>
          <w:color w:val="auto"/>
        </w:rPr>
      </w:pPr>
      <w:r>
        <w:rPr>
          <w:rFonts w:ascii="Arial" w:cs="Arial" w:eastAsia="Arial" w:hAnsi="Arial"/>
          <w:sz w:val="19"/>
          <w:szCs w:val="19"/>
          <w:color w:val="auto"/>
        </w:rPr>
        <w:t>Martin Marietta Materials, Inc. (the “Corporation” or “Martin Marietta”) is engaged principally in the construction aggregates business. The aggregates product line accounted for 55% of 2015 consolidated net sales and includes crushed stone, sand and gravel, and is used for construction of highways and other infrastructure projects, and in the nonresidential and residential construction industries. Aggregates products are also used in the railroad, agricultural, utility and environmental industries. These aggregates products, along with the Corporation’s aggregates-related downstream product lines, which accounted for 27% of 2015 consolidated net sales and include asphalt products, ready mixed concrete and road paving construction services, are sold and shipped from a network of more than 400 quarries, distribution facilities and plants in 26 states, Nova Scotia and the Bahamas. The aggregates and aggregates-related downstream product lines are reported collectively as the “Aggregates business”.</w:t>
      </w:r>
    </w:p>
    <w:p>
      <w:pPr>
        <w:spacing w:after="0" w:line="181"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 currently conducts the Aggregates business through three reportable segments: the Mid-America Group, the Southeast Group and the West Group.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AGGREGATES BUSINESS</w:t>
      </w:r>
    </w:p>
    <w:p>
      <w:pPr>
        <w:spacing w:after="0" w:line="22"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30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Mid-America Group</w:t>
            </w:r>
          </w:p>
        </w:tc>
        <w:tc>
          <w:tcPr>
            <w:tcW w:w="2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8"/>
              </w:rPr>
              <w:t>Southeast Group</w:t>
            </w: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40" w:type="dxa"/>
            <w:vAlign w:val="bottom"/>
          </w:tcPr>
          <w:p>
            <w:pPr>
              <w:spacing w:after="0"/>
              <w:rPr>
                <w:sz w:val="17"/>
                <w:szCs w:val="17"/>
                <w:color w:val="auto"/>
              </w:rPr>
            </w:pPr>
          </w:p>
        </w:tc>
        <w:tc>
          <w:tcPr>
            <w:tcW w:w="28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Indiana, Iowa,</w:t>
            </w:r>
          </w:p>
        </w:tc>
        <w:tc>
          <w:tcPr>
            <w:tcW w:w="140" w:type="dxa"/>
            <w:vAlign w:val="bottom"/>
          </w:tcPr>
          <w:p>
            <w:pPr>
              <w:spacing w:after="0"/>
              <w:rPr>
                <w:sz w:val="17"/>
                <w:szCs w:val="17"/>
                <w:color w:val="auto"/>
              </w:rPr>
            </w:pPr>
          </w:p>
        </w:tc>
        <w:tc>
          <w:tcPr>
            <w:tcW w:w="25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w:t>
            </w:r>
          </w:p>
        </w:tc>
        <w:tc>
          <w:tcPr>
            <w:tcW w:w="120" w:type="dxa"/>
            <w:vAlign w:val="bottom"/>
          </w:tcPr>
          <w:p>
            <w:pPr>
              <w:spacing w:after="0"/>
              <w:rPr>
                <w:sz w:val="17"/>
                <w:szCs w:val="17"/>
                <w:color w:val="auto"/>
              </w:rPr>
            </w:pPr>
          </w:p>
        </w:tc>
        <w:tc>
          <w:tcPr>
            <w:tcW w:w="26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southern</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northern Kansas, Kentucky,</w:t>
            </w:r>
          </w:p>
        </w:tc>
        <w:tc>
          <w:tcPr>
            <w:tcW w:w="2620" w:type="dxa"/>
            <w:vAlign w:val="bottom"/>
            <w:gridSpan w:val="2"/>
          </w:tcPr>
          <w:p>
            <w:pPr>
              <w:ind w:left="800"/>
              <w:spacing w:after="0"/>
              <w:rPr>
                <w:sz w:val="20"/>
                <w:szCs w:val="20"/>
                <w:color w:val="auto"/>
              </w:rPr>
            </w:pPr>
            <w:r>
              <w:rPr>
                <w:rFonts w:ascii="Arial" w:cs="Arial" w:eastAsia="Arial" w:hAnsi="Arial"/>
                <w:sz w:val="20"/>
                <w:szCs w:val="20"/>
                <w:color w:val="auto"/>
              </w:rPr>
              <w:t>Tennessee,</w:t>
            </w:r>
          </w:p>
        </w:tc>
        <w:tc>
          <w:tcPr>
            <w:tcW w:w="2680" w:type="dxa"/>
            <w:vAlign w:val="bottom"/>
          </w:tcPr>
          <w:p>
            <w:pPr>
              <w:jc w:val="center"/>
              <w:spacing w:after="0"/>
              <w:rPr>
                <w:sz w:val="20"/>
                <w:szCs w:val="20"/>
                <w:color w:val="auto"/>
              </w:rPr>
            </w:pPr>
            <w:r>
              <w:rPr>
                <w:rFonts w:ascii="Arial" w:cs="Arial" w:eastAsia="Arial" w:hAnsi="Arial"/>
                <w:sz w:val="20"/>
                <w:szCs w:val="20"/>
                <w:color w:val="auto"/>
                <w:w w:val="85"/>
              </w:rPr>
              <w:t>Kansas,</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Maryland, Minnesota, Missouri,</w:t>
            </w:r>
          </w:p>
        </w:tc>
        <w:tc>
          <w:tcPr>
            <w:tcW w:w="262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Nova Scotia and the Bahamas</w:t>
            </w:r>
          </w:p>
        </w:tc>
        <w:tc>
          <w:tcPr>
            <w:tcW w:w="2680" w:type="dxa"/>
            <w:vAlign w:val="bottom"/>
          </w:tcPr>
          <w:p>
            <w:pPr>
              <w:jc w:val="center"/>
              <w:spacing w:after="0"/>
              <w:rPr>
                <w:sz w:val="20"/>
                <w:szCs w:val="20"/>
                <w:color w:val="auto"/>
              </w:rPr>
            </w:pPr>
            <w:r>
              <w:rPr>
                <w:rFonts w:ascii="Arial" w:cs="Arial" w:eastAsia="Arial" w:hAnsi="Arial"/>
                <w:sz w:val="20"/>
                <w:szCs w:val="20"/>
                <w:color w:val="auto"/>
                <w:w w:val="88"/>
              </w:rPr>
              <w:t>Louisiana, western Nebraska,</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20"/>
                <w:szCs w:val="20"/>
                <w:color w:val="auto"/>
                <w:w w:val="88"/>
              </w:rPr>
              <w:t>eastern Nebraska, North Carolina,</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20"/>
                <w:szCs w:val="20"/>
                <w:color w:val="auto"/>
                <w:w w:val="88"/>
              </w:rPr>
              <w:t>Nevada, Oklahoma, Texas, Utah</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Ohio,</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20"/>
                <w:szCs w:val="20"/>
                <w:color w:val="auto"/>
                <w:w w:val="91"/>
              </w:rPr>
              <w:t>and Wyoming</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South Carolina,</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Virginia, Washington and</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50"/>
        </w:trPr>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West Virginia</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bl>
    <w:p>
      <w:pPr>
        <w:spacing w:after="0" w:line="195" w:lineRule="exact"/>
        <w:rPr>
          <w:sz w:val="20"/>
          <w:szCs w:val="20"/>
          <w:color w:val="auto"/>
        </w:rPr>
      </w:pPr>
    </w:p>
    <w:p>
      <w:pPr>
        <w:jc w:val="both"/>
        <w:ind w:left="380"/>
        <w:spacing w:after="0" w:line="260" w:lineRule="auto"/>
        <w:rPr>
          <w:sz w:val="20"/>
          <w:szCs w:val="20"/>
          <w:color w:val="auto"/>
        </w:rPr>
      </w:pPr>
      <w:r>
        <w:rPr>
          <w:rFonts w:ascii="Arial" w:cs="Arial" w:eastAsia="Arial" w:hAnsi="Arial"/>
          <w:sz w:val="19"/>
          <w:szCs w:val="19"/>
          <w:color w:val="auto"/>
        </w:rPr>
        <w:t>The Corporation has a Cement segment, which accounted for 11% of 2015 consolidated net sales. The Cement segment has production facilities located in Midlothian, Texas, south of Dallas/Fort Worth and Hunter, Texas, north of San Antonio. The Cement business produces Portland and specialty cements. Similar to the Aggregates business, cement is used in infrastructure projects, nonresidential and residential construction, and the railroad, agricultural, utility and environmental industries. The high calcium limestone reserves, used as a raw material, are owned by the Cement business and are adjacent to each of the plants.</w:t>
      </w:r>
    </w:p>
    <w:p>
      <w:pPr>
        <w:spacing w:after="0" w:line="181"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The Corporation has a Magnesia Specialties segment with manufacturing facilities in Manistee, Michigan, and Woodville, Ohio. The Magnesia Specialties segment, which accounted for 7% of 2015 consolidated net sales, produces magnesia-based chemicals products used in industrial, agricultural and environmental applications and dolomitic lime sold primarily to customers in the steel industry.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right="7400" w:hanging="372"/>
        <w:spacing w:after="0" w:line="355" w:lineRule="auto"/>
        <w:tabs>
          <w:tab w:leader="none" w:pos="37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Basis of Presentation</w:t>
      </w:r>
    </w:p>
    <w:p>
      <w:pPr>
        <w:jc w:val="both"/>
        <w:ind w:left="38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The accompanying unaudited consolidated financial statements of the Corporation have been prepared in accordance with generally accepted accounting principles for interim financial information and with the instructions to the Quarterly Report on Form 10-Q and in Article 10 of Regulation S-X. The Corporation has continued to follow the accounting policies set forth in the audited consolidated financial statements and related notes thereto included in the Corporation’s Annual Report on Form 10-K for the year ended December 31, 2015. In the opinion of management, the interim consolidated financial information provided herein reflects all adjustments, consisting of normal recurring accruals, necessary for a fair presentation of the results of operations, financial position and cash flows for the interim periods. The consolidated results of operations for the three months ended March 31, 2016 are not indicative of the results expected for other interim periods or the full year. The consolidated balance sheet at December 31, 2015 has been derived from the audited consolidated financial statements at that date but does not include all of the information and notes required by generally accepted accounting principles for complete financial statements. These consolidated financial statements should be read in conjunction with the audited consolidated financial statements and notes thereto included in the Corporation’s Annual Report on Form 10-K for the year ended December 31, 2015.</w:t>
      </w:r>
    </w:p>
    <w:p>
      <w:pPr>
        <w:spacing w:after="0" w:line="164"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Debt Issuance Costs</w:t>
      </w:r>
    </w:p>
    <w:p>
      <w:pPr>
        <w:spacing w:after="0" w:line="113" w:lineRule="exact"/>
        <w:rPr>
          <w:rFonts w:ascii="Arial" w:cs="Arial" w:eastAsia="Arial" w:hAnsi="Arial"/>
          <w:sz w:val="20"/>
          <w:szCs w:val="20"/>
          <w:b w:val="1"/>
          <w:bCs w:val="1"/>
          <w:color w:val="auto"/>
        </w:rPr>
      </w:pPr>
    </w:p>
    <w:p>
      <w:pPr>
        <w:jc w:val="both"/>
        <w:ind w:left="380"/>
        <w:spacing w:after="0" w:line="257" w:lineRule="auto"/>
        <w:rPr>
          <w:rFonts w:ascii="Arial" w:cs="Arial" w:eastAsia="Arial" w:hAnsi="Arial"/>
          <w:sz w:val="20"/>
          <w:szCs w:val="20"/>
          <w:b w:val="1"/>
          <w:bCs w:val="1"/>
          <w:color w:val="auto"/>
        </w:rPr>
      </w:pPr>
      <w:r>
        <w:rPr>
          <w:rFonts w:ascii="Arial" w:cs="Arial" w:eastAsia="Arial" w:hAnsi="Arial"/>
          <w:sz w:val="19"/>
          <w:szCs w:val="19"/>
          <w:color w:val="auto"/>
        </w:rPr>
        <w:t xml:space="preserve">The Financial Accounting Standards Board (“FASB”) issued Accounting Standard Update (“ASU”) 2015-03, </w:t>
      </w:r>
      <w:r>
        <w:rPr>
          <w:rFonts w:ascii="Arial" w:cs="Arial" w:eastAsia="Arial" w:hAnsi="Arial"/>
          <w:sz w:val="19"/>
          <w:szCs w:val="19"/>
          <w:i w:val="1"/>
          <w:iCs w:val="1"/>
          <w:color w:val="auto"/>
        </w:rPr>
        <w:t>“Simplifying the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Presentation of Debt Issuance Costs” </w:t>
      </w:r>
      <w:r>
        <w:rPr>
          <w:rFonts w:ascii="Arial" w:cs="Arial" w:eastAsia="Arial" w:hAnsi="Arial"/>
          <w:sz w:val="19"/>
          <w:szCs w:val="19"/>
          <w:color w:val="auto"/>
        </w:rPr>
        <w:t>(“ASU 2015-03”), which amends the presentation of debt issuance costs in the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statements. The ASU requires an entity to present debt issuance costs related to a recognized debt liability in the balance sheet as a direct deduction from the carrying amount of the debt liability, consistent with debt discounts, and does not impact the recognition and measurement guidance for debt issuance costs. The Corporation adopted this ASU on January 1, 2016 and has retrospectively adjusted the prior periods presented, resulting in a reclassification of $3,588,000 and $4,427,000 from </w:t>
      </w:r>
      <w:r>
        <w:rPr>
          <w:rFonts w:ascii="Arial" w:cs="Arial" w:eastAsia="Arial" w:hAnsi="Arial"/>
          <w:sz w:val="19"/>
          <w:szCs w:val="19"/>
          <w:i w:val="1"/>
          <w:iCs w:val="1"/>
          <w:color w:val="auto"/>
        </w:rPr>
        <w:t>Other noncurrent assets</w:t>
      </w:r>
      <w:r>
        <w:rPr>
          <w:rFonts w:ascii="Arial" w:cs="Arial" w:eastAsia="Arial" w:hAnsi="Arial"/>
          <w:sz w:val="19"/>
          <w:szCs w:val="19"/>
          <w:color w:val="auto"/>
        </w:rPr>
        <w:t xml:space="preserve"> to </w:t>
      </w:r>
      <w:r>
        <w:rPr>
          <w:rFonts w:ascii="Arial" w:cs="Arial" w:eastAsia="Arial" w:hAnsi="Arial"/>
          <w:sz w:val="19"/>
          <w:szCs w:val="19"/>
          <w:i w:val="1"/>
          <w:iCs w:val="1"/>
          <w:color w:val="auto"/>
        </w:rPr>
        <w:t>Long-term debt</w:t>
      </w:r>
      <w:r>
        <w:rPr>
          <w:rFonts w:ascii="Arial" w:cs="Arial" w:eastAsia="Arial" w:hAnsi="Arial"/>
          <w:sz w:val="19"/>
          <w:szCs w:val="19"/>
          <w:color w:val="auto"/>
        </w:rPr>
        <w:t xml:space="preserve"> as of December 31, 2015 and March 31, 2015, respectively, and $533,000 from </w:t>
      </w:r>
      <w:r>
        <w:rPr>
          <w:rFonts w:ascii="Arial" w:cs="Arial" w:eastAsia="Arial" w:hAnsi="Arial"/>
          <w:sz w:val="19"/>
          <w:szCs w:val="19"/>
          <w:i w:val="1"/>
          <w:iCs w:val="1"/>
          <w:color w:val="auto"/>
        </w:rPr>
        <w:t>Other current assets</w:t>
      </w:r>
      <w:r>
        <w:rPr>
          <w:rFonts w:ascii="Arial" w:cs="Arial" w:eastAsia="Arial" w:hAnsi="Arial"/>
          <w:sz w:val="19"/>
          <w:szCs w:val="19"/>
          <w:color w:val="auto"/>
        </w:rPr>
        <w:t xml:space="preserve"> to </w:t>
      </w:r>
      <w:r>
        <w:rPr>
          <w:rFonts w:ascii="Arial" w:cs="Arial" w:eastAsia="Arial" w:hAnsi="Arial"/>
          <w:sz w:val="19"/>
          <w:szCs w:val="19"/>
          <w:i w:val="1"/>
          <w:iCs w:val="1"/>
          <w:color w:val="auto"/>
        </w:rPr>
        <w:t>Current maturities of long-term debt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short-term maturities </w:t>
      </w:r>
      <w:r>
        <w:rPr>
          <w:rFonts w:ascii="Arial" w:cs="Arial" w:eastAsia="Arial" w:hAnsi="Arial"/>
          <w:sz w:val="19"/>
          <w:szCs w:val="19"/>
          <w:color w:val="auto"/>
        </w:rPr>
        <w:t>as of December 31, 2015 and March 31, 2015.</w:t>
      </w:r>
    </w:p>
    <w:p>
      <w:pPr>
        <w:spacing w:after="0" w:line="175"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Standard</w:t>
      </w:r>
    </w:p>
    <w:p>
      <w:pPr>
        <w:spacing w:after="0" w:line="113" w:lineRule="exact"/>
        <w:rPr>
          <w:rFonts w:ascii="Arial" w:cs="Arial" w:eastAsia="Arial" w:hAnsi="Arial"/>
          <w:sz w:val="20"/>
          <w:szCs w:val="20"/>
          <w:b w:val="1"/>
          <w:bCs w:val="1"/>
          <w:color w:val="auto"/>
        </w:rPr>
      </w:pPr>
    </w:p>
    <w:p>
      <w:pPr>
        <w:jc w:val="both"/>
        <w:ind w:left="380"/>
        <w:spacing w:after="0" w:line="328" w:lineRule="auto"/>
        <w:rPr>
          <w:rFonts w:ascii="Arial" w:cs="Arial" w:eastAsia="Arial" w:hAnsi="Arial"/>
          <w:sz w:val="20"/>
          <w:szCs w:val="20"/>
          <w:b w:val="1"/>
          <w:bCs w:val="1"/>
          <w:color w:val="auto"/>
        </w:rPr>
      </w:pPr>
      <w:r>
        <w:rPr>
          <w:rFonts w:ascii="Arial" w:cs="Arial" w:eastAsia="Arial" w:hAnsi="Arial"/>
          <w:sz w:val="16"/>
          <w:szCs w:val="16"/>
          <w:color w:val="auto"/>
        </w:rPr>
        <w:t>The FASB issued an accounting standard update that amends the accounting guidance on revenue recognition. The new standard intends to provide a more robust framework for addressing revenue issues, improve comparability of revenue recognition practices and improve disclosure requirements. The new standard is effective January 1, 2018 and can be applied on a full retrospective or modified retrospective approach. The Corporation is currently evaluating the impact the provisions of the new standard will have on its financial statements.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right="7400" w:hanging="372"/>
        <w:spacing w:after="0" w:line="355" w:lineRule="auto"/>
        <w:tabs>
          <w:tab w:leader="none" w:pos="37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Lease Standard</w:t>
      </w: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color w:val="auto"/>
        </w:rPr>
        <w:t xml:space="preserve">In February 2016, the FASB issued a new accounting standard, </w:t>
      </w:r>
      <w:r>
        <w:rPr>
          <w:rFonts w:ascii="Arial" w:cs="Arial" w:eastAsia="Arial" w:hAnsi="Arial"/>
          <w:sz w:val="19"/>
          <w:szCs w:val="19"/>
          <w:i w:val="1"/>
          <w:iCs w:val="1"/>
          <w:color w:val="auto"/>
        </w:rPr>
        <w:t>Accounting Codification Standard 842 – Leases,</w:t>
      </w:r>
      <w:r>
        <w:rPr>
          <w:rFonts w:ascii="Arial" w:cs="Arial" w:eastAsia="Arial" w:hAnsi="Arial"/>
          <w:sz w:val="19"/>
          <w:szCs w:val="19"/>
          <w:color w:val="auto"/>
        </w:rPr>
        <w:t xml:space="preserve"> intending to improve financial reporting of leases and to provide more transparency into off-balance sheet leasing obligations. The guidance requires virtually all leases, excluding mineral interest leases, to be recorded on the balance sheet and provides guidance on the recognition of lease expense and income. The new standard is effective January 1, 2019 and must be applied on a modified retrospective approach. The Corporation is currently evaluating the impact the new standard will have on its financial statements.</w:t>
      </w:r>
    </w:p>
    <w:p>
      <w:pPr>
        <w:spacing w:after="0" w:line="66"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Share-based Payment Standard</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 xml:space="preserve">In March 2016, the FASB issued ASU 2016-09, </w:t>
      </w:r>
      <w:r>
        <w:rPr>
          <w:rFonts w:ascii="Arial" w:cs="Arial" w:eastAsia="Arial" w:hAnsi="Arial"/>
          <w:sz w:val="20"/>
          <w:szCs w:val="20"/>
          <w:i w:val="1"/>
          <w:iCs w:val="1"/>
          <w:color w:val="auto"/>
        </w:rPr>
        <w:t>“Compensation—Stock Compensation (Topic 718): Improvements to Employee Share-Based Payment Accounting”</w:t>
      </w:r>
      <w:r>
        <w:rPr>
          <w:rFonts w:ascii="Arial" w:cs="Arial" w:eastAsia="Arial" w:hAnsi="Arial"/>
          <w:sz w:val="20"/>
          <w:szCs w:val="20"/>
          <w:color w:val="auto"/>
        </w:rPr>
        <w:t>, which simplifies certain aspects of accounting guidance and requirements for share-based transactions. The</w:t>
      </w:r>
      <w:r>
        <w:rPr>
          <w:rFonts w:ascii="Arial" w:cs="Arial" w:eastAsia="Arial" w:hAnsi="Arial"/>
          <w:sz w:val="20"/>
          <w:szCs w:val="20"/>
          <w:i w:val="1"/>
          <w:iCs w:val="1"/>
          <w:color w:val="auto"/>
        </w:rPr>
        <w:t xml:space="preserve"> </w:t>
      </w:r>
      <w:r>
        <w:rPr>
          <w:rFonts w:ascii="Arial" w:cs="Arial" w:eastAsia="Arial" w:hAnsi="Arial"/>
          <w:sz w:val="20"/>
          <w:szCs w:val="20"/>
          <w:color w:val="auto"/>
        </w:rPr>
        <w:t>ASU is effective for reporting periods beginning January 1, 2017. The Corporation is evaluating the impact of the ASU on its financial statements.</w:t>
      </w:r>
    </w:p>
    <w:p>
      <w:pPr>
        <w:spacing w:after="0" w:line="185"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Consolidated comprehensive earnings/loss for the Corporation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Corporation’s consolidated statements of earnings and comprehensive earnings.</w:t>
      </w:r>
    </w:p>
    <w:p>
      <w:pPr>
        <w:spacing w:after="0" w:line="8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Martin Marietta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40" w:type="dxa"/>
            <w:vAlign w:val="bottom"/>
            <w:gridSpan w:val="5"/>
          </w:tcPr>
          <w:p>
            <w:pPr>
              <w:jc w:val="center"/>
              <w:ind w:left="441"/>
              <w:spacing w:after="0"/>
              <w:rPr>
                <w:sz w:val="20"/>
                <w:szCs w:val="20"/>
                <w:color w:val="auto"/>
              </w:rPr>
            </w:pPr>
            <w:r>
              <w:rPr>
                <w:rFonts w:ascii="Arial" w:cs="Arial" w:eastAsia="Arial" w:hAnsi="Arial"/>
                <w:sz w:val="20"/>
                <w:szCs w:val="20"/>
                <w:color w:val="auto"/>
                <w:w w:val="89"/>
              </w:rPr>
              <w:t>Three Months Ended</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center"/>
              <w:ind w:right="511"/>
              <w:spacing w:after="0"/>
              <w:rPr>
                <w:sz w:val="20"/>
                <w:szCs w:val="20"/>
                <w:color w:val="auto"/>
              </w:rPr>
            </w:pPr>
            <w:r>
              <w:rPr>
                <w:rFonts w:ascii="Arial" w:cs="Arial" w:eastAsia="Arial" w:hAnsi="Arial"/>
                <w:sz w:val="20"/>
                <w:szCs w:val="20"/>
                <w:color w:val="auto"/>
                <w:w w:val="92"/>
              </w:rPr>
              <w:t>March 31,</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2016</w:t>
            </w: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20"/>
                <w:szCs w:val="20"/>
                <w:color w:val="auto"/>
              </w:rPr>
              <w:t>2015</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40" w:type="dxa"/>
            <w:vAlign w:val="bottom"/>
            <w:gridSpan w:val="5"/>
          </w:tcPr>
          <w:p>
            <w:pPr>
              <w:jc w:val="center"/>
              <w:ind w:left="441"/>
              <w:spacing w:after="0"/>
              <w:rPr>
                <w:sz w:val="20"/>
                <w:szCs w:val="20"/>
                <w:color w:val="auto"/>
              </w:rPr>
            </w:pPr>
            <w:r>
              <w:rPr>
                <w:rFonts w:ascii="Arial" w:cs="Arial" w:eastAsia="Arial" w:hAnsi="Arial"/>
                <w:sz w:val="20"/>
                <w:szCs w:val="20"/>
                <w:i w:val="1"/>
                <w:iCs w:val="1"/>
                <w:color w:val="auto"/>
                <w:w w:val="91"/>
              </w:rPr>
              <w:t>(Dollars in Thousands)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620" w:type="dxa"/>
            <w:vAlign w:val="bottom"/>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080" w:type="dxa"/>
            <w:vAlign w:val="bottom"/>
            <w:gridSpan w:val="2"/>
          </w:tcPr>
          <w:p>
            <w:pPr>
              <w:jc w:val="right"/>
              <w:ind w:right="88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44,994</w:t>
            </w:r>
          </w:p>
        </w:tc>
        <w:tc>
          <w:tcPr>
            <w:tcW w:w="300" w:type="dxa"/>
            <w:vAlign w:val="bottom"/>
          </w:tcPr>
          <w:p>
            <w:pPr>
              <w:spacing w:after="0"/>
              <w:rPr>
                <w:sz w:val="21"/>
                <w:szCs w:val="21"/>
                <w:color w:val="auto"/>
              </w:rPr>
            </w:pPr>
          </w:p>
        </w:tc>
        <w:tc>
          <w:tcPr>
            <w:tcW w:w="1140" w:type="dxa"/>
            <w:vAlign w:val="bottom"/>
            <w:gridSpan w:val="2"/>
          </w:tcPr>
          <w:p>
            <w:pPr>
              <w:jc w:val="right"/>
              <w:ind w:right="101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6,126</w:t>
            </w:r>
          </w:p>
        </w:tc>
        <w:tc>
          <w:tcPr>
            <w:tcW w:w="100" w:type="dxa"/>
            <w:vAlign w:val="bottom"/>
          </w:tcPr>
          <w:p>
            <w:pPr>
              <w:spacing w:after="0"/>
              <w:rPr>
                <w:sz w:val="21"/>
                <w:szCs w:val="21"/>
                <w:color w:val="auto"/>
              </w:rPr>
            </w:pPr>
          </w:p>
        </w:tc>
      </w:tr>
      <w:tr>
        <w:trPr>
          <w:trHeight w:val="243"/>
        </w:trPr>
        <w:tc>
          <w:tcPr>
            <w:tcW w:w="662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earnings (loss), net of tax</w:t>
            </w:r>
          </w:p>
        </w:tc>
        <w:tc>
          <w:tcPr>
            <w:tcW w:w="10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1,789</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(564)</w:t>
            </w:r>
          </w:p>
        </w:tc>
      </w:tr>
      <w:tr>
        <w:trPr>
          <w:trHeight w:val="237"/>
        </w:trPr>
        <w:tc>
          <w:tcPr>
            <w:tcW w:w="6620" w:type="dxa"/>
            <w:vAlign w:val="bottom"/>
          </w:tcPr>
          <w:p>
            <w:pPr>
              <w:spacing w:after="0"/>
              <w:rPr>
                <w:sz w:val="20"/>
                <w:szCs w:val="20"/>
                <w:color w:val="auto"/>
              </w:rPr>
            </w:pPr>
            <w:r>
              <w:rPr>
                <w:rFonts w:ascii="Arial" w:cs="Arial" w:eastAsia="Arial" w:hAnsi="Arial"/>
                <w:sz w:val="20"/>
                <w:szCs w:val="20"/>
                <w:color w:val="auto"/>
              </w:rPr>
              <w:t>Comprehensive earnings attributable to Martin Marietta Materials, Inc.</w:t>
            </w:r>
          </w:p>
        </w:tc>
        <w:tc>
          <w:tcPr>
            <w:tcW w:w="10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4"/>
              </w:rPr>
              <w:t>46,783</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5,562</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noncontrolling interests, consisting of net earnings and adjustments for the funded status of pension and postretirement benefit plans,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20" w:type="dxa"/>
            <w:vAlign w:val="bottom"/>
          </w:tcPr>
          <w:p>
            <w:pPr>
              <w:spacing w:after="0"/>
              <w:rPr>
                <w:sz w:val="21"/>
                <w:szCs w:val="21"/>
                <w:color w:val="auto"/>
              </w:rPr>
            </w:pPr>
          </w:p>
        </w:tc>
        <w:tc>
          <w:tcPr>
            <w:tcW w:w="3340" w:type="dxa"/>
            <w:vAlign w:val="bottom"/>
            <w:gridSpan w:val="5"/>
          </w:tcPr>
          <w:p>
            <w:pPr>
              <w:jc w:val="center"/>
              <w:ind w:left="341"/>
              <w:spacing w:after="0"/>
              <w:rPr>
                <w:sz w:val="20"/>
                <w:szCs w:val="20"/>
                <w:color w:val="auto"/>
              </w:rPr>
            </w:pPr>
            <w:r>
              <w:rPr>
                <w:rFonts w:ascii="Arial" w:cs="Arial" w:eastAsia="Arial" w:hAnsi="Arial"/>
                <w:sz w:val="20"/>
                <w:szCs w:val="20"/>
                <w:color w:val="auto"/>
                <w:w w:val="88"/>
              </w:rPr>
              <w:t>Three Months Ended</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75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center"/>
              <w:ind w:right="763"/>
              <w:spacing w:after="0"/>
              <w:rPr>
                <w:sz w:val="20"/>
                <w:szCs w:val="20"/>
                <w:color w:val="auto"/>
              </w:rPr>
            </w:pPr>
            <w:r>
              <w:rPr>
                <w:rFonts w:ascii="Arial" w:cs="Arial" w:eastAsia="Arial" w:hAnsi="Arial"/>
                <w:sz w:val="20"/>
                <w:szCs w:val="20"/>
                <w:color w:val="auto"/>
                <w:w w:val="92"/>
              </w:rPr>
              <w:t>March 31,</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520" w:type="dxa"/>
            <w:vAlign w:val="bottom"/>
          </w:tcPr>
          <w:p>
            <w:pPr>
              <w:spacing w:after="0"/>
              <w:rPr>
                <w:sz w:val="20"/>
                <w:szCs w:val="20"/>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2016</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20"/>
                <w:szCs w:val="20"/>
                <w:color w:val="auto"/>
              </w:rPr>
              <w:t>2015</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7520" w:type="dxa"/>
            <w:vAlign w:val="bottom"/>
          </w:tcPr>
          <w:p>
            <w:pPr>
              <w:spacing w:after="0"/>
              <w:rPr>
                <w:sz w:val="20"/>
                <w:szCs w:val="20"/>
                <w:color w:val="auto"/>
              </w:rPr>
            </w:pPr>
          </w:p>
        </w:tc>
        <w:tc>
          <w:tcPr>
            <w:tcW w:w="3340" w:type="dxa"/>
            <w:vAlign w:val="bottom"/>
            <w:gridSpan w:val="5"/>
          </w:tcPr>
          <w:p>
            <w:pPr>
              <w:jc w:val="center"/>
              <w:ind w:left="341"/>
              <w:spacing w:after="0"/>
              <w:rPr>
                <w:sz w:val="20"/>
                <w:szCs w:val="20"/>
                <w:color w:val="auto"/>
              </w:rPr>
            </w:pPr>
            <w:r>
              <w:rPr>
                <w:rFonts w:ascii="Arial" w:cs="Arial" w:eastAsia="Arial" w:hAnsi="Arial"/>
                <w:sz w:val="20"/>
                <w:szCs w:val="20"/>
                <w:i w:val="1"/>
                <w:iCs w:val="1"/>
                <w:color w:val="auto"/>
                <w:w w:val="92"/>
              </w:rPr>
              <w:t>(Dollars in Thousands)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520" w:type="dxa"/>
            <w:vAlign w:val="bottom"/>
          </w:tcPr>
          <w:p>
            <w:pPr>
              <w:spacing w:after="0"/>
              <w:rPr>
                <w:sz w:val="20"/>
                <w:szCs w:val="20"/>
                <w:color w:val="auto"/>
              </w:rPr>
            </w:pPr>
            <w:r>
              <w:rPr>
                <w:rFonts w:ascii="Arial" w:cs="Arial" w:eastAsia="Arial" w:hAnsi="Arial"/>
                <w:sz w:val="20"/>
                <w:szCs w:val="20"/>
                <w:color w:val="auto"/>
              </w:rPr>
              <w:t>Net earnings attributable to noncontrolling interests</w:t>
            </w:r>
          </w:p>
        </w:tc>
        <w:tc>
          <w:tcPr>
            <w:tcW w:w="1280" w:type="dxa"/>
            <w:vAlign w:val="bottom"/>
          </w:tcPr>
          <w:p>
            <w:pPr>
              <w:jc w:val="right"/>
              <w:ind w:right="1081"/>
              <w:spacing w:after="0"/>
              <w:rPr>
                <w:sz w:val="20"/>
                <w:szCs w:val="20"/>
                <w:color w:val="auto"/>
              </w:rPr>
            </w:pPr>
            <w:r>
              <w:rPr>
                <w:rFonts w:ascii="Arial" w:cs="Arial" w:eastAsia="Arial" w:hAnsi="Arial"/>
                <w:sz w:val="20"/>
                <w:szCs w:val="20"/>
                <w:color w:val="auto"/>
                <w:w w:val="71"/>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61</w:t>
            </w:r>
          </w:p>
        </w:tc>
        <w:tc>
          <w:tcPr>
            <w:tcW w:w="300" w:type="dxa"/>
            <w:vAlign w:val="bottom"/>
          </w:tcPr>
          <w:p>
            <w:pPr>
              <w:spacing w:after="0"/>
              <w:rPr>
                <w:sz w:val="21"/>
                <w:szCs w:val="21"/>
                <w:color w:val="auto"/>
              </w:rPr>
            </w:pPr>
          </w:p>
        </w:tc>
        <w:tc>
          <w:tcPr>
            <w:tcW w:w="1300" w:type="dxa"/>
            <w:vAlign w:val="bottom"/>
            <w:gridSpan w:val="2"/>
          </w:tcPr>
          <w:p>
            <w:pPr>
              <w:jc w:val="right"/>
              <w:ind w:right="1123"/>
              <w:spacing w:after="0"/>
              <w:rPr>
                <w:sz w:val="20"/>
                <w:szCs w:val="20"/>
                <w:color w:val="auto"/>
              </w:rPr>
            </w:pPr>
            <w:r>
              <w:rPr>
                <w:rFonts w:ascii="Arial" w:cs="Arial" w:eastAsia="Arial" w:hAnsi="Arial"/>
                <w:sz w:val="20"/>
                <w:szCs w:val="20"/>
                <w:color w:val="auto"/>
                <w:w w:val="71"/>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33</w:t>
            </w:r>
          </w:p>
        </w:tc>
        <w:tc>
          <w:tcPr>
            <w:tcW w:w="100" w:type="dxa"/>
            <w:vAlign w:val="bottom"/>
          </w:tcPr>
          <w:p>
            <w:pPr>
              <w:spacing w:after="0"/>
              <w:rPr>
                <w:sz w:val="21"/>
                <w:szCs w:val="21"/>
                <w:color w:val="auto"/>
              </w:rPr>
            </w:pPr>
          </w:p>
        </w:tc>
      </w:tr>
      <w:tr>
        <w:trPr>
          <w:trHeight w:val="243"/>
        </w:trPr>
        <w:tc>
          <w:tcPr>
            <w:tcW w:w="752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earnings, net of tax</w:t>
            </w:r>
          </w:p>
        </w:tc>
        <w:tc>
          <w:tcPr>
            <w:tcW w:w="12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Pr>
          <w:p>
            <w:pPr>
              <w:spacing w:after="0"/>
              <w:rPr>
                <w:sz w:val="20"/>
                <w:szCs w:val="20"/>
                <w:color w:val="auto"/>
              </w:rPr>
            </w:pPr>
            <w:r>
              <w:rPr>
                <w:rFonts w:ascii="Arial" w:cs="Arial" w:eastAsia="Arial" w:hAnsi="Arial"/>
                <w:sz w:val="20"/>
                <w:szCs w:val="20"/>
                <w:color w:val="auto"/>
              </w:rPr>
              <w:t>Comprehensive earnings attributable to noncontrolling interests</w:t>
            </w:r>
          </w:p>
        </w:tc>
        <w:tc>
          <w:tcPr>
            <w:tcW w:w="1280" w:type="dxa"/>
            <w:vAlign w:val="bottom"/>
            <w:tcBorders>
              <w:bottom w:val="single" w:sz="8" w:color="auto"/>
            </w:tcBorders>
          </w:tcPr>
          <w:p>
            <w:pPr>
              <w:jc w:val="right"/>
              <w:ind w:right="1081"/>
              <w:spacing w:after="0"/>
              <w:rPr>
                <w:sz w:val="20"/>
                <w:szCs w:val="20"/>
                <w:color w:val="auto"/>
              </w:rPr>
            </w:pPr>
            <w:r>
              <w:rPr>
                <w:rFonts w:ascii="Arial" w:cs="Arial" w:eastAsia="Arial" w:hAnsi="Arial"/>
                <w:sz w:val="20"/>
                <w:szCs w:val="2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23"/>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Accumulated other comprehensive loss consists of unrealized gains and losses related to the funded status of pension and postretirement benefit plans; foreign currency translation; and the unamortized value of terminated forward starting interest rate swap agreements, and is presented on the Corporation’s consolidated balance sheets.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earnings (loss), net of tax,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4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Unamortized</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Value of</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8"/>
              </w:rPr>
              <w:t>Terminated</w:t>
            </w:r>
          </w:p>
        </w:tc>
        <w:tc>
          <w:tcPr>
            <w:tcW w:w="12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20"/>
                <w:szCs w:val="20"/>
                <w:color w:val="auto"/>
                <w:w w:val="91"/>
              </w:rPr>
              <w:t>Accumulated</w:t>
            </w:r>
          </w:p>
        </w:tc>
      </w:tr>
      <w:tr>
        <w:trPr>
          <w:trHeight w:val="243"/>
        </w:trPr>
        <w:tc>
          <w:tcPr>
            <w:tcW w:w="4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20"/>
                <w:szCs w:val="20"/>
                <w:color w:val="auto"/>
                <w:w w:val="86"/>
              </w:rPr>
              <w:t>Pension and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Arial" w:cs="Arial" w:eastAsia="Arial" w:hAnsi="Arial"/>
                <w:sz w:val="20"/>
                <w:szCs w:val="20"/>
                <w:color w:val="auto"/>
              </w:rPr>
              <w:t>Forward Starting</w:t>
            </w:r>
          </w:p>
        </w:tc>
        <w:tc>
          <w:tcPr>
            <w:tcW w:w="12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Other</w:t>
            </w:r>
          </w:p>
        </w:tc>
      </w:tr>
      <w:tr>
        <w:trPr>
          <w:trHeight w:val="243"/>
        </w:trPr>
        <w:tc>
          <w:tcPr>
            <w:tcW w:w="4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20"/>
                <w:szCs w:val="20"/>
                <w:color w:val="auto"/>
                <w:w w:val="89"/>
              </w:rPr>
              <w:t>Postretirement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Interest Rate</w:t>
            </w:r>
          </w:p>
        </w:tc>
        <w:tc>
          <w:tcPr>
            <w:tcW w:w="1400" w:type="dxa"/>
            <w:vAlign w:val="bottom"/>
            <w:gridSpan w:val="3"/>
          </w:tcPr>
          <w:p>
            <w:pPr>
              <w:ind w:left="20"/>
              <w:spacing w:after="0"/>
              <w:rPr>
                <w:sz w:val="20"/>
                <w:szCs w:val="20"/>
                <w:color w:val="auto"/>
              </w:rPr>
            </w:pPr>
            <w:r>
              <w:rPr>
                <w:rFonts w:ascii="Arial" w:cs="Arial" w:eastAsia="Arial" w:hAnsi="Arial"/>
                <w:sz w:val="20"/>
                <w:szCs w:val="20"/>
                <w:color w:val="auto"/>
                <w:w w:val="97"/>
              </w:rPr>
              <w:t>Comprehensive</w:t>
            </w:r>
          </w:p>
        </w:tc>
      </w:tr>
      <w:tr>
        <w:trPr>
          <w:trHeight w:val="246"/>
        </w:trPr>
        <w:tc>
          <w:tcPr>
            <w:tcW w:w="4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Benefit Plans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20"/>
                <w:szCs w:val="20"/>
                <w:color w:val="auto"/>
                <w:w w:val="98"/>
              </w:rPr>
              <w:t>Currency</w:t>
            </w:r>
          </w:p>
        </w:tc>
        <w:tc>
          <w:tcPr>
            <w:tcW w:w="1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Swap</w:t>
            </w:r>
          </w:p>
        </w:tc>
        <w:tc>
          <w:tcPr>
            <w:tcW w:w="12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Loss</w:t>
            </w:r>
          </w:p>
        </w:tc>
      </w:tr>
      <w:tr>
        <w:trPr>
          <w:trHeight w:val="237"/>
        </w:trPr>
        <w:tc>
          <w:tcPr>
            <w:tcW w:w="4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60" w:type="dxa"/>
            <w:vAlign w:val="bottom"/>
            <w:tcBorders>
              <w:top w:val="single" w:sz="8" w:color="auto"/>
              <w:bottom w:val="single" w:sz="8" w:color="auto"/>
            </w:tcBorders>
            <w:gridSpan w:val="7"/>
          </w:tcPr>
          <w:p>
            <w:pPr>
              <w:jc w:val="center"/>
              <w:ind w:right="120"/>
              <w:spacing w:after="0"/>
              <w:rPr>
                <w:sz w:val="20"/>
                <w:szCs w:val="20"/>
                <w:color w:val="auto"/>
              </w:rPr>
            </w:pPr>
            <w:r>
              <w:rPr>
                <w:rFonts w:ascii="Arial" w:cs="Arial" w:eastAsia="Arial" w:hAnsi="Arial"/>
                <w:sz w:val="20"/>
                <w:szCs w:val="20"/>
                <w:color w:val="auto"/>
                <w:w w:val="89"/>
              </w:rPr>
              <w:t>Three Months Ended March 31, 2016</w:t>
            </w: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6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20"/>
                <w:szCs w:val="20"/>
                <w:color w:val="auto"/>
              </w:rPr>
              <w:t>(103,380)</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20"/>
                <w:szCs w:val="20"/>
                <w:color w:val="auto"/>
              </w:rPr>
              <w:t>(264)</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20"/>
                <w:szCs w:val="20"/>
                <w:color w:val="auto"/>
              </w:rPr>
              <w:t>(1,978)</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(105,622)</w:t>
            </w:r>
          </w:p>
        </w:tc>
        <w:tc>
          <w:tcPr>
            <w:tcW w:w="100" w:type="dxa"/>
            <w:vAlign w:val="bottom"/>
          </w:tcPr>
          <w:p>
            <w:pPr>
              <w:spacing w:after="0"/>
              <w:rPr>
                <w:sz w:val="20"/>
                <w:szCs w:val="20"/>
                <w:color w:val="auto"/>
              </w:rPr>
            </w:pPr>
          </w:p>
        </w:tc>
      </w:tr>
      <w:tr>
        <w:trPr>
          <w:trHeight w:val="220"/>
        </w:trPr>
        <w:tc>
          <w:tcPr>
            <w:tcW w:w="4660" w:type="dxa"/>
            <w:vAlign w:val="bottom"/>
            <w:tcBorders>
              <w:top w:val="single" w:sz="8" w:color="CFF2FA"/>
            </w:tcBorders>
            <w:shd w:val="clear" w:color="auto" w:fill="CFF2FA"/>
          </w:tcPr>
          <w:p>
            <w:pPr>
              <w:spacing w:after="0" w:line="220" w:lineRule="exact"/>
              <w:rPr>
                <w:sz w:val="20"/>
                <w:szCs w:val="20"/>
                <w:color w:val="auto"/>
              </w:rPr>
            </w:pPr>
            <w:r>
              <w:rPr>
                <w:rFonts w:ascii="Arial" w:cs="Arial" w:eastAsia="Arial" w:hAnsi="Arial"/>
                <w:sz w:val="20"/>
                <w:szCs w:val="20"/>
                <w:color w:val="auto"/>
              </w:rPr>
              <w:t>Other comprehensive earnings before</w:t>
            </w:r>
          </w:p>
        </w:tc>
        <w:tc>
          <w:tcPr>
            <w:tcW w:w="6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spacing w:after="0"/>
              <w:rPr>
                <w:sz w:val="19"/>
                <w:szCs w:val="19"/>
                <w:color w:val="auto"/>
              </w:rPr>
            </w:pPr>
          </w:p>
        </w:tc>
        <w:tc>
          <w:tcPr>
            <w:tcW w:w="1180" w:type="dxa"/>
            <w:vAlign w:val="bottom"/>
            <w:tcBorders>
              <w:top w:val="single" w:sz="8" w:color="auto"/>
            </w:tcBorders>
            <w:shd w:val="clear" w:color="auto" w:fill="CFF2FA"/>
          </w:tcPr>
          <w:p>
            <w:pPr>
              <w:spacing w:after="0"/>
              <w:rPr>
                <w:sz w:val="19"/>
                <w:szCs w:val="19"/>
                <w:color w:val="auto"/>
              </w:rPr>
            </w:pPr>
          </w:p>
        </w:tc>
        <w:tc>
          <w:tcPr>
            <w:tcW w:w="1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auto"/>
            </w:tcBorders>
            <w:shd w:val="clear" w:color="auto" w:fill="CFF2FA"/>
          </w:tcPr>
          <w:p>
            <w:pPr>
              <w:spacing w:after="0"/>
              <w:rPr>
                <w:sz w:val="19"/>
                <w:szCs w:val="19"/>
                <w:color w:val="auto"/>
              </w:rPr>
            </w:pPr>
          </w:p>
        </w:tc>
        <w:tc>
          <w:tcPr>
            <w:tcW w:w="1100" w:type="dxa"/>
            <w:vAlign w:val="bottom"/>
            <w:tcBorders>
              <w:top w:val="single" w:sz="8" w:color="auto"/>
            </w:tcBorders>
            <w:shd w:val="clear" w:color="auto" w:fill="CFF2FA"/>
          </w:tcPr>
          <w:p>
            <w:pPr>
              <w:spacing w:after="0"/>
              <w:rPr>
                <w:sz w:val="19"/>
                <w:szCs w:val="19"/>
                <w:color w:val="auto"/>
              </w:rPr>
            </w:pPr>
          </w:p>
        </w:tc>
        <w:tc>
          <w:tcPr>
            <w:tcW w:w="26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1240" w:type="dxa"/>
            <w:vAlign w:val="bottom"/>
            <w:tcBorders>
              <w:top w:val="single" w:sz="8" w:color="auto"/>
            </w:tcBorders>
            <w:shd w:val="clear" w:color="auto" w:fill="CFF2FA"/>
          </w:tcPr>
          <w:p>
            <w:pPr>
              <w:spacing w:after="0"/>
              <w:rPr>
                <w:sz w:val="19"/>
                <w:szCs w:val="19"/>
                <w:color w:val="auto"/>
              </w:rPr>
            </w:pPr>
          </w:p>
        </w:tc>
        <w:tc>
          <w:tcPr>
            <w:tcW w:w="2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1180" w:type="dxa"/>
            <w:vAlign w:val="bottom"/>
            <w:tcBorders>
              <w:top w:val="single" w:sz="8" w:color="auto"/>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r>
      <w:tr>
        <w:trPr>
          <w:trHeight w:val="246"/>
        </w:trPr>
        <w:tc>
          <w:tcPr>
            <w:tcW w:w="4660" w:type="dxa"/>
            <w:vAlign w:val="bottom"/>
            <w:shd w:val="clear" w:color="auto" w:fill="CFF2FA"/>
          </w:tcPr>
          <w:p>
            <w:pPr>
              <w:ind w:left="260"/>
              <w:spacing w:after="0"/>
              <w:rPr>
                <w:sz w:val="20"/>
                <w:szCs w:val="20"/>
                <w:color w:val="auto"/>
              </w:rPr>
            </w:pPr>
            <w:r>
              <w:rPr>
                <w:rFonts w:ascii="Arial" w:cs="Arial" w:eastAsia="Arial" w:hAnsi="Arial"/>
                <w:sz w:val="20"/>
                <w:szCs w:val="20"/>
                <w:color w:val="auto"/>
              </w:rPr>
              <w:t>reclassifications, net of tax</w:t>
            </w:r>
          </w:p>
        </w:tc>
        <w:tc>
          <w:tcPr>
            <w:tcW w:w="680" w:type="dxa"/>
            <w:vAlign w:val="bottom"/>
            <w:shd w:val="clear" w:color="auto" w:fill="CFF2FA"/>
          </w:tcPr>
          <w:p>
            <w:pPr>
              <w:spacing w:after="0"/>
              <w:rPr>
                <w:sz w:val="21"/>
                <w:szCs w:val="21"/>
                <w:color w:val="auto"/>
              </w:rPr>
            </w:pPr>
          </w:p>
        </w:tc>
        <w:tc>
          <w:tcPr>
            <w:tcW w:w="100" w:type="dxa"/>
            <w:vAlign w:val="bottom"/>
            <w:shd w:val="clear" w:color="auto" w:fill="CFF2FA"/>
          </w:tcPr>
          <w:p>
            <w:pPr>
              <w:spacing w:after="0"/>
              <w:rPr>
                <w:sz w:val="21"/>
                <w:szCs w:val="21"/>
                <w:color w:val="auto"/>
              </w:rPr>
            </w:pPr>
          </w:p>
        </w:tc>
        <w:tc>
          <w:tcPr>
            <w:tcW w:w="1320" w:type="dxa"/>
            <w:vAlign w:val="bottom"/>
            <w:gridSpan w:val="2"/>
            <w:shd w:val="clear" w:color="auto" w:fill="CFF2FA"/>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80" w:type="dxa"/>
            <w:vAlign w:val="bottom"/>
            <w:shd w:val="clear" w:color="auto" w:fill="CFF2FA"/>
          </w:tcPr>
          <w:p>
            <w:pPr>
              <w:spacing w:after="0"/>
              <w:rPr>
                <w:sz w:val="21"/>
                <w:szCs w:val="21"/>
                <w:color w:val="auto"/>
              </w:rPr>
            </w:pPr>
          </w:p>
        </w:tc>
        <w:tc>
          <w:tcPr>
            <w:tcW w:w="11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115</w:t>
            </w:r>
          </w:p>
        </w:tc>
        <w:tc>
          <w:tcPr>
            <w:tcW w:w="260" w:type="dxa"/>
            <w:vAlign w:val="bottom"/>
            <w:shd w:val="clear" w:color="auto" w:fill="CFF2FA"/>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48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115</w:t>
            </w:r>
          </w:p>
        </w:tc>
        <w:tc>
          <w:tcPr>
            <w:tcW w:w="100" w:type="dxa"/>
            <w:vAlign w:val="bottom"/>
            <w:shd w:val="clear" w:color="auto" w:fill="CFF2FA"/>
          </w:tcPr>
          <w:p>
            <w:pPr>
              <w:spacing w:after="0"/>
              <w:rPr>
                <w:sz w:val="21"/>
                <w:szCs w:val="21"/>
                <w:color w:val="auto"/>
              </w:rPr>
            </w:pPr>
          </w:p>
        </w:tc>
      </w:tr>
      <w:tr>
        <w:trPr>
          <w:trHeight w:val="226"/>
        </w:trPr>
        <w:tc>
          <w:tcPr>
            <w:tcW w:w="4660" w:type="dxa"/>
            <w:vAlign w:val="bottom"/>
          </w:tcPr>
          <w:p>
            <w:pPr>
              <w:spacing w:after="0" w:line="227" w:lineRule="exact"/>
              <w:rPr>
                <w:sz w:val="20"/>
                <w:szCs w:val="20"/>
                <w:color w:val="auto"/>
              </w:rPr>
            </w:pPr>
            <w:r>
              <w:rPr>
                <w:rFonts w:ascii="Arial" w:cs="Arial" w:eastAsia="Arial" w:hAnsi="Arial"/>
                <w:sz w:val="20"/>
                <w:szCs w:val="20"/>
                <w:color w:val="auto"/>
              </w:rPr>
              <w:t>Amounts reclassified from accumulated other</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660" w:type="dxa"/>
            <w:vAlign w:val="bottom"/>
          </w:tcPr>
          <w:p>
            <w:pPr>
              <w:ind w:left="260"/>
              <w:spacing w:after="0"/>
              <w:rPr>
                <w:sz w:val="20"/>
                <w:szCs w:val="20"/>
                <w:color w:val="auto"/>
              </w:rPr>
            </w:pPr>
            <w:r>
              <w:rPr>
                <w:rFonts w:ascii="Arial" w:cs="Arial" w:eastAsia="Arial" w:hAnsi="Arial"/>
                <w:sz w:val="20"/>
                <w:szCs w:val="20"/>
                <w:color w:val="auto"/>
              </w:rPr>
              <w:t>comprehensive earnings, net of tax</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1,473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1,674</w:t>
            </w:r>
          </w:p>
        </w:tc>
        <w:tc>
          <w:tcPr>
            <w:tcW w:w="100" w:type="dxa"/>
            <w:vAlign w:val="bottom"/>
          </w:tcPr>
          <w:p>
            <w:pPr>
              <w:spacing w:after="0"/>
              <w:rPr>
                <w:sz w:val="21"/>
                <w:szCs w:val="21"/>
                <w:color w:val="auto"/>
              </w:rPr>
            </w:pPr>
          </w:p>
        </w:tc>
      </w:tr>
      <w:tr>
        <w:trPr>
          <w:trHeight w:val="237"/>
        </w:trPr>
        <w:tc>
          <w:tcPr>
            <w:tcW w:w="466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20"/>
                <w:szCs w:val="20"/>
                <w:color w:val="auto"/>
              </w:rPr>
              <w:t>Other comprehensive earnings, net of tax</w:t>
            </w:r>
          </w:p>
        </w:tc>
        <w:tc>
          <w:tcPr>
            <w:tcW w:w="680" w:type="dxa"/>
            <w:vAlign w:val="bottom"/>
            <w:tcBorders>
              <w:top w:val="single" w:sz="8" w:color="CFF2FA"/>
            </w:tcBorders>
            <w:shd w:val="clear" w:color="auto" w:fill="CFF2FA"/>
          </w:tcPr>
          <w:p>
            <w:pPr>
              <w:spacing w:after="0"/>
              <w:rPr>
                <w:sz w:val="20"/>
                <w:szCs w:val="20"/>
                <w:color w:val="auto"/>
              </w:rPr>
            </w:pPr>
          </w:p>
        </w:tc>
        <w:tc>
          <w:tcPr>
            <w:tcW w:w="100" w:type="dxa"/>
            <w:vAlign w:val="bottom"/>
            <w:tcBorders>
              <w:top w:val="single" w:sz="8" w:color="auto"/>
              <w:bottom w:val="single" w:sz="8" w:color="auto"/>
            </w:tcBorders>
            <w:shd w:val="clear" w:color="auto" w:fill="CFF2FA"/>
          </w:tcPr>
          <w:p>
            <w:pPr>
              <w:spacing w:after="0"/>
              <w:rPr>
                <w:sz w:val="20"/>
                <w:szCs w:val="20"/>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1,473</w:t>
            </w:r>
          </w:p>
        </w:tc>
        <w:tc>
          <w:tcPr>
            <w:tcW w:w="140" w:type="dxa"/>
            <w:vAlign w:val="bottom"/>
            <w:tcBorders>
              <w:top w:val="single" w:sz="8" w:color="CFF2FA"/>
            </w:tcBorders>
            <w:shd w:val="clear" w:color="auto" w:fill="CFF2FA"/>
          </w:tcPr>
          <w:p>
            <w:pPr>
              <w:spacing w:after="0"/>
              <w:rPr>
                <w:sz w:val="20"/>
                <w:szCs w:val="20"/>
                <w:color w:val="auto"/>
              </w:rPr>
            </w:pPr>
          </w:p>
        </w:tc>
        <w:tc>
          <w:tcPr>
            <w:tcW w:w="120" w:type="dxa"/>
            <w:vAlign w:val="bottom"/>
            <w:tcBorders>
              <w:top w:val="single" w:sz="8" w:color="CFF2FA"/>
            </w:tcBorders>
            <w:shd w:val="clear" w:color="auto" w:fill="CFF2FA"/>
          </w:tcPr>
          <w:p>
            <w:pPr>
              <w:spacing w:after="0"/>
              <w:rPr>
                <w:sz w:val="20"/>
                <w:szCs w:val="20"/>
                <w:color w:val="auto"/>
              </w:rPr>
            </w:pPr>
          </w:p>
        </w:tc>
        <w:tc>
          <w:tcPr>
            <w:tcW w:w="180" w:type="dxa"/>
            <w:vAlign w:val="bottom"/>
            <w:tcBorders>
              <w:top w:val="single" w:sz="8" w:color="auto"/>
              <w:bottom w:val="single" w:sz="8" w:color="auto"/>
            </w:tcBorders>
            <w:shd w:val="clear" w:color="auto" w:fill="CFF2FA"/>
          </w:tcPr>
          <w:p>
            <w:pPr>
              <w:spacing w:after="0"/>
              <w:rPr>
                <w:sz w:val="20"/>
                <w:szCs w:val="20"/>
                <w:color w:val="auto"/>
              </w:rPr>
            </w:pPr>
          </w:p>
        </w:tc>
        <w:tc>
          <w:tcPr>
            <w:tcW w:w="1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115</w:t>
            </w:r>
          </w:p>
        </w:tc>
        <w:tc>
          <w:tcPr>
            <w:tcW w:w="260" w:type="dxa"/>
            <w:vAlign w:val="bottom"/>
            <w:tcBorders>
              <w:top w:val="single" w:sz="8" w:color="CFF2FA"/>
            </w:tcBorders>
            <w:shd w:val="clear" w:color="auto" w:fill="CFF2FA"/>
          </w:tcPr>
          <w:p>
            <w:pPr>
              <w:spacing w:after="0"/>
              <w:rPr>
                <w:sz w:val="20"/>
                <w:szCs w:val="20"/>
                <w:color w:val="auto"/>
              </w:rPr>
            </w:pPr>
          </w:p>
        </w:tc>
        <w:tc>
          <w:tcPr>
            <w:tcW w:w="120" w:type="dxa"/>
            <w:vAlign w:val="bottom"/>
            <w:tcBorders>
              <w:top w:val="single" w:sz="8" w:color="auto"/>
              <w:bottom w:val="single" w:sz="8" w:color="auto"/>
            </w:tcBorders>
            <w:shd w:val="clear" w:color="auto" w:fill="CFF2FA"/>
          </w:tcPr>
          <w:p>
            <w:pPr>
              <w:spacing w:after="0"/>
              <w:rPr>
                <w:sz w:val="20"/>
                <w:szCs w:val="20"/>
                <w:color w:val="auto"/>
              </w:rPr>
            </w:pPr>
          </w:p>
        </w:tc>
        <w:tc>
          <w:tcPr>
            <w:tcW w:w="12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201</w:t>
            </w:r>
          </w:p>
        </w:tc>
        <w:tc>
          <w:tcPr>
            <w:tcW w:w="240" w:type="dxa"/>
            <w:vAlign w:val="bottom"/>
            <w:tcBorders>
              <w:top w:val="single" w:sz="8" w:color="CFF2FA"/>
            </w:tcBorders>
            <w:shd w:val="clear" w:color="auto" w:fill="CFF2FA"/>
          </w:tcPr>
          <w:p>
            <w:pPr>
              <w:spacing w:after="0"/>
              <w:rPr>
                <w:sz w:val="20"/>
                <w:szCs w:val="20"/>
                <w:color w:val="auto"/>
              </w:rPr>
            </w:pPr>
          </w:p>
        </w:tc>
        <w:tc>
          <w:tcPr>
            <w:tcW w:w="120" w:type="dxa"/>
            <w:vAlign w:val="bottom"/>
            <w:tcBorders>
              <w:top w:val="single" w:sz="8" w:color="auto"/>
              <w:bottom w:val="single" w:sz="8" w:color="auto"/>
            </w:tcBorders>
            <w:shd w:val="clear" w:color="auto" w:fill="CFF2FA"/>
          </w:tcPr>
          <w:p>
            <w:pPr>
              <w:spacing w:after="0"/>
              <w:rPr>
                <w:sz w:val="20"/>
                <w:szCs w:val="20"/>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1,789</w:t>
            </w:r>
          </w:p>
        </w:tc>
        <w:tc>
          <w:tcPr>
            <w:tcW w:w="100" w:type="dxa"/>
            <w:vAlign w:val="bottom"/>
            <w:tcBorders>
              <w:top w:val="single" w:sz="8" w:color="CFF2FA"/>
            </w:tcBorders>
            <w:shd w:val="clear" w:color="auto" w:fill="CFF2FA"/>
          </w:tcPr>
          <w:p>
            <w:pPr>
              <w:spacing w:after="0"/>
              <w:rPr>
                <w:sz w:val="20"/>
                <w:szCs w:val="20"/>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6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(101,907)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(103,833)</w:t>
            </w:r>
          </w:p>
        </w:tc>
        <w:tc>
          <w:tcPr>
            <w:tcW w:w="10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660" w:type="dxa"/>
            <w:vAlign w:val="bottom"/>
            <w:tcBorders>
              <w:bottom w:val="single" w:sz="8" w:color="CFF0FC"/>
            </w:tcBorders>
          </w:tcPr>
          <w:p>
            <w:pPr>
              <w:spacing w:after="0"/>
              <w:rPr>
                <w:sz w:val="24"/>
                <w:szCs w:val="24"/>
                <w:color w:val="auto"/>
              </w:rPr>
            </w:pPr>
          </w:p>
        </w:tc>
        <w:tc>
          <w:tcPr>
            <w:tcW w:w="68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20"/>
                <w:szCs w:val="20"/>
                <w:color w:val="auto"/>
                <w:w w:val="89"/>
              </w:rPr>
              <w:t>Three Months Ended March 31, 2015</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37"/>
        </w:trPr>
        <w:tc>
          <w:tcPr>
            <w:tcW w:w="466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680" w:type="dxa"/>
            <w:vAlign w:val="bottom"/>
            <w:shd w:val="clear" w:color="auto" w:fill="CFF0FC"/>
          </w:tcPr>
          <w:p>
            <w:pPr>
              <w:spacing w:after="0"/>
              <w:rPr>
                <w:sz w:val="20"/>
                <w:szCs w:val="20"/>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gridSpan w:val="2"/>
            <w:shd w:val="clear" w:color="auto" w:fill="CFF2FA"/>
          </w:tcPr>
          <w:p>
            <w:pPr>
              <w:jc w:val="right"/>
              <w:ind w:right="60"/>
              <w:spacing w:after="0"/>
              <w:rPr>
                <w:sz w:val="20"/>
                <w:szCs w:val="20"/>
                <w:color w:val="auto"/>
              </w:rPr>
            </w:pPr>
            <w:r>
              <w:rPr>
                <w:rFonts w:ascii="Arial" w:cs="Arial" w:eastAsia="Arial" w:hAnsi="Arial"/>
                <w:sz w:val="20"/>
                <w:szCs w:val="20"/>
                <w:color w:val="auto"/>
              </w:rPr>
              <w:t>(106,688)</w:t>
            </w:r>
          </w:p>
        </w:tc>
        <w:tc>
          <w:tcPr>
            <w:tcW w:w="30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3,278</w:t>
            </w:r>
          </w:p>
        </w:tc>
        <w:tc>
          <w:tcPr>
            <w:tcW w:w="26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(2,749)</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(106,159)</w:t>
            </w:r>
          </w:p>
        </w:tc>
        <w:tc>
          <w:tcPr>
            <w:tcW w:w="100" w:type="dxa"/>
            <w:vAlign w:val="bottom"/>
            <w:shd w:val="clear" w:color="auto" w:fill="CFF2FA"/>
          </w:tcPr>
          <w:p>
            <w:pPr>
              <w:spacing w:after="0"/>
              <w:rPr>
                <w:sz w:val="20"/>
                <w:szCs w:val="20"/>
                <w:color w:val="auto"/>
              </w:rPr>
            </w:pPr>
          </w:p>
        </w:tc>
      </w:tr>
      <w:tr>
        <w:trPr>
          <w:trHeight w:val="220"/>
        </w:trPr>
        <w:tc>
          <w:tcPr>
            <w:tcW w:w="4660" w:type="dxa"/>
            <w:vAlign w:val="bottom"/>
          </w:tcPr>
          <w:p>
            <w:pPr>
              <w:spacing w:after="0" w:line="220" w:lineRule="exact"/>
              <w:rPr>
                <w:sz w:val="20"/>
                <w:szCs w:val="20"/>
                <w:color w:val="auto"/>
              </w:rPr>
            </w:pPr>
            <w:r>
              <w:rPr>
                <w:rFonts w:ascii="Arial" w:cs="Arial" w:eastAsia="Arial" w:hAnsi="Arial"/>
                <w:sz w:val="20"/>
                <w:szCs w:val="20"/>
                <w:color w:val="auto"/>
              </w:rPr>
              <w:t>Other comprehensive loss before reclassifications,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660" w:type="dxa"/>
            <w:vAlign w:val="bottom"/>
          </w:tcPr>
          <w:p>
            <w:pPr>
              <w:ind w:left="260"/>
              <w:spacing w:after="0"/>
              <w:rPr>
                <w:sz w:val="20"/>
                <w:szCs w:val="20"/>
                <w:color w:val="auto"/>
              </w:rPr>
            </w:pPr>
            <w:r>
              <w:rPr>
                <w:rFonts w:ascii="Arial" w:cs="Arial" w:eastAsia="Arial" w:hAnsi="Arial"/>
                <w:sz w:val="20"/>
                <w:szCs w:val="20"/>
                <w:color w:val="auto"/>
              </w:rPr>
              <w:t>net of tax</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20"/>
                <w:szCs w:val="20"/>
                <w:color w:val="auto"/>
              </w:rPr>
              <w:t>(2,288)</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(2,288)</w:t>
            </w:r>
          </w:p>
        </w:tc>
      </w:tr>
      <w:tr>
        <w:trPr>
          <w:trHeight w:val="226"/>
        </w:trPr>
        <w:tc>
          <w:tcPr>
            <w:tcW w:w="46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 other</w:t>
            </w:r>
          </w:p>
        </w:tc>
        <w:tc>
          <w:tcPr>
            <w:tcW w:w="680" w:type="dxa"/>
            <w:vAlign w:val="bottom"/>
            <w:shd w:val="clear" w:color="auto" w:fill="CFF0FC"/>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10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6"/>
        </w:trPr>
        <w:tc>
          <w:tcPr>
            <w:tcW w:w="46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comprehensive earnings, net of tax</w:t>
            </w:r>
          </w:p>
        </w:tc>
        <w:tc>
          <w:tcPr>
            <w:tcW w:w="680" w:type="dxa"/>
            <w:vAlign w:val="bottom"/>
            <w:shd w:val="clear" w:color="auto" w:fill="CFF0FC"/>
          </w:tcPr>
          <w:p>
            <w:pPr>
              <w:spacing w:after="0"/>
              <w:rPr>
                <w:sz w:val="21"/>
                <w:szCs w:val="21"/>
                <w:color w:val="auto"/>
              </w:rPr>
            </w:pPr>
          </w:p>
        </w:tc>
        <w:tc>
          <w:tcPr>
            <w:tcW w:w="100" w:type="dxa"/>
            <w:vAlign w:val="bottom"/>
            <w:shd w:val="clear" w:color="auto" w:fill="CFF2FA"/>
          </w:tcPr>
          <w:p>
            <w:pPr>
              <w:spacing w:after="0"/>
              <w:rPr>
                <w:sz w:val="21"/>
                <w:szCs w:val="21"/>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1,537</w:t>
            </w:r>
          </w:p>
        </w:tc>
        <w:tc>
          <w:tcPr>
            <w:tcW w:w="140" w:type="dxa"/>
            <w:vAlign w:val="bottom"/>
            <w:shd w:val="clear" w:color="auto" w:fill="CFF2FA"/>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8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187</w:t>
            </w:r>
          </w:p>
        </w:tc>
        <w:tc>
          <w:tcPr>
            <w:tcW w:w="240" w:type="dxa"/>
            <w:vAlign w:val="bottom"/>
            <w:shd w:val="clear" w:color="auto" w:fill="CFF2FA"/>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1,724</w:t>
            </w:r>
          </w:p>
        </w:tc>
        <w:tc>
          <w:tcPr>
            <w:tcW w:w="100" w:type="dxa"/>
            <w:vAlign w:val="bottom"/>
            <w:shd w:val="clear" w:color="auto" w:fill="CFF2FA"/>
          </w:tcPr>
          <w:p>
            <w:pPr>
              <w:spacing w:after="0"/>
              <w:rPr>
                <w:sz w:val="21"/>
                <w:szCs w:val="21"/>
                <w:color w:val="auto"/>
              </w:rPr>
            </w:pPr>
          </w:p>
        </w:tc>
      </w:tr>
      <w:tr>
        <w:trPr>
          <w:trHeight w:val="237"/>
        </w:trPr>
        <w:tc>
          <w:tcPr>
            <w:tcW w:w="46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(loss), net of tax</w:t>
            </w:r>
          </w:p>
        </w:tc>
        <w:tc>
          <w:tcPr>
            <w:tcW w:w="68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1,537</w:t>
            </w:r>
          </w:p>
        </w:tc>
        <w:tc>
          <w:tcPr>
            <w:tcW w:w="140" w:type="dxa"/>
            <w:vAlign w:val="bottom"/>
            <w:tcBorders>
              <w:bottom w:val="single" w:sz="8" w:color="CFF2FA"/>
            </w:tcBorders>
          </w:tcPr>
          <w:p>
            <w:pPr>
              <w:spacing w:after="0"/>
              <w:rPr>
                <w:sz w:val="20"/>
                <w:szCs w:val="20"/>
                <w:color w:val="auto"/>
              </w:rPr>
            </w:pPr>
          </w:p>
        </w:tc>
        <w:tc>
          <w:tcPr>
            <w:tcW w:w="120" w:type="dxa"/>
            <w:vAlign w:val="bottom"/>
            <w:tcBorders>
              <w:bottom w:val="single" w:sz="8" w:color="CFF2FA"/>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(2,288)</w:t>
            </w:r>
          </w:p>
        </w:tc>
        <w:tc>
          <w:tcPr>
            <w:tcW w:w="26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187</w:t>
            </w:r>
          </w:p>
        </w:tc>
        <w:tc>
          <w:tcPr>
            <w:tcW w:w="24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(564)</w:t>
            </w:r>
          </w:p>
        </w:tc>
        <w:tc>
          <w:tcPr>
            <w:tcW w:w="100" w:type="dxa"/>
            <w:vAlign w:val="bottom"/>
            <w:tcBorders>
              <w:bottom w:val="single" w:sz="8" w:color="CFF2FA"/>
            </w:tcBorders>
          </w:tcPr>
          <w:p>
            <w:pPr>
              <w:spacing w:after="0"/>
              <w:rPr>
                <w:sz w:val="20"/>
                <w:szCs w:val="20"/>
                <w:color w:val="auto"/>
              </w:rPr>
            </w:pPr>
          </w:p>
        </w:tc>
      </w:tr>
      <w:tr>
        <w:trPr>
          <w:trHeight w:val="237"/>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(105,151)</w:t>
            </w:r>
          </w:p>
        </w:tc>
        <w:tc>
          <w:tcPr>
            <w:tcW w:w="14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CFF2FA"/>
            </w:tcBorders>
            <w:shd w:val="clear" w:color="auto" w:fill="CFF2FA"/>
          </w:tcPr>
          <w:p>
            <w:pPr>
              <w:spacing w:after="0"/>
              <w:rPr>
                <w:sz w:val="20"/>
                <w:szCs w:val="20"/>
                <w:color w:val="auto"/>
              </w:rPr>
            </w:pPr>
          </w:p>
        </w:tc>
        <w:tc>
          <w:tcPr>
            <w:tcW w:w="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990</w:t>
            </w:r>
          </w:p>
        </w:tc>
        <w:tc>
          <w:tcPr>
            <w:tcW w:w="26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(2,562)</w:t>
            </w:r>
          </w:p>
        </w:tc>
        <w:tc>
          <w:tcPr>
            <w:tcW w:w="24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(106,723)</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Changes in net noncurrent deferred tax assets recorded in accumulated other comprehensive loss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20"/>
                <w:szCs w:val="20"/>
                <w:i w:val="1"/>
                <w:iCs w:val="1"/>
                <w:color w:val="auto"/>
                <w:w w:val="91"/>
              </w:rPr>
              <w:t>(Dollars in Thousands)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jc w:val="center"/>
              <w:ind w:right="480"/>
              <w:spacing w:after="0" w:line="220" w:lineRule="exact"/>
              <w:rPr>
                <w:sz w:val="20"/>
                <w:szCs w:val="20"/>
                <w:color w:val="auto"/>
              </w:rPr>
            </w:pPr>
            <w:r>
              <w:rPr>
                <w:rFonts w:ascii="Arial" w:cs="Arial" w:eastAsia="Arial" w:hAnsi="Arial"/>
                <w:sz w:val="20"/>
                <w:szCs w:val="20"/>
                <w:color w:val="auto"/>
                <w:w w:val="86"/>
              </w:rPr>
              <w:t>Pension and</w:t>
            </w:r>
          </w:p>
        </w:tc>
        <w:tc>
          <w:tcPr>
            <w:tcW w:w="120" w:type="dxa"/>
            <w:vAlign w:val="bottom"/>
          </w:tcPr>
          <w:p>
            <w:pPr>
              <w:spacing w:after="0"/>
              <w:rPr>
                <w:sz w:val="19"/>
                <w:szCs w:val="19"/>
                <w:color w:val="auto"/>
              </w:rPr>
            </w:pPr>
          </w:p>
        </w:tc>
        <w:tc>
          <w:tcPr>
            <w:tcW w:w="2520" w:type="dxa"/>
            <w:vAlign w:val="bottom"/>
            <w:gridSpan w:val="3"/>
          </w:tcPr>
          <w:p>
            <w:pPr>
              <w:jc w:val="center"/>
              <w:ind w:right="340"/>
              <w:spacing w:after="0" w:line="220" w:lineRule="exact"/>
              <w:rPr>
                <w:sz w:val="20"/>
                <w:szCs w:val="20"/>
                <w:color w:val="auto"/>
              </w:rPr>
            </w:pPr>
            <w:r>
              <w:rPr>
                <w:rFonts w:ascii="Arial" w:cs="Arial" w:eastAsia="Arial" w:hAnsi="Arial"/>
                <w:sz w:val="20"/>
                <w:szCs w:val="20"/>
                <w:color w:val="auto"/>
                <w:w w:val="90"/>
              </w:rPr>
              <w:t>Unamortized Value of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right="21"/>
              <w:spacing w:after="0" w:line="220" w:lineRule="exact"/>
              <w:rPr>
                <w:sz w:val="20"/>
                <w:szCs w:val="20"/>
                <w:color w:val="auto"/>
              </w:rPr>
            </w:pPr>
            <w:r>
              <w:rPr>
                <w:rFonts w:ascii="Arial" w:cs="Arial" w:eastAsia="Arial" w:hAnsi="Arial"/>
                <w:sz w:val="20"/>
                <w:szCs w:val="20"/>
                <w:color w:val="auto"/>
                <w:w w:val="91"/>
              </w:rPr>
              <w:t>Net Noncurrent</w:t>
            </w:r>
          </w:p>
        </w:tc>
        <w:tc>
          <w:tcPr>
            <w:tcW w:w="120" w:type="dxa"/>
            <w:vAlign w:val="bottom"/>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jc w:val="center"/>
              <w:ind w:right="480"/>
              <w:spacing w:after="0"/>
              <w:rPr>
                <w:sz w:val="20"/>
                <w:szCs w:val="20"/>
                <w:color w:val="auto"/>
              </w:rPr>
            </w:pPr>
            <w:r>
              <w:rPr>
                <w:rFonts w:ascii="Arial" w:cs="Arial" w:eastAsia="Arial" w:hAnsi="Arial"/>
                <w:sz w:val="20"/>
                <w:szCs w:val="20"/>
                <w:color w:val="auto"/>
                <w:w w:val="89"/>
              </w:rPr>
              <w:t>Postretirement</w:t>
            </w:r>
          </w:p>
        </w:tc>
        <w:tc>
          <w:tcPr>
            <w:tcW w:w="2640" w:type="dxa"/>
            <w:vAlign w:val="bottom"/>
            <w:gridSpan w:val="4"/>
          </w:tcPr>
          <w:p>
            <w:pPr>
              <w:jc w:val="center"/>
              <w:ind w:right="220"/>
              <w:spacing w:after="0"/>
              <w:rPr>
                <w:sz w:val="20"/>
                <w:szCs w:val="20"/>
                <w:color w:val="auto"/>
              </w:rPr>
            </w:pPr>
            <w:r>
              <w:rPr>
                <w:rFonts w:ascii="Arial" w:cs="Arial" w:eastAsia="Arial" w:hAnsi="Arial"/>
                <w:sz w:val="20"/>
                <w:szCs w:val="20"/>
                <w:color w:val="auto"/>
                <w:w w:val="90"/>
              </w:rPr>
              <w:t>Terminated Forward Starting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Deferred Tax</w:t>
            </w:r>
          </w:p>
        </w:tc>
      </w:tr>
      <w:tr>
        <w:trPr>
          <w:trHeight w:val="246"/>
        </w:trPr>
        <w:tc>
          <w:tcPr>
            <w:tcW w:w="5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Benefit Plans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8"/>
              </w:rPr>
              <w:t>Interest Rate Swap</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color w:val="auto"/>
                <w:w w:val="86"/>
              </w:rPr>
              <w:t>Assets</w:t>
            </w:r>
          </w:p>
        </w:tc>
        <w:tc>
          <w:tcPr>
            <w:tcW w:w="120" w:type="dxa"/>
            <w:vAlign w:val="bottom"/>
          </w:tcPr>
          <w:p>
            <w:pPr>
              <w:spacing w:after="0"/>
              <w:rPr>
                <w:sz w:val="21"/>
                <w:szCs w:val="21"/>
                <w:color w:val="auto"/>
              </w:rPr>
            </w:pPr>
          </w:p>
        </w:tc>
      </w:tr>
      <w:tr>
        <w:trPr>
          <w:trHeight w:val="476"/>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7"/>
          </w:tcPr>
          <w:p>
            <w:pPr>
              <w:jc w:val="center"/>
              <w:ind w:left="1241"/>
              <w:spacing w:after="0"/>
              <w:rPr>
                <w:sz w:val="20"/>
                <w:szCs w:val="20"/>
                <w:color w:val="auto"/>
              </w:rPr>
            </w:pPr>
            <w:r>
              <w:rPr>
                <w:rFonts w:ascii="Arial" w:cs="Arial" w:eastAsia="Arial" w:hAnsi="Arial"/>
                <w:sz w:val="20"/>
                <w:szCs w:val="20"/>
                <w:color w:val="auto"/>
                <w:w w:val="89"/>
              </w:rPr>
              <w:t>Three Months Ended March 31, 2016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6"/>
        </w:trPr>
        <w:tc>
          <w:tcPr>
            <w:tcW w:w="5040" w:type="dxa"/>
            <w:vAlign w:val="bottom"/>
          </w:tcPr>
          <w:p>
            <w:pPr>
              <w:ind w:left="260"/>
              <w:spacing w:after="0"/>
              <w:rPr>
                <w:sz w:val="20"/>
                <w:szCs w:val="20"/>
                <w:color w:val="auto"/>
              </w:rPr>
            </w:pPr>
            <w:r>
              <w:rPr>
                <w:rFonts w:ascii="Arial" w:cs="Arial" w:eastAsia="Arial" w:hAnsi="Arial"/>
                <w:sz w:val="20"/>
                <w:szCs w:val="20"/>
                <w:color w:val="auto"/>
              </w:rPr>
              <w:t>Balance at beginning of period</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66,467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tcPr>
          <w:p>
            <w:pPr>
              <w:jc w:val="right"/>
              <w:spacing w:after="0"/>
              <w:rPr>
                <w:sz w:val="20"/>
                <w:szCs w:val="20"/>
                <w:color w:val="auto"/>
              </w:rPr>
            </w:pPr>
            <w:r>
              <w:rPr>
                <w:rFonts w:ascii="Arial" w:cs="Arial" w:eastAsia="Arial" w:hAnsi="Arial"/>
                <w:sz w:val="20"/>
                <w:szCs w:val="20"/>
                <w:color w:val="auto"/>
              </w:rPr>
              <w:t>1,290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67,757</w:t>
            </w: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2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(944)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(131)</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(1,075)</w:t>
            </w:r>
          </w:p>
        </w:tc>
      </w:tr>
      <w:tr>
        <w:trPr>
          <w:trHeight w:val="237"/>
        </w:trPr>
        <w:tc>
          <w:tcPr>
            <w:tcW w:w="5040" w:type="dxa"/>
            <w:vAlign w:val="bottom"/>
          </w:tcPr>
          <w:p>
            <w:pPr>
              <w:ind w:left="260"/>
              <w:spacing w:after="0"/>
              <w:rPr>
                <w:sz w:val="20"/>
                <w:szCs w:val="20"/>
                <w:color w:val="auto"/>
              </w:rPr>
            </w:pPr>
            <w:r>
              <w:rPr>
                <w:rFonts w:ascii="Arial" w:cs="Arial" w:eastAsia="Arial" w:hAnsi="Arial"/>
                <w:sz w:val="20"/>
                <w:szCs w:val="20"/>
                <w:color w:val="auto"/>
              </w:rPr>
              <w:t>Balance at end of period</w:t>
            </w: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65,523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66,682</w:t>
            </w:r>
          </w:p>
        </w:tc>
        <w:tc>
          <w:tcPr>
            <w:tcW w:w="12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7"/>
          </w:tcPr>
          <w:p>
            <w:pPr>
              <w:jc w:val="center"/>
              <w:ind w:left="1241"/>
              <w:spacing w:after="0"/>
              <w:rPr>
                <w:sz w:val="20"/>
                <w:szCs w:val="20"/>
                <w:color w:val="auto"/>
              </w:rPr>
            </w:pPr>
            <w:r>
              <w:rPr>
                <w:rFonts w:ascii="Arial" w:cs="Arial" w:eastAsia="Arial" w:hAnsi="Arial"/>
                <w:sz w:val="20"/>
                <w:szCs w:val="20"/>
                <w:color w:val="auto"/>
                <w:w w:val="89"/>
              </w:rPr>
              <w:t>Three Months Ended March 31, 2015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50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Balance at beginning of period</w:t>
            </w: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68,568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70,367</w:t>
            </w: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20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20"/>
                <w:szCs w:val="20"/>
                <w:color w:val="auto"/>
              </w:rPr>
              <w:t>(1,016)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right"/>
              <w:ind w:right="40"/>
              <w:spacing w:after="0"/>
              <w:rPr>
                <w:sz w:val="20"/>
                <w:szCs w:val="20"/>
                <w:color w:val="auto"/>
              </w:rPr>
            </w:pPr>
            <w:r>
              <w:rPr>
                <w:rFonts w:ascii="Arial" w:cs="Arial" w:eastAsia="Arial" w:hAnsi="Arial"/>
                <w:sz w:val="20"/>
                <w:szCs w:val="20"/>
                <w:color w:val="auto"/>
              </w:rPr>
              <w:t>(120)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20"/>
                <w:szCs w:val="20"/>
                <w:color w:val="auto"/>
              </w:rPr>
              <w:t>(1,136)</w:t>
            </w:r>
          </w:p>
        </w:tc>
      </w:tr>
      <w:tr>
        <w:trPr>
          <w:trHeight w:val="237"/>
        </w:trPr>
        <w:tc>
          <w:tcPr>
            <w:tcW w:w="5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Balance at end of period</w:t>
            </w: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67,552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1,679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69,231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760" w:type="dxa"/>
            <w:vAlign w:val="bottom"/>
            <w:gridSpan w:val="4"/>
          </w:tcPr>
          <w:p>
            <w:pPr>
              <w:jc w:val="right"/>
              <w:ind w:right="242"/>
              <w:spacing w:after="0"/>
              <w:rPr>
                <w:sz w:val="20"/>
                <w:szCs w:val="20"/>
                <w:color w:val="auto"/>
              </w:rPr>
            </w:pPr>
            <w:r>
              <w:rPr>
                <w:rFonts w:ascii="Arial" w:cs="Arial" w:eastAsia="Arial" w:hAnsi="Arial"/>
                <w:sz w:val="19"/>
                <w:szCs w:val="19"/>
                <w:color w:val="auto"/>
              </w:rPr>
              <w:t>Three Months Ended</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9"/>
                <w:szCs w:val="19"/>
                <w:color w:val="auto"/>
                <w:w w:val="91"/>
              </w:rPr>
              <w:t>Affected line items in the consolidated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9"/>
                <w:szCs w:val="19"/>
                <w:color w:val="auto"/>
              </w:rPr>
              <w:t>March 31,</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jc w:val="center"/>
              <w:ind w:left="5"/>
              <w:spacing w:after="0"/>
              <w:rPr>
                <w:sz w:val="20"/>
                <w:szCs w:val="20"/>
                <w:color w:val="auto"/>
              </w:rPr>
            </w:pPr>
            <w:r>
              <w:rPr>
                <w:rFonts w:ascii="Arial" w:cs="Arial" w:eastAsia="Arial" w:hAnsi="Arial"/>
                <w:sz w:val="19"/>
                <w:szCs w:val="19"/>
                <w:color w:val="auto"/>
                <w:w w:val="88"/>
              </w:rPr>
              <w:t>statements of earnings and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2016</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2015</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jc w:val="center"/>
              <w:ind w:left="5"/>
              <w:spacing w:after="0"/>
              <w:rPr>
                <w:sz w:val="20"/>
                <w:szCs w:val="20"/>
                <w:color w:val="auto"/>
              </w:rPr>
            </w:pPr>
            <w:r>
              <w:rPr>
                <w:rFonts w:ascii="Arial" w:cs="Arial" w:eastAsia="Arial" w:hAnsi="Arial"/>
                <w:sz w:val="19"/>
                <w:szCs w:val="19"/>
                <w:color w:val="auto"/>
                <w:w w:val="87"/>
              </w:rPr>
              <w:t>comprehensive earnings</w:t>
            </w:r>
          </w:p>
        </w:tc>
        <w:tc>
          <w:tcPr>
            <w:tcW w:w="0" w:type="dxa"/>
            <w:vAlign w:val="bottom"/>
          </w:tcPr>
          <w:p>
            <w:pPr>
              <w:spacing w:after="0"/>
              <w:rPr>
                <w:sz w:val="1"/>
                <w:szCs w:val="1"/>
                <w:color w:val="auto"/>
              </w:rPr>
            </w:pPr>
          </w:p>
        </w:tc>
      </w:tr>
      <w:tr>
        <w:trPr>
          <w:trHeight w:val="234"/>
        </w:trPr>
        <w:tc>
          <w:tcPr>
            <w:tcW w:w="3620" w:type="dxa"/>
            <w:vAlign w:val="bottom"/>
            <w:gridSpan w:val="2"/>
            <w:vMerge w:val="restart"/>
          </w:tcPr>
          <w:p>
            <w:pPr>
              <w:spacing w:after="0"/>
              <w:rPr>
                <w:sz w:val="20"/>
                <w:szCs w:val="20"/>
                <w:color w:val="auto"/>
              </w:rPr>
            </w:pPr>
            <w:r>
              <w:rPr>
                <w:rFonts w:ascii="Arial" w:cs="Arial" w:eastAsia="Arial" w:hAnsi="Arial"/>
                <w:sz w:val="19"/>
                <w:szCs w:val="19"/>
                <w:color w:val="auto"/>
              </w:rPr>
              <w:t>Pension and postretirement</w:t>
            </w:r>
          </w:p>
        </w:tc>
        <w:tc>
          <w:tcPr>
            <w:tcW w:w="2760" w:type="dxa"/>
            <w:vAlign w:val="bottom"/>
            <w:gridSpan w:val="4"/>
          </w:tcPr>
          <w:p>
            <w:pPr>
              <w:jc w:val="right"/>
              <w:ind w:right="22"/>
              <w:spacing w:after="0"/>
              <w:rPr>
                <w:sz w:val="20"/>
                <w:szCs w:val="20"/>
                <w:color w:val="auto"/>
              </w:rPr>
            </w:pPr>
            <w:r>
              <w:rPr>
                <w:rFonts w:ascii="Arial" w:cs="Arial" w:eastAsia="Arial" w:hAnsi="Arial"/>
                <w:sz w:val="19"/>
                <w:szCs w:val="19"/>
                <w:i w:val="1"/>
                <w:iCs w:val="1"/>
                <w:color w:val="auto"/>
              </w:rPr>
              <w:t>(Dollars in Thousands)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2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20"/>
              <w:spacing w:after="0"/>
              <w:rPr>
                <w:sz w:val="20"/>
                <w:szCs w:val="20"/>
                <w:color w:val="auto"/>
              </w:rPr>
            </w:pPr>
            <w:r>
              <w:rPr>
                <w:rFonts w:ascii="Arial" w:cs="Arial" w:eastAsia="Arial" w:hAnsi="Arial"/>
                <w:sz w:val="19"/>
                <w:szCs w:val="19"/>
                <w:color w:val="auto"/>
              </w:rPr>
              <w:t>benefit plans</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9"/>
                <w:szCs w:val="19"/>
                <w:color w:val="auto"/>
              </w:rPr>
              <w:t>Settlement charge</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59</w:t>
            </w:r>
          </w:p>
        </w:tc>
        <w:tc>
          <w:tcPr>
            <w:tcW w:w="300" w:type="dxa"/>
            <w:vAlign w:val="bottom"/>
          </w:tcPr>
          <w:p>
            <w:pPr>
              <w:spacing w:after="0"/>
              <w:rPr>
                <w:sz w:val="19"/>
                <w:szCs w:val="19"/>
                <w:color w:val="auto"/>
              </w:rPr>
            </w:pP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tcPr>
          <w:p>
            <w:pPr>
              <w:ind w:left="240"/>
              <w:spacing w:after="0"/>
              <w:rPr>
                <w:sz w:val="20"/>
                <w:szCs w:val="20"/>
                <w:color w:val="auto"/>
              </w:rPr>
            </w:pPr>
            <w:r>
              <w:rPr>
                <w:rFonts w:ascii="Arial" w:cs="Arial" w:eastAsia="Arial" w:hAnsi="Arial"/>
                <w:sz w:val="19"/>
                <w:szCs w:val="19"/>
                <w:color w:val="auto"/>
              </w:rPr>
              <w:t>Amortization of:</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Prior service credit</w:t>
            </w:r>
          </w:p>
        </w:tc>
        <w:tc>
          <w:tcPr>
            <w:tcW w:w="10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(374)</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(471)</w:t>
            </w:r>
          </w:p>
        </w:tc>
        <w:tc>
          <w:tcPr>
            <w:tcW w:w="4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Actuarial loss</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2,732</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3,024</w:t>
            </w:r>
          </w:p>
        </w:tc>
        <w:tc>
          <w:tcPr>
            <w:tcW w:w="180" w:type="dxa"/>
            <w:vAlign w:val="bottom"/>
            <w:tcBorders>
              <w:bottom w:val="single" w:sz="8" w:color="CFF0FC"/>
            </w:tcBorders>
          </w:tcPr>
          <w:p>
            <w:pPr>
              <w:spacing w:after="0"/>
              <w:rPr>
                <w:sz w:val="19"/>
                <w:szCs w:val="19"/>
                <w:color w:val="auto"/>
              </w:rPr>
            </w:pPr>
          </w:p>
        </w:tc>
        <w:tc>
          <w:tcPr>
            <w:tcW w:w="4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320" w:type="dxa"/>
            <w:vAlign w:val="bottom"/>
            <w:shd w:val="clear" w:color="auto" w:fill="CFF0FC"/>
          </w:tcPr>
          <w:p>
            <w:pPr>
              <w:ind w:left="100"/>
              <w:spacing w:after="0" w:line="201" w:lineRule="exact"/>
              <w:rPr>
                <w:sz w:val="20"/>
                <w:szCs w:val="20"/>
                <w:color w:val="auto"/>
              </w:rPr>
            </w:pPr>
            <w:r>
              <w:rPr>
                <w:rFonts w:ascii="Arial" w:cs="Arial" w:eastAsia="Arial" w:hAnsi="Arial"/>
                <w:sz w:val="19"/>
                <w:szCs w:val="19"/>
                <w:color w:val="auto"/>
              </w:rPr>
              <w:t>Cost of sales; Selling, general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2,417</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2,553</w:t>
            </w:r>
          </w:p>
        </w:tc>
        <w:tc>
          <w:tcPr>
            <w:tcW w:w="180" w:type="dxa"/>
            <w:vAlign w:val="bottom"/>
            <w:shd w:val="clear" w:color="auto" w:fill="CFF0FC"/>
          </w:tcPr>
          <w:p>
            <w:pPr>
              <w:spacing w:after="0"/>
              <w:rPr>
                <w:sz w:val="20"/>
                <w:szCs w:val="20"/>
                <w:color w:val="auto"/>
              </w:rPr>
            </w:pPr>
          </w:p>
        </w:tc>
        <w:tc>
          <w:tcPr>
            <w:tcW w:w="4320" w:type="dxa"/>
            <w:vAlign w:val="bottom"/>
            <w:shd w:val="clear" w:color="auto" w:fill="CFF0FC"/>
          </w:tcPr>
          <w:p>
            <w:pPr>
              <w:ind w:left="340"/>
              <w:spacing w:after="0"/>
              <w:rPr>
                <w:sz w:val="20"/>
                <w:szCs w:val="20"/>
                <w:color w:val="auto"/>
              </w:rPr>
            </w:pPr>
            <w:r>
              <w:rPr>
                <w:rFonts w:ascii="Arial" w:cs="Arial" w:eastAsia="Arial" w:hAnsi="Arial"/>
                <w:sz w:val="19"/>
                <w:szCs w:val="19"/>
                <w:color w:val="auto"/>
              </w:rPr>
              <w:t>and administrative expenses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9"/>
                <w:szCs w:val="19"/>
                <w:color w:val="auto"/>
              </w:rPr>
              <w:t>Tax benefit</w:t>
            </w:r>
          </w:p>
        </w:tc>
        <w:tc>
          <w:tcPr>
            <w:tcW w:w="10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(944)</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9"/>
                <w:szCs w:val="19"/>
                <w:color w:val="auto"/>
                <w:w w:val="96"/>
              </w:rPr>
              <w:t>(1,016)</w:t>
            </w:r>
          </w:p>
        </w:tc>
        <w:tc>
          <w:tcPr>
            <w:tcW w:w="4320" w:type="dxa"/>
            <w:vAlign w:val="bottom"/>
          </w:tcPr>
          <w:p>
            <w:pPr>
              <w:ind w:left="100"/>
              <w:spacing w:after="0"/>
              <w:rPr>
                <w:sz w:val="20"/>
                <w:szCs w:val="20"/>
                <w:color w:val="auto"/>
              </w:rPr>
            </w:pPr>
            <w:r>
              <w:rPr>
                <w:rFonts w:ascii="Arial" w:cs="Arial" w:eastAsia="Arial" w:hAnsi="Arial"/>
                <w:sz w:val="19"/>
                <w:szCs w:val="19"/>
                <w:color w:val="auto"/>
              </w:rPr>
              <w:t>Taxes on income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1,473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1,537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0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Unamortized value of terminated</w:t>
            </w: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FF0FC"/>
          </w:tcPr>
          <w:p>
            <w:pPr>
              <w:ind w:left="220"/>
              <w:spacing w:after="0" w:line="216" w:lineRule="exact"/>
              <w:rPr>
                <w:sz w:val="20"/>
                <w:szCs w:val="20"/>
                <w:color w:val="auto"/>
              </w:rPr>
            </w:pPr>
            <w:r>
              <w:rPr>
                <w:rFonts w:ascii="Arial" w:cs="Arial" w:eastAsia="Arial" w:hAnsi="Arial"/>
                <w:sz w:val="19"/>
                <w:szCs w:val="19"/>
                <w:color w:val="auto"/>
              </w:rPr>
              <w:t>forward starting interest</w:t>
            </w: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rate swap</w:t>
            </w:r>
          </w:p>
        </w:tc>
        <w:tc>
          <w:tcPr>
            <w:tcW w:w="10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9"/>
                <w:szCs w:val="19"/>
                <w:color w:val="auto"/>
              </w:rPr>
              <w:t>Additional interest expense</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332</w:t>
            </w:r>
          </w:p>
        </w:tc>
        <w:tc>
          <w:tcPr>
            <w:tcW w:w="300" w:type="dxa"/>
            <w:vAlign w:val="bottom"/>
          </w:tcPr>
          <w:p>
            <w:pPr>
              <w:spacing w:after="0"/>
              <w:rPr>
                <w:sz w:val="19"/>
                <w:szCs w:val="19"/>
                <w:color w:val="auto"/>
              </w:rPr>
            </w:pP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307</w:t>
            </w:r>
          </w:p>
        </w:tc>
        <w:tc>
          <w:tcPr>
            <w:tcW w:w="18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9"/>
                <w:szCs w:val="19"/>
                <w:color w:val="auto"/>
              </w:rPr>
              <w:t>Interest 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10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(131)</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(120)</w:t>
            </w:r>
          </w:p>
        </w:tc>
        <w:tc>
          <w:tcPr>
            <w:tcW w:w="4320" w:type="dxa"/>
            <w:vAlign w:val="bottom"/>
            <w:shd w:val="clear" w:color="auto" w:fill="CFF0FC"/>
          </w:tcPr>
          <w:p>
            <w:pPr>
              <w:ind w:left="100"/>
              <w:spacing w:after="0"/>
              <w:rPr>
                <w:sz w:val="20"/>
                <w:szCs w:val="20"/>
                <w:color w:val="auto"/>
              </w:rPr>
            </w:pPr>
            <w:r>
              <w:rPr>
                <w:rFonts w:ascii="Arial" w:cs="Arial" w:eastAsia="Arial" w:hAnsi="Arial"/>
                <w:sz w:val="19"/>
                <w:szCs w:val="19"/>
                <w:color w:val="auto"/>
              </w:rPr>
              <w:t>Taxes on income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201</w:t>
            </w: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187</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right="7400" w:hanging="372"/>
        <w:spacing w:after="0" w:line="394" w:lineRule="auto"/>
        <w:tabs>
          <w:tab w:leader="none" w:pos="37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Earnings per Common Share</w:t>
      </w:r>
    </w:p>
    <w:p>
      <w:pPr>
        <w:spacing w:after="0" w:line="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9"/>
          <w:szCs w:val="19"/>
          <w:color w:val="auto"/>
        </w:rPr>
        <w:t>The numerator for basic and diluted earnings per common share is net earnings attributable to Martin Marietta Materials, Inc. reduced by dividends and undistributed earnings attributable to the Corporation’s certain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Corporation’s Board of Directors under certain stock-based compensation arrangements if the conversion is dilutive. For the three months ended March 31, 2016 and 2015, the diluted per-share computations reflect a change in the number of common shares outstanding to include the number of additional shares that would have been outstanding if the potentially dilutive common shares had been issued.</w:t>
      </w:r>
    </w:p>
    <w:p>
      <w:pPr>
        <w:spacing w:after="0" w:line="19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8"/>
          </w:tcPr>
          <w:p>
            <w:pPr>
              <w:jc w:val="center"/>
              <w:ind w:right="60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5"/>
          </w:tcPr>
          <w:p>
            <w:pPr>
              <w:jc w:val="center"/>
              <w:ind w:left="581"/>
              <w:spacing w:after="0"/>
              <w:rPr>
                <w:sz w:val="20"/>
                <w:szCs w:val="20"/>
                <w:color w:val="auto"/>
              </w:rPr>
            </w:pPr>
            <w:r>
              <w:rPr>
                <w:rFonts w:ascii="Arial" w:cs="Arial" w:eastAsia="Arial" w:hAnsi="Arial"/>
                <w:sz w:val="20"/>
                <w:szCs w:val="20"/>
                <w:color w:val="auto"/>
                <w:w w:val="89"/>
              </w:rPr>
              <w:t>March 31,</w:t>
            </w: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840" w:type="dxa"/>
            <w:vAlign w:val="bottom"/>
            <w:gridSpan w:val="2"/>
            <w:vMerge w:val="restart"/>
          </w:tcPr>
          <w:p>
            <w:pPr>
              <w:spacing w:after="0"/>
              <w:rPr>
                <w:sz w:val="20"/>
                <w:szCs w:val="20"/>
                <w:color w:val="auto"/>
              </w:rPr>
            </w:pPr>
            <w:r>
              <w:rPr>
                <w:rFonts w:ascii="Arial" w:cs="Arial" w:eastAsia="Arial" w:hAnsi="Arial"/>
                <w:sz w:val="20"/>
                <w:szCs w:val="20"/>
                <w:color w:val="auto"/>
              </w:rPr>
              <w:t>Net earnings from continuing operations attributable to</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6"/>
          </w:tcPr>
          <w:p>
            <w:pPr>
              <w:jc w:val="center"/>
              <w:ind w:right="381"/>
              <w:spacing w:after="0"/>
              <w:rPr>
                <w:sz w:val="20"/>
                <w:szCs w:val="20"/>
                <w:color w:val="auto"/>
              </w:rPr>
            </w:pPr>
            <w:r>
              <w:rPr>
                <w:rFonts w:ascii="Arial" w:cs="Arial" w:eastAsia="Arial" w:hAnsi="Arial"/>
                <w:sz w:val="20"/>
                <w:szCs w:val="20"/>
                <w:i w:val="1"/>
                <w:iCs w:val="1"/>
                <w:color w:val="auto"/>
                <w:w w:val="89"/>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4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20" w:type="dxa"/>
            <w:vAlign w:val="bottom"/>
          </w:tcPr>
          <w:p>
            <w:pPr>
              <w:ind w:left="280"/>
              <w:spacing w:after="0"/>
              <w:rPr>
                <w:sz w:val="20"/>
                <w:szCs w:val="20"/>
                <w:color w:val="auto"/>
              </w:rPr>
            </w:pPr>
            <w:r>
              <w:rPr>
                <w:rFonts w:ascii="Arial" w:cs="Arial" w:eastAsia="Arial" w:hAnsi="Arial"/>
                <w:sz w:val="20"/>
                <w:szCs w:val="20"/>
                <w:color w:val="auto"/>
              </w:rPr>
              <w:t>Martin Marietta Materials, Inc.</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44,994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6,126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Less: Distributed and undistributed earnings attributable to</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unvested awards</w:t>
            </w: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298</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1,369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840" w:type="dxa"/>
            <w:vAlign w:val="bottom"/>
            <w:gridSpan w:val="2"/>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820" w:type="dxa"/>
            <w:vAlign w:val="bottom"/>
          </w:tcPr>
          <w:p>
            <w:pPr>
              <w:ind w:left="240"/>
              <w:spacing w:after="0"/>
              <w:rPr>
                <w:sz w:val="20"/>
                <w:szCs w:val="20"/>
                <w:color w:val="auto"/>
              </w:rPr>
            </w:pPr>
            <w:r>
              <w:rPr>
                <w:rFonts w:ascii="Arial" w:cs="Arial" w:eastAsia="Arial" w:hAnsi="Arial"/>
                <w:sz w:val="20"/>
                <w:szCs w:val="20"/>
                <w:color w:val="auto"/>
              </w:rPr>
              <w:t>shareholders attributable to Martin Marietta Materials, Inc.</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44,696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4,757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8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tcPr>
          <w:p>
            <w:pPr>
              <w:spacing w:after="0"/>
              <w:rPr>
                <w:sz w:val="20"/>
                <w:szCs w:val="20"/>
                <w:color w:val="auto"/>
              </w:rPr>
            </w:pPr>
            <w:r>
              <w:rPr>
                <w:rFonts w:ascii="Arial" w:cs="Arial" w:eastAsia="Arial" w:hAnsi="Arial"/>
                <w:sz w:val="20"/>
                <w:szCs w:val="20"/>
                <w:color w:val="auto"/>
              </w:rPr>
              <w:t>Basic weighted-average common shares outstanding</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64,158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67,411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Effect of dilutive employee and director awards</w:t>
            </w: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spacing w:after="0"/>
              <w:rPr>
                <w:sz w:val="20"/>
                <w:szCs w:val="20"/>
                <w:color w:val="auto"/>
              </w:rPr>
            </w:pPr>
            <w:r>
              <w:rPr>
                <w:rFonts w:ascii="Arial" w:cs="Arial" w:eastAsia="Arial" w:hAnsi="Arial"/>
                <w:sz w:val="20"/>
                <w:szCs w:val="20"/>
                <w:color w:val="auto"/>
              </w:rPr>
              <w:t>Diluted weighted-average common shares outstanding</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64,350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67,676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2.  Inventories, Net</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8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center"/>
              <w:ind w:right="261"/>
              <w:spacing w:after="0"/>
              <w:rPr>
                <w:sz w:val="20"/>
                <w:szCs w:val="20"/>
                <w:color w:val="auto"/>
              </w:rPr>
            </w:pPr>
            <w:r>
              <w:rPr>
                <w:rFonts w:ascii="Arial" w:cs="Arial" w:eastAsia="Arial" w:hAnsi="Arial"/>
                <w:sz w:val="20"/>
                <w:szCs w:val="20"/>
                <w:color w:val="auto"/>
                <w:w w:val="89"/>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20"/>
                <w:szCs w:val="20"/>
                <w:color w:val="auto"/>
                <w:w w:val="89"/>
              </w:rPr>
              <w:t>December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20"/>
                <w:szCs w:val="20"/>
                <w:color w:val="auto"/>
                <w:w w:val="98"/>
              </w:rPr>
              <w:t>March 31,</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2016</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2015</w:t>
            </w: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2015</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8"/>
          </w:tcPr>
          <w:p>
            <w:pPr>
              <w:jc w:val="center"/>
              <w:ind w:right="81"/>
              <w:spacing w:after="0"/>
              <w:rPr>
                <w:sz w:val="20"/>
                <w:szCs w:val="20"/>
                <w:color w:val="auto"/>
              </w:rPr>
            </w:pPr>
            <w:r>
              <w:rPr>
                <w:rFonts w:ascii="Arial" w:cs="Arial" w:eastAsia="Arial" w:hAnsi="Arial"/>
                <w:sz w:val="20"/>
                <w:szCs w:val="20"/>
                <w:i w:val="1"/>
                <w:iCs w:val="1"/>
                <w:color w:val="auto"/>
                <w:w w:val="92"/>
              </w:rPr>
              <w:t>(Dollars in Thousands)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443,470</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433,649</w:t>
            </w:r>
          </w:p>
        </w:tc>
        <w:tc>
          <w:tcPr>
            <w:tcW w:w="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428,783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59,761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55,194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70,558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9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112,022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110,882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125,547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615,253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599,725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624,888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1"/>
              <w:spacing w:after="0"/>
              <w:rPr>
                <w:sz w:val="20"/>
                <w:szCs w:val="20"/>
                <w:color w:val="auto"/>
              </w:rPr>
            </w:pPr>
            <w:r>
              <w:rPr>
                <w:rFonts w:ascii="Arial" w:cs="Arial" w:eastAsia="Arial" w:hAnsi="Arial"/>
                <w:sz w:val="20"/>
                <w:szCs w:val="20"/>
                <w:color w:val="auto"/>
              </w:rPr>
              <w:t>(129,886)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(130,584)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(119,841)</w:t>
            </w:r>
          </w:p>
        </w:tc>
        <w:tc>
          <w:tcPr>
            <w:tcW w:w="0" w:type="dxa"/>
            <w:vAlign w:val="bottom"/>
          </w:tcPr>
          <w:p>
            <w:pPr>
              <w:spacing w:after="0"/>
              <w:rPr>
                <w:sz w:val="1"/>
                <w:szCs w:val="1"/>
                <w:color w:val="auto"/>
              </w:rPr>
            </w:pPr>
          </w:p>
        </w:tc>
      </w:tr>
      <w:tr>
        <w:trPr>
          <w:trHeight w:val="237"/>
        </w:trPr>
        <w:tc>
          <w:tcPr>
            <w:tcW w:w="5840" w:type="dxa"/>
            <w:vAlign w:val="bottom"/>
            <w:gridSpan w:val="2"/>
          </w:tcPr>
          <w:p>
            <w:pPr>
              <w:spacing w:after="0"/>
              <w:rPr>
                <w:sz w:val="20"/>
                <w:szCs w:val="20"/>
                <w:color w:val="auto"/>
              </w:rPr>
            </w:pPr>
            <w:r>
              <w:rPr>
                <w:rFonts w:ascii="Arial" w:cs="Arial" w:eastAsia="Arial" w:hAnsi="Arial"/>
                <w:sz w:val="20"/>
                <w:szCs w:val="20"/>
                <w:color w:val="auto"/>
              </w:rPr>
              <w:t>Total</w:t>
            </w:r>
          </w:p>
        </w:tc>
        <w:tc>
          <w:tcPr>
            <w:tcW w:w="9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485,367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469,141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505,047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spacing w:after="0"/>
              <w:rPr>
                <w:sz w:val="20"/>
                <w:szCs w:val="20"/>
                <w:color w:val="auto"/>
              </w:rPr>
            </w:pPr>
            <w:r>
              <w:rPr>
                <w:rFonts w:ascii="Arial" w:cs="Arial" w:eastAsia="Arial" w:hAnsi="Arial"/>
                <w:sz w:val="20"/>
                <w:szCs w:val="20"/>
                <w:b w:val="1"/>
                <w:bCs w:val="1"/>
                <w:color w:val="auto"/>
              </w:rPr>
              <w:t>3.  Long-Term Debt</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30"/>
        </w:trPr>
        <w:tc>
          <w:tcPr>
            <w:tcW w:w="6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421"/>
              <w:spacing w:after="0"/>
              <w:rPr>
                <w:sz w:val="20"/>
                <w:szCs w:val="20"/>
                <w:color w:val="auto"/>
              </w:rPr>
            </w:pPr>
            <w:r>
              <w:rPr>
                <w:rFonts w:ascii="Arial" w:cs="Arial" w:eastAsia="Arial" w:hAnsi="Arial"/>
                <w:sz w:val="20"/>
                <w:szCs w:val="20"/>
                <w:color w:val="auto"/>
                <w:w w:val="96"/>
              </w:rPr>
              <w:t>March 31,</w:t>
            </w:r>
          </w:p>
        </w:tc>
        <w:tc>
          <w:tcPr>
            <w:tcW w:w="10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December 31,</w:t>
            </w: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20"/>
                <w:szCs w:val="20"/>
                <w:color w:val="auto"/>
                <w:w w:val="96"/>
              </w:rPr>
              <w:t>March 31,</w:t>
            </w:r>
          </w:p>
        </w:tc>
      </w:tr>
      <w:tr>
        <w:trPr>
          <w:trHeight w:val="246"/>
        </w:trPr>
        <w:tc>
          <w:tcPr>
            <w:tcW w:w="6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2016</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color w:val="auto"/>
                <w:w w:val="89"/>
              </w:rPr>
              <w:t>2015</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2015</w:t>
            </w:r>
          </w:p>
        </w:tc>
        <w:tc>
          <w:tcPr>
            <w:tcW w:w="120" w:type="dxa"/>
            <w:vAlign w:val="bottom"/>
          </w:tcPr>
          <w:p>
            <w:pPr>
              <w:spacing w:after="0"/>
              <w:rPr>
                <w:sz w:val="21"/>
                <w:szCs w:val="21"/>
                <w:color w:val="auto"/>
              </w:rPr>
            </w:pPr>
          </w:p>
        </w:tc>
      </w:tr>
      <w:tr>
        <w:trPr>
          <w:trHeight w:val="237"/>
        </w:trPr>
        <w:tc>
          <w:tcPr>
            <w:tcW w:w="6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20"/>
                <w:szCs w:val="20"/>
                <w:i w:val="1"/>
                <w:iCs w:val="1"/>
                <w:color w:val="auto"/>
                <w:w w:val="91"/>
              </w:rPr>
              <w:t>(Dollars in Thousands)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260" w:type="dxa"/>
            <w:vAlign w:val="bottom"/>
            <w:shd w:val="clear" w:color="auto" w:fill="CFF0FC"/>
          </w:tcPr>
          <w:p>
            <w:pPr>
              <w:spacing w:after="0"/>
              <w:rPr>
                <w:sz w:val="20"/>
                <w:szCs w:val="20"/>
                <w:color w:val="auto"/>
              </w:rPr>
            </w:pPr>
            <w:r>
              <w:rPr>
                <w:rFonts w:ascii="Arial" w:cs="Arial" w:eastAsia="Arial" w:hAnsi="Arial"/>
                <w:sz w:val="20"/>
                <w:szCs w:val="20"/>
                <w:color w:val="auto"/>
              </w:rPr>
              <w:t>6.6% Senior Notes, due 2018</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299,201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299,113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298,842</w:t>
            </w:r>
          </w:p>
        </w:tc>
        <w:tc>
          <w:tcPr>
            <w:tcW w:w="120" w:type="dxa"/>
            <w:vAlign w:val="bottom"/>
            <w:shd w:val="clear" w:color="auto" w:fill="CFF0FC"/>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20"/>
                <w:szCs w:val="20"/>
                <w:color w:val="auto"/>
              </w:rPr>
              <w:t>7% Debentures, due 2025</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124,024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124,002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123,938</w:t>
            </w:r>
          </w:p>
        </w:tc>
        <w:tc>
          <w:tcPr>
            <w:tcW w:w="120" w:type="dxa"/>
            <w:vAlign w:val="bottom"/>
          </w:tcPr>
          <w:p>
            <w:pPr>
              <w:spacing w:after="0"/>
              <w:rPr>
                <w:sz w:val="21"/>
                <w:szCs w:val="21"/>
                <w:color w:val="auto"/>
              </w:rPr>
            </w:pPr>
          </w:p>
        </w:tc>
      </w:tr>
      <w:tr>
        <w:trPr>
          <w:trHeight w:val="243"/>
        </w:trPr>
        <w:tc>
          <w:tcPr>
            <w:tcW w:w="6260" w:type="dxa"/>
            <w:vAlign w:val="bottom"/>
            <w:shd w:val="clear" w:color="auto" w:fill="CFF0FC"/>
          </w:tcPr>
          <w:p>
            <w:pPr>
              <w:spacing w:after="0"/>
              <w:rPr>
                <w:sz w:val="20"/>
                <w:szCs w:val="20"/>
                <w:color w:val="auto"/>
              </w:rPr>
            </w:pPr>
            <w:r>
              <w:rPr>
                <w:rFonts w:ascii="Arial" w:cs="Arial" w:eastAsia="Arial" w:hAnsi="Arial"/>
                <w:sz w:val="20"/>
                <w:szCs w:val="20"/>
                <w:color w:val="auto"/>
              </w:rPr>
              <w:t>6.25% Senior Notes, due 2037</w:t>
            </w: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227,933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227,917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227,880</w:t>
            </w:r>
          </w:p>
        </w:tc>
        <w:tc>
          <w:tcPr>
            <w:tcW w:w="120" w:type="dxa"/>
            <w:vAlign w:val="bottom"/>
            <w:shd w:val="clear" w:color="auto" w:fill="CFF0FC"/>
          </w:tcPr>
          <w:p>
            <w:pPr>
              <w:spacing w:after="0"/>
              <w:rPr>
                <w:sz w:val="21"/>
                <w:szCs w:val="21"/>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20"/>
                <w:szCs w:val="20"/>
                <w:color w:val="auto"/>
              </w:rPr>
              <w:t>4.25 % Senior Notes, due 2024</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394,843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394,690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394,304</w:t>
            </w:r>
          </w:p>
        </w:tc>
        <w:tc>
          <w:tcPr>
            <w:tcW w:w="120" w:type="dxa"/>
            <w:vAlign w:val="bottom"/>
          </w:tcPr>
          <w:p>
            <w:pPr>
              <w:spacing w:after="0"/>
              <w:rPr>
                <w:sz w:val="21"/>
                <w:szCs w:val="21"/>
                <w:color w:val="auto"/>
              </w:rPr>
            </w:pPr>
          </w:p>
        </w:tc>
      </w:tr>
      <w:tr>
        <w:trPr>
          <w:trHeight w:val="226"/>
        </w:trPr>
        <w:tc>
          <w:tcPr>
            <w:tcW w:w="62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Floating Rate Notes, due 2017, interest rate of 2.13%,</w:t>
            </w: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1.71% and 1.36% at March 31, 2016, December 31, 2015</w:t>
            </w: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6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and March 31, 2015, respectively</w:t>
            </w: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298,837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298,868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298,304</w:t>
            </w:r>
          </w:p>
        </w:tc>
        <w:tc>
          <w:tcPr>
            <w:tcW w:w="120" w:type="dxa"/>
            <w:vAlign w:val="bottom"/>
            <w:shd w:val="clear" w:color="auto" w:fill="CFF0FC"/>
          </w:tcPr>
          <w:p>
            <w:pPr>
              <w:spacing w:after="0"/>
              <w:rPr>
                <w:sz w:val="21"/>
                <w:szCs w:val="21"/>
                <w:color w:val="auto"/>
              </w:rPr>
            </w:pPr>
          </w:p>
        </w:tc>
      </w:tr>
      <w:tr>
        <w:trPr>
          <w:trHeight w:val="226"/>
        </w:trPr>
        <w:tc>
          <w:tcPr>
            <w:tcW w:w="6260" w:type="dxa"/>
            <w:vAlign w:val="bottom"/>
          </w:tcPr>
          <w:p>
            <w:pPr>
              <w:spacing w:after="0" w:line="227" w:lineRule="exact"/>
              <w:rPr>
                <w:sz w:val="20"/>
                <w:szCs w:val="20"/>
                <w:color w:val="auto"/>
              </w:rPr>
            </w:pPr>
            <w:r>
              <w:rPr>
                <w:rFonts w:ascii="Arial" w:cs="Arial" w:eastAsia="Arial" w:hAnsi="Arial"/>
                <w:sz w:val="20"/>
                <w:szCs w:val="20"/>
                <w:color w:val="auto"/>
                <w:w w:val="99"/>
              </w:rPr>
              <w:t>Term Loan Facility, due 2018, interest rate of 1.94%, 1.86% and 1.67%</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60" w:type="dxa"/>
            <w:vAlign w:val="bottom"/>
          </w:tcPr>
          <w:p>
            <w:pPr>
              <w:ind w:left="260"/>
              <w:spacing w:after="0"/>
              <w:rPr>
                <w:sz w:val="20"/>
                <w:szCs w:val="20"/>
                <w:color w:val="auto"/>
              </w:rPr>
            </w:pPr>
            <w:r>
              <w:rPr>
                <w:rFonts w:ascii="Arial" w:cs="Arial" w:eastAsia="Arial" w:hAnsi="Arial"/>
                <w:sz w:val="20"/>
                <w:szCs w:val="20"/>
                <w:color w:val="auto"/>
              </w:rPr>
              <w:t>at March 31, 2016, December 31, 2015 and March 31, 2015,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6260" w:type="dxa"/>
            <w:vAlign w:val="bottom"/>
          </w:tcPr>
          <w:p>
            <w:pPr>
              <w:ind w:left="260"/>
              <w:spacing w:after="0"/>
              <w:rPr>
                <w:sz w:val="20"/>
                <w:szCs w:val="20"/>
                <w:color w:val="auto"/>
              </w:rPr>
            </w:pPr>
            <w:r>
              <w:rPr>
                <w:rFonts w:ascii="Arial" w:cs="Arial" w:eastAsia="Arial" w:hAnsi="Arial"/>
                <w:sz w:val="20"/>
                <w:szCs w:val="20"/>
                <w:color w:val="auto"/>
              </w:rPr>
              <w:t>respectively</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217,109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222,521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231,259</w:t>
            </w:r>
          </w:p>
        </w:tc>
        <w:tc>
          <w:tcPr>
            <w:tcW w:w="120" w:type="dxa"/>
            <w:vAlign w:val="bottom"/>
          </w:tcPr>
          <w:p>
            <w:pPr>
              <w:spacing w:after="0"/>
              <w:rPr>
                <w:sz w:val="21"/>
                <w:szCs w:val="21"/>
                <w:color w:val="auto"/>
              </w:rPr>
            </w:pPr>
          </w:p>
        </w:tc>
      </w:tr>
      <w:tr>
        <w:trPr>
          <w:trHeight w:val="243"/>
        </w:trPr>
        <w:tc>
          <w:tcPr>
            <w:tcW w:w="6260" w:type="dxa"/>
            <w:vAlign w:val="bottom"/>
            <w:shd w:val="clear" w:color="auto" w:fill="CFF0FC"/>
          </w:tcPr>
          <w:p>
            <w:pPr>
              <w:spacing w:after="0"/>
              <w:rPr>
                <w:sz w:val="20"/>
                <w:szCs w:val="20"/>
                <w:color w:val="auto"/>
              </w:rPr>
            </w:pPr>
            <w:r>
              <w:rPr>
                <w:rFonts w:ascii="Arial" w:cs="Arial" w:eastAsia="Arial" w:hAnsi="Arial"/>
                <w:sz w:val="20"/>
                <w:szCs w:val="20"/>
                <w:color w:val="auto"/>
              </w:rPr>
              <w:t>Revolving Facility, interest rate of 3.75%</w:t>
            </w: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30,000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6260" w:type="dxa"/>
            <w:vAlign w:val="bottom"/>
          </w:tcPr>
          <w:p>
            <w:pPr>
              <w:spacing w:after="0"/>
              <w:rPr>
                <w:sz w:val="20"/>
                <w:szCs w:val="20"/>
                <w:color w:val="auto"/>
              </w:rPr>
            </w:pPr>
            <w:r>
              <w:rPr>
                <w:rFonts w:ascii="Arial" w:cs="Arial" w:eastAsia="Arial" w:hAnsi="Arial"/>
                <w:sz w:val="20"/>
                <w:szCs w:val="20"/>
                <w:color w:val="auto"/>
              </w:rPr>
              <w:t>Trade Receivable Facility, interest rate of 1.13% at March 31, 2016</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159,925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6260" w:type="dxa"/>
            <w:vAlign w:val="bottom"/>
            <w:shd w:val="clear" w:color="auto" w:fill="CFF0FC"/>
          </w:tcPr>
          <w:p>
            <w:pPr>
              <w:spacing w:after="0"/>
              <w:rPr>
                <w:sz w:val="20"/>
                <w:szCs w:val="20"/>
                <w:color w:val="auto"/>
              </w:rPr>
            </w:pPr>
            <w:r>
              <w:rPr>
                <w:rFonts w:ascii="Arial" w:cs="Arial" w:eastAsia="Arial" w:hAnsi="Arial"/>
                <w:sz w:val="20"/>
                <w:szCs w:val="20"/>
                <w:color w:val="auto"/>
              </w:rPr>
              <w:t>Other notes</w:t>
            </w:r>
          </w:p>
        </w:tc>
        <w:tc>
          <w:tcPr>
            <w:tcW w:w="5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885</w:t>
            </w:r>
          </w:p>
        </w:tc>
        <w:tc>
          <w:tcPr>
            <w:tcW w:w="26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1,663</w:t>
            </w:r>
          </w:p>
        </w:tc>
        <w:tc>
          <w:tcPr>
            <w:tcW w:w="2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1,536</w:t>
            </w:r>
          </w:p>
        </w:tc>
        <w:tc>
          <w:tcPr>
            <w:tcW w:w="120" w:type="dxa"/>
            <w:vAlign w:val="bottom"/>
            <w:shd w:val="clear" w:color="auto" w:fill="CFF0FC"/>
          </w:tcPr>
          <w:p>
            <w:pPr>
              <w:spacing w:after="0"/>
              <w:rPr>
                <w:sz w:val="21"/>
                <w:szCs w:val="21"/>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20"/>
                <w:szCs w:val="20"/>
                <w:color w:val="auto"/>
              </w:rPr>
              <w:t>Total debt</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1,752,757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1,568,774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1,576,063</w:t>
            </w:r>
          </w:p>
        </w:tc>
        <w:tc>
          <w:tcPr>
            <w:tcW w:w="120" w:type="dxa"/>
            <w:vAlign w:val="bottom"/>
          </w:tcPr>
          <w:p>
            <w:pPr>
              <w:spacing w:after="0"/>
              <w:rPr>
                <w:sz w:val="20"/>
                <w:szCs w:val="20"/>
                <w:color w:val="auto"/>
              </w:rPr>
            </w:pPr>
          </w:p>
        </w:tc>
      </w:tr>
      <w:tr>
        <w:trPr>
          <w:trHeight w:val="243"/>
        </w:trPr>
        <w:tc>
          <w:tcPr>
            <w:tcW w:w="6260" w:type="dxa"/>
            <w:vAlign w:val="bottom"/>
            <w:shd w:val="clear" w:color="auto" w:fill="CFF0FC"/>
          </w:tcPr>
          <w:p>
            <w:pPr>
              <w:spacing w:after="0"/>
              <w:rPr>
                <w:sz w:val="20"/>
                <w:szCs w:val="20"/>
                <w:color w:val="auto"/>
              </w:rPr>
            </w:pPr>
            <w:r>
              <w:rPr>
                <w:rFonts w:ascii="Arial" w:cs="Arial" w:eastAsia="Arial" w:hAnsi="Arial"/>
                <w:sz w:val="20"/>
                <w:szCs w:val="20"/>
                <w:color w:val="auto"/>
              </w:rPr>
              <w:t>Less: Current maturities</w:t>
            </w: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(177,430)</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(18,713)</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(13,873)</w:t>
            </w:r>
          </w:p>
        </w:tc>
      </w:tr>
      <w:tr>
        <w:trPr>
          <w:trHeight w:val="237"/>
        </w:trPr>
        <w:tc>
          <w:tcPr>
            <w:tcW w:w="6260" w:type="dxa"/>
            <w:vAlign w:val="bottom"/>
          </w:tcPr>
          <w:p>
            <w:pPr>
              <w:spacing w:after="0"/>
              <w:rPr>
                <w:sz w:val="20"/>
                <w:szCs w:val="20"/>
                <w:color w:val="auto"/>
              </w:rPr>
            </w:pPr>
            <w:r>
              <w:rPr>
                <w:rFonts w:ascii="Arial" w:cs="Arial" w:eastAsia="Arial" w:hAnsi="Arial"/>
                <w:sz w:val="20"/>
                <w:szCs w:val="20"/>
                <w:color w:val="auto"/>
              </w:rPr>
              <w:t>Long-term debt</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1,575,327</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1,550,061</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1,562,190</w:t>
            </w:r>
          </w:p>
        </w:tc>
        <w:tc>
          <w:tcPr>
            <w:tcW w:w="12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Corporation, through a wholly-owned special-purpose subsidiary, has a $250,000,000 trade receivable securitization facility (the “Trade Receivable Facility”), which matures on September 30, 2016. The Trade Receivable Facility, with SunTrust Bank, Regions Bank, PNC Bank, N.A. and certain other lenders that may become a party to the facility from time to time, is backed by eligible trade receivables, as defined, and is limited to the lesser of the facility limit or the borrowing base, as defined, of $324,734,000, $282,258,000 and $280,101,000 at March 31, 2016, December 31, 2015 and March 31, 2015, respectively. These receivables are originated by the Corporation and then sold to the wholly-owned special-purpose subsidiary by the Corporation. The Corporation continues to be responsible for the servicing and administration of the receivables purchased by the wholly-owned special-purpose subsidiary. Borrowings under the Trade Receivable Facility bear interest at a rate equal to one-month LIBOR plus 0.7%. The Trade Receivable Facility contains a cross-default provision to the Corporation’s other debt agreements.</w:t>
      </w:r>
    </w:p>
    <w:p>
      <w:pPr>
        <w:spacing w:after="0" w:line="77"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Corporation’s Credit Agreement, which provides a $250,000,000 senior unsecured term loan (the “Term Loan Facility”) and a $350,000,000 five-year senior unsecured revolving facility (the “Revolving Facility”), requires the Corporation’s ratio of consolidated debt to consolidated earnings before interest, taxes, depreciation, depletion and amortization (“EBITDA”), as defined by the Credit Agreement, for the trailing twelve months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 on long-term unsecured debt fall below BBB by Standard &amp; Poor’s or Baa2 by Moody’s and the Ratio calculated without such exclusion does not exceed 3.75x. Additionally, if no amounts are outstanding under both the Revolving Facility and the Trade Receivable Facility, consolidated debt, including debt for which the Corporation is a co-borrower, may be reduced by the Corporation’s unrestricted cash and cash equivalents in excess of $50,000,000, such reduction not to exceed $200,000,000, for purposes of the covenant calculation.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(continued)</w:t>
      </w:r>
    </w:p>
    <w:p>
      <w:pPr>
        <w:spacing w:after="0" w:line="113" w:lineRule="exact"/>
        <w:rPr>
          <w:rFonts w:ascii="Arial" w:cs="Arial" w:eastAsia="Arial" w:hAnsi="Arial"/>
          <w:sz w:val="20"/>
          <w:szCs w:val="20"/>
          <w:b w:val="1"/>
          <w:bCs w:val="1"/>
          <w:color w:val="auto"/>
        </w:rPr>
      </w:pPr>
    </w:p>
    <w:p>
      <w:pPr>
        <w:jc w:val="both"/>
        <w:ind w:left="380"/>
        <w:spacing w:after="0" w:line="291" w:lineRule="auto"/>
        <w:rPr>
          <w:rFonts w:ascii="Arial" w:cs="Arial" w:eastAsia="Arial" w:hAnsi="Arial"/>
          <w:sz w:val="20"/>
          <w:szCs w:val="20"/>
          <w:b w:val="1"/>
          <w:bCs w:val="1"/>
          <w:color w:val="auto"/>
        </w:rPr>
      </w:pPr>
      <w:r>
        <w:rPr>
          <w:rFonts w:ascii="Arial" w:cs="Arial" w:eastAsia="Arial" w:hAnsi="Arial"/>
          <w:sz w:val="18"/>
          <w:szCs w:val="18"/>
          <w:color w:val="auto"/>
        </w:rPr>
        <w:t>In accordance with the amended Credit Agreement, the Corporation adjusted consolidated EBITDA to add back any integration or similar costs or expenses related to the TXI business combination incurred in any period prior to the second anniversary of the closing of the TXI business combination, not to exceed $70,000,000. The Corporation was in compliance with this Ratio at March 31, 2016.</w:t>
      </w:r>
    </w:p>
    <w:p>
      <w:pPr>
        <w:spacing w:after="0" w:line="4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Available borrowings under the Revolving Facility are reduced by any outstanding letters of credit issued by the Corporation under the Revolving Facility. At March 31, 2016, December 31, 2015 and March 31, 2015, the Corporation had $2,507,000 of outstanding letters of credit issued under the Revolving Facility.</w:t>
      </w:r>
    </w:p>
    <w:p>
      <w:pPr>
        <w:spacing w:after="0" w:line="7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Current debt maturities consist of borrowings under the Trade Receivable Facility as well as the current portions of the Term Loan Facility and other notes. The increase in current debt maturities as of March 31, 2016 is attributable to the balance drawn on the Trade Receivable Facility.</w:t>
      </w:r>
    </w:p>
    <w:p>
      <w:pPr>
        <w:spacing w:after="0" w:line="78"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On April 5, 2016, the Corporation repaid the $30,000,000 outstanding on the Revolving Facility.</w:t>
      </w:r>
    </w:p>
    <w:p>
      <w:pPr>
        <w:spacing w:after="0" w:line="107" w:lineRule="exact"/>
        <w:rPr>
          <w:rFonts w:ascii="Arial" w:cs="Arial" w:eastAsia="Arial" w:hAnsi="Arial"/>
          <w:sz w:val="20"/>
          <w:szCs w:val="20"/>
          <w:b w:val="1"/>
          <w:bCs w:val="1"/>
          <w:color w:val="auto"/>
        </w:rPr>
      </w:pPr>
    </w:p>
    <w:p>
      <w:pPr>
        <w:jc w:val="both"/>
        <w:ind w:left="38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Accumulated other comprehensive loss includes the unamortized value of terminated forward starting interest rate swap agreements. For the three months ended March 31, 2016 and 2015, the Corporation recognized $332,000 and $307,000, respectively, as additional interest expense. The ongoing amortization of the terminated value of the forward starting interest rate swap agreements will increase annual interest expense by approximately $1,400,000 until the maturity of the 6.6% Senior Notes in 2018.</w:t>
      </w:r>
    </w:p>
    <w:p>
      <w:pPr>
        <w:spacing w:after="0" w:line="155" w:lineRule="exact"/>
        <w:rPr>
          <w:rFonts w:ascii="Arial" w:cs="Arial" w:eastAsia="Arial" w:hAnsi="Arial"/>
          <w:sz w:val="20"/>
          <w:szCs w:val="20"/>
          <w:b w:val="1"/>
          <w:bCs w:val="1"/>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Corporation’s financial instruments include cash equivalents, accounts receivable, notes receivable, bank overdraft,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Corporation’s cash equivalents have original maturities of less than three months. Due to the short maturity of these investments, they are carried on the consolidated balance sheets at cost, which approximates fair value.</w:t>
      </w:r>
    </w:p>
    <w:p>
      <w:pPr>
        <w:spacing w:after="0" w:line="78"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8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8"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bank overdraft represents amounts to be funded to financial institutions for checks that have cleared the bank. The estimated fair value of the bank overdraft approximates its carrying value due to the short-term nature of the overdraft.</w:t>
      </w:r>
    </w:p>
    <w:p>
      <w:pPr>
        <w:spacing w:after="0" w:line="68"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 (continued)</w:t>
      </w:r>
    </w:p>
    <w:p>
      <w:pPr>
        <w:spacing w:after="0" w:line="113"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Corporation’s long-term debt were $1,752,757,000 and $1,817,950,000, respectively, at March 31, 2016; $1,568,774,000 and $1,625,193,000, respectively, at December 31, 2015; and $1,576,063,000 and $1,691,478,000, respectively, at March 31, 2015.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72" w:lineRule="exact"/>
        <w:rPr>
          <w:rFonts w:ascii="Arial" w:cs="Arial" w:eastAsia="Arial" w:hAnsi="Arial"/>
          <w:sz w:val="20"/>
          <w:szCs w:val="20"/>
          <w:b w:val="1"/>
          <w:bCs w:val="1"/>
          <w:color w:val="auto"/>
        </w:rPr>
      </w:pPr>
    </w:p>
    <w:p>
      <w:pPr>
        <w:ind w:left="380" w:hanging="372"/>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Corporation’s effective income tax rate for the three months ended March 31, 2016 was 30.4%. The estimated effective income tax rates reflect the effect of federal and state income taxes and the impact of differences in book and tax accounting arising from the net permanent benefits associated with the statutory depletion deduction for mineral reserves and the domestic production deduction. For the three months ended March 31, 2015, there was an income tax benefit which reflects the exercise of converted stock awards issued to former TXI personnel.</w:t>
      </w:r>
    </w:p>
    <w:p>
      <w:pPr>
        <w:spacing w:after="0" w:line="86"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 records interest accrued in relation to unrecognized tax benefits as income tax expense. Penalties, if incurred, are recorded as operating expenses in the consolidated statements of earnings and comprehensive earnings.</w:t>
      </w:r>
    </w:p>
    <w:p>
      <w:pPr>
        <w:spacing w:after="0" w:line="170" w:lineRule="exact"/>
        <w:rPr>
          <w:rFonts w:ascii="Arial" w:cs="Arial" w:eastAsia="Arial" w:hAnsi="Arial"/>
          <w:sz w:val="20"/>
          <w:szCs w:val="20"/>
          <w:b w:val="1"/>
          <w:bCs w:val="1"/>
          <w:color w:val="auto"/>
        </w:rPr>
      </w:pPr>
    </w:p>
    <w:p>
      <w:pPr>
        <w:ind w:left="380" w:hanging="372"/>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ind w:left="20"/>
              <w:spacing w:after="0"/>
              <w:rPr>
                <w:sz w:val="20"/>
                <w:szCs w:val="20"/>
                <w:color w:val="auto"/>
              </w:rPr>
            </w:pPr>
            <w:r>
              <w:rPr>
                <w:rFonts w:ascii="Arial" w:cs="Arial" w:eastAsia="Arial" w:hAnsi="Arial"/>
                <w:sz w:val="20"/>
                <w:szCs w:val="20"/>
                <w:color w:val="auto"/>
                <w:w w:val="98"/>
              </w:rPr>
              <w:t>Three Months Ended March 31,</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720"/>
              <w:spacing w:after="0"/>
              <w:rPr>
                <w:sz w:val="20"/>
                <w:szCs w:val="20"/>
                <w:color w:val="auto"/>
              </w:rPr>
            </w:pPr>
            <w:r>
              <w:rPr>
                <w:rFonts w:ascii="Arial" w:cs="Arial" w:eastAsia="Arial" w:hAnsi="Arial"/>
                <w:sz w:val="20"/>
                <w:szCs w:val="20"/>
                <w:color w:val="auto"/>
                <w:w w:val="96"/>
              </w:rPr>
              <w:t>Pension</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20"/>
                <w:szCs w:val="20"/>
                <w:color w:val="auto"/>
                <w:w w:val="94"/>
              </w:rPr>
              <w:t>Postretirement Benefits</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2016</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2016</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100" w:type="dxa"/>
            <w:vAlign w:val="bottom"/>
          </w:tcPr>
          <w:p>
            <w:pPr>
              <w:spacing w:after="0"/>
              <w:rPr>
                <w:sz w:val="20"/>
                <w:szCs w:val="20"/>
                <w:color w:val="auto"/>
              </w:rPr>
            </w:pPr>
          </w:p>
        </w:tc>
      </w:tr>
      <w:tr>
        <w:trPr>
          <w:trHeight w:val="233"/>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20"/>
                <w:szCs w:val="20"/>
                <w:i w:val="1"/>
                <w:iCs w:val="1"/>
                <w:color w:val="auto"/>
                <w:w w:val="95"/>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920" w:type="dxa"/>
            <w:vAlign w:val="bottom"/>
          </w:tcPr>
          <w:p>
            <w:pPr>
              <w:spacing w:after="0"/>
              <w:rPr>
                <w:sz w:val="20"/>
                <w:szCs w:val="20"/>
                <w:color w:val="auto"/>
              </w:rPr>
            </w:pPr>
            <w:r>
              <w:rPr>
                <w:rFonts w:ascii="Arial" w:cs="Arial" w:eastAsia="Arial" w:hAnsi="Arial"/>
                <w:sz w:val="20"/>
                <w:szCs w:val="20"/>
                <w:color w:val="auto"/>
              </w:rPr>
              <w:t>Service cost</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5,507</w:t>
            </w:r>
          </w:p>
        </w:tc>
        <w:tc>
          <w:tcPr>
            <w:tcW w:w="160" w:type="dxa"/>
            <w:vAlign w:val="bottom"/>
          </w:tcPr>
          <w:p>
            <w:pPr>
              <w:spacing w:after="0"/>
              <w:rPr>
                <w:sz w:val="21"/>
                <w:szCs w:val="21"/>
                <w:color w:val="auto"/>
              </w:rPr>
            </w:pPr>
          </w:p>
        </w:tc>
        <w:tc>
          <w:tcPr>
            <w:tcW w:w="360" w:type="dxa"/>
            <w:vAlign w:val="bottom"/>
            <w:gridSpan w:val="2"/>
          </w:tcPr>
          <w:p>
            <w:pPr>
              <w:ind w:left="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6,290</w:t>
            </w:r>
          </w:p>
        </w:tc>
        <w:tc>
          <w:tcPr>
            <w:tcW w:w="160" w:type="dxa"/>
            <w:vAlign w:val="bottom"/>
          </w:tcPr>
          <w:p>
            <w:pPr>
              <w:spacing w:after="0"/>
              <w:rPr>
                <w:sz w:val="21"/>
                <w:szCs w:val="21"/>
                <w:color w:val="auto"/>
              </w:rPr>
            </w:pP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34</w:t>
            </w:r>
          </w:p>
        </w:tc>
        <w:tc>
          <w:tcPr>
            <w:tcW w:w="24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21"/>
                <w:szCs w:val="21"/>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8,871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8,112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(9,434)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20"/>
                <w:szCs w:val="20"/>
                <w:color w:val="auto"/>
              </w:rPr>
              <w:t>(9,104)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(462)</w:t>
            </w: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(576)</w:t>
            </w:r>
          </w:p>
        </w:tc>
      </w:tr>
      <w:tr>
        <w:trPr>
          <w:trHeight w:val="243"/>
        </w:trPr>
        <w:tc>
          <w:tcPr>
            <w:tcW w:w="59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2,831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(99)</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(82)</w:t>
            </w: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Settlement charge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Special termination benefit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7"/>
        </w:trPr>
        <w:tc>
          <w:tcPr>
            <w:tcW w:w="592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8,048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(289)</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right="8000" w:hanging="372"/>
        <w:spacing w:after="0" w:line="394" w:lineRule="auto"/>
        <w:tabs>
          <w:tab w:leader="none" w:pos="37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9"/>
          <w:szCs w:val="19"/>
          <w:color w:val="auto"/>
        </w:rPr>
        <w:t>The Corporation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Corporation and its subsidiaries, will have a material adverse effect on the overall results of the Corporation’s operations, its cash flows or its financial position.</w:t>
      </w:r>
    </w:p>
    <w:p>
      <w:pPr>
        <w:spacing w:after="0" w:line="1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38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The Corporation is a co-borrower with an unconsolidated affiliate for a $25,000,000 revolving line of credit agreement with BB&amp;T Bank.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83" w:lineRule="exact"/>
        <w:rPr>
          <w:rFonts w:ascii="Arial" w:cs="Arial" w:eastAsia="Arial" w:hAnsi="Arial"/>
          <w:sz w:val="18"/>
          <w:szCs w:val="18"/>
          <w:b w:val="1"/>
          <w:bCs w:val="1"/>
          <w:color w:val="auto"/>
        </w:rPr>
      </w:pPr>
    </w:p>
    <w:p>
      <w:pPr>
        <w:ind w:left="380" w:right="20"/>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In addition, the Corporation has a $6,000,000 outstanding loan due from this unconsolidated affiliate as of March 31, 2016, December 31, 2015 and March 31, 2015.</w:t>
      </w:r>
    </w:p>
    <w:p>
      <w:pPr>
        <w:spacing w:after="0" w:line="1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Employees</w:t>
      </w:r>
    </w:p>
    <w:p>
      <w:pPr>
        <w:spacing w:after="0" w:line="107" w:lineRule="exact"/>
        <w:rPr>
          <w:rFonts w:ascii="Arial" w:cs="Arial" w:eastAsia="Arial" w:hAnsi="Arial"/>
          <w:sz w:val="18"/>
          <w:szCs w:val="18"/>
          <w:b w:val="1"/>
          <w:bCs w:val="1"/>
          <w:color w:val="auto"/>
        </w:rPr>
      </w:pPr>
    </w:p>
    <w:p>
      <w:pPr>
        <w:jc w:val="both"/>
        <w:ind w:left="380"/>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Approximately 10% of the Corporation’s employees are represented by a labor union. All such employees are hourly employees. The Corporation maintains collective bargaining agreements relating to the union employees with the Aggregates business and Magnesia Specialties segments. For the Magnesia Specialties segment located in Manistee, Michigan and Woodville, Ohio, 100% of its hourly employees are represented by labor unions. The Manistee collective bargaining agreement expires in August 2019, and the Woodville collective bargaining agreement expires in May 2018.</w:t>
      </w:r>
    </w:p>
    <w:p>
      <w:pPr>
        <w:spacing w:after="0" w:line="297" w:lineRule="exact"/>
        <w:rPr>
          <w:rFonts w:ascii="Arial" w:cs="Arial" w:eastAsia="Arial" w:hAnsi="Arial"/>
          <w:sz w:val="18"/>
          <w:szCs w:val="18"/>
          <w:b w:val="1"/>
          <w:bCs w:val="1"/>
          <w:color w:val="auto"/>
        </w:rPr>
      </w:pPr>
    </w:p>
    <w:p>
      <w:pPr>
        <w:ind w:left="380" w:hanging="372"/>
        <w:spacing w:after="0"/>
        <w:tabs>
          <w:tab w:leader="none" w:pos="3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113"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Aggregates business contains three reportable business segments: Mid-America Group, Southeast Group and West Group. The Corporation also has Cement and Magnesia Specialties segments. Corporate loss from operations primarily includes depreciation on capitalized interest, expenses for certain corporate administrative functions, business development and integration expenses, unallocated corporate expenses and other nonrecurring and/or non-operational adjustments. Intersegment sales represent net sales from one segment to another segment.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following tables display selected financial data for continuing operations for the Corporation’s reportable business segments. Total revenues and net sales in the table below, as well as the consolidated statements of earnings and comprehensive earnings, exclude intersegment sales, which are eliminated.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center"/>
              <w:ind w:right="48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20"/>
                <w:szCs w:val="20"/>
                <w:color w:val="auto"/>
                <w:w w:val="89"/>
              </w:rPr>
              <w:t>March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40" w:type="dxa"/>
            <w:vAlign w:val="bottom"/>
            <w:gridSpan w:val="5"/>
            <w:vMerge w:val="restart"/>
          </w:tcPr>
          <w:p>
            <w:pPr>
              <w:spacing w:after="0"/>
              <w:rPr>
                <w:sz w:val="20"/>
                <w:szCs w:val="20"/>
                <w:color w:val="auto"/>
              </w:rPr>
            </w:pPr>
            <w:r>
              <w:rPr>
                <w:rFonts w:ascii="Arial" w:cs="Arial" w:eastAsia="Arial" w:hAnsi="Arial"/>
                <w:sz w:val="20"/>
                <w:szCs w:val="20"/>
                <w:color w:val="auto"/>
              </w:rPr>
              <w:t>Total revenues:</w:t>
            </w:r>
          </w:p>
        </w:tc>
        <w:tc>
          <w:tcPr>
            <w:tcW w:w="2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240" w:type="dxa"/>
            <w:vAlign w:val="bottom"/>
            <w:gridSpan w:val="5"/>
            <w:vMerge w:val="continue"/>
          </w:tcPr>
          <w:p>
            <w:pPr>
              <w:spacing w:after="0"/>
              <w:rPr>
                <w:sz w:val="16"/>
                <w:szCs w:val="16"/>
                <w:color w:val="auto"/>
              </w:rPr>
            </w:pPr>
          </w:p>
        </w:tc>
        <w:tc>
          <w:tcPr>
            <w:tcW w:w="2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294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186,347</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140,834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2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71,671</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64,678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26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392,995</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320,571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gridSpan w:val="5"/>
          </w:tcPr>
          <w:p>
            <w:pPr>
              <w:spacing w:after="0"/>
              <w:rPr>
                <w:sz w:val="20"/>
                <w:szCs w:val="20"/>
                <w:color w:val="auto"/>
              </w:rPr>
            </w:pPr>
            <w:r>
              <w:rPr>
                <w:rFonts w:ascii="Arial" w:cs="Arial" w:eastAsia="Arial" w:hAnsi="Arial"/>
                <w:sz w:val="20"/>
                <w:szCs w:val="20"/>
                <w:color w:val="auto"/>
              </w:rPr>
              <w:t>Total Aggregates Business</w:t>
            </w: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651,013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526,083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Cement</w:t>
            </w:r>
          </w:p>
        </w:tc>
        <w:tc>
          <w:tcPr>
            <w:tcW w:w="260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73,551</w:t>
            </w:r>
          </w:p>
        </w:tc>
        <w:tc>
          <w:tcPr>
            <w:tcW w:w="28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102,100</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26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64,170</w:t>
            </w:r>
          </w:p>
        </w:tc>
        <w:tc>
          <w:tcPr>
            <w:tcW w:w="2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63,164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26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788,734</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691,347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Net sales:</w:t>
            </w:r>
          </w:p>
        </w:tc>
        <w:tc>
          <w:tcPr>
            <w:tcW w:w="26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20" w:type="dxa"/>
            <w:vAlign w:val="bottom"/>
            <w:gridSpan w:val="4"/>
          </w:tcPr>
          <w:p>
            <w:pPr>
              <w:spacing w:after="0"/>
              <w:rPr>
                <w:sz w:val="20"/>
                <w:szCs w:val="20"/>
                <w:color w:val="auto"/>
              </w:rPr>
            </w:pPr>
            <w:r>
              <w:rPr>
                <w:rFonts w:ascii="Arial" w:cs="Arial" w:eastAsia="Arial" w:hAnsi="Arial"/>
                <w:sz w:val="20"/>
                <w:szCs w:val="20"/>
                <w:color w:val="auto"/>
              </w:rPr>
              <w:t>Mid-America Group</w:t>
            </w:r>
          </w:p>
        </w:tc>
        <w:tc>
          <w:tcPr>
            <w:tcW w:w="29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173,372</w:t>
            </w:r>
          </w:p>
        </w:tc>
        <w:tc>
          <w:tcPr>
            <w:tcW w:w="280" w:type="dxa"/>
            <w:vAlign w:val="bottom"/>
          </w:tcPr>
          <w:p>
            <w:pPr>
              <w:spacing w:after="0"/>
              <w:rPr>
                <w:sz w:val="21"/>
                <w:szCs w:val="21"/>
                <w:color w:val="auto"/>
              </w:rPr>
            </w:pP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129,705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2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67,284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59,770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26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363,926</w:t>
            </w:r>
          </w:p>
        </w:tc>
        <w:tc>
          <w:tcPr>
            <w:tcW w:w="2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287,082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26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604,582</w:t>
            </w:r>
          </w:p>
        </w:tc>
        <w:tc>
          <w:tcPr>
            <w:tcW w:w="28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476,557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gridSpan w:val="5"/>
          </w:tcPr>
          <w:p>
            <w:pPr>
              <w:spacing w:after="0"/>
              <w:rPr>
                <w:sz w:val="20"/>
                <w:szCs w:val="20"/>
                <w:color w:val="auto"/>
              </w:rPr>
            </w:pPr>
            <w:r>
              <w:rPr>
                <w:rFonts w:ascii="Arial" w:cs="Arial" w:eastAsia="Arial" w:hAnsi="Arial"/>
                <w:sz w:val="20"/>
                <w:szCs w:val="20"/>
                <w:color w:val="auto"/>
              </w:rPr>
              <w:t>Cement</w:t>
            </w: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69,873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96,565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6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59,505</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58,754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240" w:type="dxa"/>
            <w:vAlign w:val="bottom"/>
            <w:gridSpan w:val="5"/>
          </w:tcPr>
          <w:p>
            <w:pPr>
              <w:spacing w:after="0"/>
              <w:rPr>
                <w:sz w:val="20"/>
                <w:szCs w:val="20"/>
                <w:color w:val="auto"/>
              </w:rPr>
            </w:pPr>
            <w:r>
              <w:rPr>
                <w:rFonts w:ascii="Arial" w:cs="Arial" w:eastAsia="Arial" w:hAnsi="Arial"/>
                <w:sz w:val="20"/>
                <w:szCs w:val="20"/>
                <w:color w:val="auto"/>
              </w:rPr>
              <w:t>Total</w:t>
            </w:r>
          </w:p>
        </w:tc>
        <w:tc>
          <w:tcPr>
            <w:tcW w:w="2600" w:type="dxa"/>
            <w:vAlign w:val="bottom"/>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733,960</w:t>
            </w:r>
          </w:p>
        </w:tc>
        <w:tc>
          <w:tcPr>
            <w:tcW w:w="280" w:type="dxa"/>
            <w:vAlign w:val="bottom"/>
          </w:tcPr>
          <w:p>
            <w:pPr>
              <w:spacing w:after="0"/>
              <w:rPr>
                <w:sz w:val="24"/>
                <w:szCs w:val="24"/>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631,876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CFF0FC"/>
            </w:tcBorders>
            <w:shd w:val="clear" w:color="auto" w:fill="CFF0FC"/>
          </w:tcPr>
          <w:p>
            <w:pPr>
              <w:spacing w:after="0"/>
              <w:rPr>
                <w:sz w:val="19"/>
                <w:szCs w:val="19"/>
                <w:color w:val="auto"/>
              </w:rPr>
            </w:pPr>
          </w:p>
        </w:tc>
        <w:tc>
          <w:tcPr>
            <w:tcW w:w="26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gridSpan w:val="4"/>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2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294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14,424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(4,203)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2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6,971</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(1,548)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26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38,797</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14,499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gridSpan w:val="5"/>
          </w:tcPr>
          <w:p>
            <w:pPr>
              <w:spacing w:after="0"/>
              <w:rPr>
                <w:sz w:val="20"/>
                <w:szCs w:val="20"/>
                <w:color w:val="auto"/>
              </w:rPr>
            </w:pPr>
            <w:r>
              <w:rPr>
                <w:rFonts w:ascii="Arial" w:cs="Arial" w:eastAsia="Arial" w:hAnsi="Arial"/>
                <w:sz w:val="20"/>
                <w:szCs w:val="20"/>
                <w:color w:val="auto"/>
              </w:rPr>
              <w:t>Total Aggregates Business</w:t>
            </w: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60,192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8,748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Cement</w:t>
            </w:r>
          </w:p>
        </w:tc>
        <w:tc>
          <w:tcPr>
            <w:tcW w:w="260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26,316</w:t>
            </w:r>
          </w:p>
        </w:tc>
        <w:tc>
          <w:tcPr>
            <w:tcW w:w="28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12,229</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spacing w:after="0"/>
              <w:rPr>
                <w:sz w:val="20"/>
                <w:szCs w:val="20"/>
                <w:color w:val="auto"/>
              </w:rPr>
            </w:pPr>
            <w:r>
              <w:rPr>
                <w:rFonts w:ascii="Arial" w:cs="Arial" w:eastAsia="Arial" w:hAnsi="Arial"/>
                <w:sz w:val="20"/>
                <w:szCs w:val="20"/>
                <w:color w:val="auto"/>
              </w:rPr>
              <w:t>Magnesia Specialties</w:t>
            </w:r>
          </w:p>
        </w:tc>
        <w:tc>
          <w:tcPr>
            <w:tcW w:w="2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20,563</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17,789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Corporate</w:t>
            </w:r>
          </w:p>
        </w:tc>
        <w:tc>
          <w:tcPr>
            <w:tcW w:w="2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(23,302)</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(13,195)</w:t>
            </w:r>
          </w:p>
        </w:tc>
        <w:tc>
          <w:tcPr>
            <w:tcW w:w="0" w:type="dxa"/>
            <w:vAlign w:val="bottom"/>
          </w:tcPr>
          <w:p>
            <w:pPr>
              <w:spacing w:after="0"/>
              <w:rPr>
                <w:sz w:val="1"/>
                <w:szCs w:val="1"/>
                <w:color w:val="auto"/>
              </w:rPr>
            </w:pPr>
          </w:p>
        </w:tc>
      </w:tr>
      <w:tr>
        <w:trPr>
          <w:trHeight w:val="237"/>
        </w:trPr>
        <w:tc>
          <w:tcPr>
            <w:tcW w:w="5240" w:type="dxa"/>
            <w:vAlign w:val="bottom"/>
            <w:gridSpan w:val="5"/>
          </w:tcPr>
          <w:p>
            <w:pPr>
              <w:spacing w:after="0"/>
              <w:rPr>
                <w:sz w:val="20"/>
                <w:szCs w:val="20"/>
                <w:color w:val="auto"/>
              </w:rPr>
            </w:pPr>
            <w:r>
              <w:rPr>
                <w:rFonts w:ascii="Arial" w:cs="Arial" w:eastAsia="Arial" w:hAnsi="Arial"/>
                <w:sz w:val="20"/>
                <w:szCs w:val="20"/>
                <w:color w:val="auto"/>
              </w:rPr>
              <w:t>Total</w:t>
            </w:r>
          </w:p>
        </w:tc>
        <w:tc>
          <w:tcPr>
            <w:tcW w:w="26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83,769</w:t>
            </w:r>
          </w:p>
        </w:tc>
        <w:tc>
          <w:tcPr>
            <w:tcW w:w="2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25,571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decline in the Cement business’s net sales is attributable to the California cement operations, included in the three months ended March 31, 2015 and divested as of September 30, 2015. For the three months ended March 31, 2015, total revenues, net sales and loss from operations for the California cement operations were $33,759,000, $32,511,000 and $7,421,000,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Cement intersegment sales, which are to the aggregates and ready mixed concrete product lines in the West Group, were $27,147,000 and $18,377,000 for the three months ended March 31, 2016 and 2015, respectively.</w:t>
      </w:r>
    </w:p>
    <w:p>
      <w:pPr>
        <w:spacing w:after="0" w:line="68" w:lineRule="exact"/>
        <w:rPr>
          <w:rFonts w:ascii="Arial" w:cs="Arial" w:eastAsia="Arial" w:hAnsi="Arial"/>
          <w:sz w:val="20"/>
          <w:szCs w:val="20"/>
          <w:b w:val="1"/>
          <w:bCs w:val="1"/>
          <w:color w:val="auto"/>
        </w:rPr>
      </w:pPr>
    </w:p>
    <w:p>
      <w:pPr>
        <w:jc w:val="both"/>
        <w:ind w:left="38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Aggregates business includes the aggregates product line and aggregates-related downstream product lines, which include asphalt, ready mixed concrete and road paving product lines. All aggregates-related downstream product lines reside in the West Group. The following tables, which are reconciled to consolidated amounts, provide net sales and gross profit by line of business: Aggregates (further divided by product line), Cement and Magnesia Specialties.</w:t>
      </w: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jc w:val="center"/>
              <w:ind w:right="48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20"/>
                <w:szCs w:val="20"/>
                <w:color w:val="auto"/>
                <w:w w:val="89"/>
              </w:rPr>
              <w:t>March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80" w:type="dxa"/>
            <w:vAlign w:val="bottom"/>
            <w:gridSpan w:val="4"/>
            <w:vMerge w:val="restart"/>
          </w:tcPr>
          <w:p>
            <w:pPr>
              <w:spacing w:after="0"/>
              <w:rPr>
                <w:sz w:val="20"/>
                <w:szCs w:val="20"/>
                <w:color w:val="auto"/>
              </w:rPr>
            </w:pPr>
            <w:r>
              <w:rPr>
                <w:rFonts w:ascii="Arial" w:cs="Arial" w:eastAsia="Arial" w:hAnsi="Arial"/>
                <w:sz w:val="20"/>
                <w:szCs w:val="20"/>
                <w:color w:val="auto"/>
              </w:rPr>
              <w:t>Net sales:</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980" w:type="dxa"/>
            <w:vAlign w:val="bottom"/>
            <w:gridSpan w:val="4"/>
            <w:vMerge w:val="continue"/>
          </w:tcPr>
          <w:p>
            <w:pPr>
              <w:spacing w:after="0"/>
              <w:rPr>
                <w:sz w:val="16"/>
                <w:szCs w:val="16"/>
                <w:color w:val="auto"/>
              </w:rPr>
            </w:pPr>
          </w:p>
        </w:tc>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Aggregates</w:t>
            </w:r>
          </w:p>
        </w:tc>
        <w:tc>
          <w:tcPr>
            <w:tcW w:w="320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406,439</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332,214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3"/>
          </w:tcPr>
          <w:p>
            <w:pPr>
              <w:spacing w:after="0"/>
              <w:rPr>
                <w:sz w:val="20"/>
                <w:szCs w:val="20"/>
                <w:color w:val="auto"/>
              </w:rPr>
            </w:pPr>
            <w:r>
              <w:rPr>
                <w:rFonts w:ascii="Arial" w:cs="Arial" w:eastAsia="Arial" w:hAnsi="Arial"/>
                <w:sz w:val="20"/>
                <w:szCs w:val="20"/>
                <w:color w:val="auto"/>
              </w:rPr>
              <w:t>Asphalt</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3,875</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9,645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Ready Mixed Concrete</w:t>
            </w:r>
          </w:p>
        </w:tc>
        <w:tc>
          <w:tcPr>
            <w:tcW w:w="2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186,785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127,572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Borders>
              <w:bottom w:val="single" w:sz="8" w:color="CFF0FC"/>
            </w:tcBorders>
            <w:gridSpan w:val="3"/>
          </w:tcPr>
          <w:p>
            <w:pPr>
              <w:spacing w:after="0"/>
              <w:rPr>
                <w:sz w:val="20"/>
                <w:szCs w:val="20"/>
                <w:color w:val="auto"/>
              </w:rPr>
            </w:pPr>
            <w:r>
              <w:rPr>
                <w:rFonts w:ascii="Arial" w:cs="Arial" w:eastAsia="Arial" w:hAnsi="Arial"/>
                <w:sz w:val="20"/>
                <w:szCs w:val="20"/>
                <w:color w:val="auto"/>
              </w:rPr>
              <w:t>Road Paving</w:t>
            </w:r>
          </w:p>
        </w:tc>
        <w:tc>
          <w:tcPr>
            <w:tcW w:w="28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7,483</w:t>
            </w:r>
          </w:p>
        </w:tc>
        <w:tc>
          <w:tcPr>
            <w:tcW w:w="2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7,126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28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604,582</w:t>
            </w:r>
          </w:p>
        </w:tc>
        <w:tc>
          <w:tcPr>
            <w:tcW w:w="28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476,557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gridSpan w:val="4"/>
          </w:tcPr>
          <w:p>
            <w:pPr>
              <w:spacing w:after="0"/>
              <w:rPr>
                <w:sz w:val="20"/>
                <w:szCs w:val="20"/>
                <w:color w:val="auto"/>
              </w:rPr>
            </w:pPr>
            <w:r>
              <w:rPr>
                <w:rFonts w:ascii="Arial" w:cs="Arial" w:eastAsia="Arial" w:hAnsi="Arial"/>
                <w:sz w:val="20"/>
                <w:szCs w:val="20"/>
                <w:color w:val="auto"/>
              </w:rPr>
              <w:t>Cement</w:t>
            </w:r>
          </w:p>
        </w:tc>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69,873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96,565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8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59,505</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58,754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80" w:type="dxa"/>
            <w:vAlign w:val="bottom"/>
            <w:gridSpan w:val="4"/>
          </w:tcPr>
          <w:p>
            <w:pPr>
              <w:spacing w:after="0"/>
              <w:rPr>
                <w:sz w:val="20"/>
                <w:szCs w:val="20"/>
                <w:color w:val="auto"/>
              </w:rPr>
            </w:pPr>
            <w:r>
              <w:rPr>
                <w:rFonts w:ascii="Arial" w:cs="Arial" w:eastAsia="Arial" w:hAnsi="Arial"/>
                <w:sz w:val="20"/>
                <w:szCs w:val="20"/>
                <w:color w:val="auto"/>
              </w:rPr>
              <w:t>Total</w:t>
            </w:r>
          </w:p>
        </w:tc>
        <w:tc>
          <w:tcPr>
            <w:tcW w:w="2860" w:type="dxa"/>
            <w:vAlign w:val="bottom"/>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733,960</w:t>
            </w:r>
          </w:p>
        </w:tc>
        <w:tc>
          <w:tcPr>
            <w:tcW w:w="280" w:type="dxa"/>
            <w:vAlign w:val="bottom"/>
          </w:tcPr>
          <w:p>
            <w:pPr>
              <w:spacing w:after="0"/>
              <w:rPr>
                <w:sz w:val="24"/>
                <w:szCs w:val="24"/>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631,876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19"/>
                <w:szCs w:val="19"/>
                <w:color w:val="auto"/>
              </w:rPr>
            </w:pPr>
          </w:p>
        </w:tc>
        <w:tc>
          <w:tcPr>
            <w:tcW w:w="28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gridSpan w:val="3"/>
          </w:tcPr>
          <w:p>
            <w:pPr>
              <w:spacing w:after="0" w:line="203" w:lineRule="exact"/>
              <w:rPr>
                <w:sz w:val="20"/>
                <w:szCs w:val="20"/>
                <w:color w:val="auto"/>
              </w:rPr>
            </w:pPr>
            <w:r>
              <w:rPr>
                <w:rFonts w:ascii="Arial" w:cs="Arial" w:eastAsia="Arial" w:hAnsi="Arial"/>
                <w:sz w:val="20"/>
                <w:szCs w:val="20"/>
                <w:color w:val="auto"/>
              </w:rPr>
              <w:t>Gross profit (loss):</w:t>
            </w:r>
          </w:p>
        </w:tc>
        <w:tc>
          <w:tcPr>
            <w:tcW w:w="2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Aggregates</w:t>
            </w:r>
          </w:p>
        </w:tc>
        <w:tc>
          <w:tcPr>
            <w:tcW w:w="320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81,083</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41,417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3"/>
          </w:tcPr>
          <w:p>
            <w:pPr>
              <w:spacing w:after="0"/>
              <w:rPr>
                <w:sz w:val="20"/>
                <w:szCs w:val="20"/>
                <w:color w:val="auto"/>
              </w:rPr>
            </w:pPr>
            <w:r>
              <w:rPr>
                <w:rFonts w:ascii="Arial" w:cs="Arial" w:eastAsia="Arial" w:hAnsi="Arial"/>
                <w:sz w:val="20"/>
                <w:szCs w:val="20"/>
                <w:color w:val="auto"/>
              </w:rPr>
              <w:t>Asphalt</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(2,269)</w:t>
            </w:r>
          </w:p>
        </w:tc>
        <w:tc>
          <w:tcPr>
            <w:tcW w:w="4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(1,463)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Ready Mixed Concrete</w:t>
            </w:r>
          </w:p>
        </w:tc>
        <w:tc>
          <w:tcPr>
            <w:tcW w:w="2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18,086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3"/>
          </w:tcPr>
          <w:p>
            <w:pPr>
              <w:spacing w:after="0"/>
              <w:rPr>
                <w:sz w:val="20"/>
                <w:szCs w:val="20"/>
                <w:color w:val="auto"/>
              </w:rPr>
            </w:pPr>
            <w:r>
              <w:rPr>
                <w:rFonts w:ascii="Arial" w:cs="Arial" w:eastAsia="Arial" w:hAnsi="Arial"/>
                <w:sz w:val="20"/>
                <w:szCs w:val="20"/>
                <w:color w:val="auto"/>
              </w:rPr>
              <w:t>Road Paving</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(3,894)</w:t>
            </w:r>
          </w:p>
        </w:tc>
        <w:tc>
          <w:tcPr>
            <w:tcW w:w="4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(3,311)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286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93,006</w:t>
            </w:r>
          </w:p>
        </w:tc>
        <w:tc>
          <w:tcPr>
            <w:tcW w:w="28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38,727</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gridSpan w:val="4"/>
          </w:tcPr>
          <w:p>
            <w:pPr>
              <w:spacing w:after="0"/>
              <w:rPr>
                <w:sz w:val="20"/>
                <w:szCs w:val="20"/>
                <w:color w:val="auto"/>
              </w:rPr>
            </w:pPr>
            <w:r>
              <w:rPr>
                <w:rFonts w:ascii="Arial" w:cs="Arial" w:eastAsia="Arial" w:hAnsi="Arial"/>
                <w:sz w:val="20"/>
                <w:szCs w:val="20"/>
                <w:color w:val="auto"/>
              </w:rPr>
              <w:t>Cement</w:t>
            </w:r>
          </w:p>
        </w:tc>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32,556</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18,985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22,970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20,178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(3,898)</w:t>
            </w:r>
          </w:p>
        </w:tc>
        <w:tc>
          <w:tcPr>
            <w:tcW w:w="4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(3,629)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28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144,634</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74,261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For the three months ended March 31, 2015, gross loss for the California cement operations was $4,046,000.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components of the change in other assets and liabilities, net,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center"/>
              <w:ind w:right="480"/>
              <w:spacing w:after="0"/>
              <w:rPr>
                <w:sz w:val="20"/>
                <w:szCs w:val="20"/>
                <w:color w:val="auto"/>
              </w:rPr>
            </w:pPr>
            <w:r>
              <w:rPr>
                <w:rFonts w:ascii="Arial" w:cs="Arial" w:eastAsia="Arial" w:hAnsi="Arial"/>
                <w:sz w:val="20"/>
                <w:szCs w:val="20"/>
                <w:color w:val="auto"/>
                <w:w w:val="89"/>
              </w:rPr>
              <w:t>Three Months Ended</w:t>
            </w:r>
          </w:p>
        </w:tc>
      </w:tr>
      <w:tr>
        <w:trPr>
          <w:trHeight w:val="246"/>
        </w:trPr>
        <w:tc>
          <w:tcPr>
            <w:tcW w:w="6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20"/>
                <w:szCs w:val="20"/>
                <w:color w:val="auto"/>
                <w:w w:val="89"/>
              </w:rPr>
              <w:t>March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6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20" w:type="dxa"/>
            <w:vAlign w:val="bottom"/>
          </w:tcPr>
          <w:p>
            <w:pPr>
              <w:spacing w:after="0"/>
              <w:rPr>
                <w:sz w:val="20"/>
                <w:szCs w:val="20"/>
                <w:color w:val="auto"/>
              </w:rPr>
            </w:pPr>
          </w:p>
        </w:tc>
      </w:tr>
      <w:tr>
        <w:trPr>
          <w:trHeight w:val="233"/>
        </w:trPr>
        <w:tc>
          <w:tcPr>
            <w:tcW w:w="6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20"/>
                <w:szCs w:val="20"/>
                <w:color w:val="auto"/>
              </w:rPr>
              <w:t>Other current and noncurrent assets</w:t>
            </w:r>
          </w:p>
        </w:tc>
        <w:tc>
          <w:tcPr>
            <w:tcW w:w="178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(2,089)</w:t>
            </w: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(4,083)</w:t>
            </w: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20"/>
                <w:szCs w:val="20"/>
                <w:color w:val="auto"/>
              </w:rPr>
              <w:t>Accrued salaries, benefits and payroll taxes</w:t>
            </w:r>
          </w:p>
        </w:tc>
        <w:tc>
          <w:tcPr>
            <w:tcW w:w="1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(12,951)</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(13,703)</w:t>
            </w:r>
          </w:p>
        </w:tc>
      </w:tr>
      <w:tr>
        <w:trPr>
          <w:trHeight w:val="243"/>
        </w:trPr>
        <w:tc>
          <w:tcPr>
            <w:tcW w:w="6400" w:type="dxa"/>
            <w:vAlign w:val="bottom"/>
          </w:tcPr>
          <w:p>
            <w:pPr>
              <w:spacing w:after="0"/>
              <w:rPr>
                <w:sz w:val="20"/>
                <w:szCs w:val="20"/>
                <w:color w:val="auto"/>
              </w:rPr>
            </w:pPr>
            <w:r>
              <w:rPr>
                <w:rFonts w:ascii="Arial" w:cs="Arial" w:eastAsia="Arial" w:hAnsi="Arial"/>
                <w:sz w:val="20"/>
                <w:szCs w:val="20"/>
                <w:color w:val="auto"/>
              </w:rPr>
              <w:t>Accrued insurance and other taxes</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(10,280)</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386</w:t>
            </w:r>
          </w:p>
        </w:tc>
        <w:tc>
          <w:tcPr>
            <w:tcW w:w="120" w:type="dxa"/>
            <w:vAlign w:val="bottom"/>
          </w:tcPr>
          <w:p>
            <w:pPr>
              <w:spacing w:after="0"/>
              <w:rPr>
                <w:sz w:val="21"/>
                <w:szCs w:val="21"/>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20"/>
                <w:szCs w:val="20"/>
                <w:color w:val="auto"/>
              </w:rPr>
              <w:t>Accrued income taxes</w:t>
            </w:r>
          </w:p>
        </w:tc>
        <w:tc>
          <w:tcPr>
            <w:tcW w:w="1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(8,473)</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(46,700)</w:t>
            </w:r>
          </w:p>
        </w:tc>
      </w:tr>
      <w:tr>
        <w:trPr>
          <w:trHeight w:val="243"/>
        </w:trPr>
        <w:tc>
          <w:tcPr>
            <w:tcW w:w="6400" w:type="dxa"/>
            <w:vAlign w:val="bottom"/>
          </w:tcPr>
          <w:p>
            <w:pPr>
              <w:spacing w:after="0"/>
              <w:rPr>
                <w:sz w:val="20"/>
                <w:szCs w:val="20"/>
                <w:color w:val="auto"/>
              </w:rPr>
            </w:pPr>
            <w:r>
              <w:rPr>
                <w:rFonts w:ascii="Arial" w:cs="Arial" w:eastAsia="Arial" w:hAnsi="Arial"/>
                <w:sz w:val="20"/>
                <w:szCs w:val="20"/>
                <w:color w:val="auto"/>
              </w:rPr>
              <w:t>Accrued pension, postretirement and postemployment benefits</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5,775</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5,830</w:t>
            </w:r>
          </w:p>
        </w:tc>
        <w:tc>
          <w:tcPr>
            <w:tcW w:w="120" w:type="dxa"/>
            <w:vAlign w:val="bottom"/>
          </w:tcPr>
          <w:p>
            <w:pPr>
              <w:spacing w:after="0"/>
              <w:rPr>
                <w:sz w:val="21"/>
                <w:szCs w:val="21"/>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20"/>
                <w:szCs w:val="20"/>
                <w:color w:val="auto"/>
              </w:rPr>
              <w:t>Other current and noncurrent liabilities</w:t>
            </w:r>
          </w:p>
        </w:tc>
        <w:tc>
          <w:tcPr>
            <w:tcW w:w="1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(6,282)</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(10,827)</w:t>
            </w:r>
          </w:p>
        </w:tc>
      </w:tr>
      <w:tr>
        <w:trPr>
          <w:trHeight w:val="237"/>
        </w:trPr>
        <w:tc>
          <w:tcPr>
            <w:tcW w:w="6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(34,300)</w:t>
            </w:r>
          </w:p>
        </w:tc>
        <w:tc>
          <w:tcPr>
            <w:tcW w:w="2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(69,097)</w:t>
            </w:r>
          </w:p>
        </w:tc>
        <w:tc>
          <w:tcPr>
            <w:tcW w:w="12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change in accrued insurance and other taxes is attributable to certain property tax payments for tax year 2015 made in January 2016. These property taxes for tax year 2014 were paid prior to in 2014. The change in accrued income taxes is attributable to an increase in income tax expense in the current year.</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4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1160" w:type="dxa"/>
            <w:vAlign w:val="bottom"/>
          </w:tcPr>
          <w:p>
            <w:pPr>
              <w:spacing w:after="0"/>
              <w:rPr>
                <w:sz w:val="21"/>
                <w:szCs w:val="21"/>
                <w:color w:val="auto"/>
              </w:rPr>
            </w:pPr>
          </w:p>
        </w:tc>
        <w:tc>
          <w:tcPr>
            <w:tcW w:w="2300" w:type="dxa"/>
            <w:vAlign w:val="bottom"/>
            <w:gridSpan w:val="2"/>
            <w:vMerge w:val="restart"/>
          </w:tcPr>
          <w:p>
            <w:pPr>
              <w:jc w:val="center"/>
              <w:ind w:right="461"/>
              <w:spacing w:after="0"/>
              <w:rPr>
                <w:sz w:val="20"/>
                <w:szCs w:val="20"/>
                <w:color w:val="auto"/>
              </w:rPr>
            </w:pPr>
            <w:r>
              <w:rPr>
                <w:rFonts w:ascii="Arial" w:cs="Arial" w:eastAsia="Arial" w:hAnsi="Arial"/>
                <w:sz w:val="20"/>
                <w:szCs w:val="20"/>
                <w:color w:val="auto"/>
                <w:w w:val="88"/>
              </w:rPr>
              <w:t>Three Months Ended</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00" w:type="dxa"/>
            <w:vAlign w:val="bottom"/>
            <w:gridSpan w:val="2"/>
            <w:vMerge w:val="continue"/>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2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center"/>
              <w:ind w:right="461"/>
              <w:spacing w:after="0"/>
              <w:rPr>
                <w:sz w:val="20"/>
                <w:szCs w:val="20"/>
                <w:color w:val="auto"/>
              </w:rPr>
            </w:pPr>
            <w:r>
              <w:rPr>
                <w:rFonts w:ascii="Arial" w:cs="Arial" w:eastAsia="Arial" w:hAnsi="Arial"/>
                <w:sz w:val="20"/>
                <w:szCs w:val="20"/>
                <w:color w:val="auto"/>
                <w:w w:val="92"/>
              </w:rPr>
              <w:t>March 31,</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2016</w:t>
            </w: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2015</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240" w:type="dxa"/>
            <w:vAlign w:val="bottom"/>
            <w:vMerge w:val="restart"/>
          </w:tcPr>
          <w:p>
            <w:pPr>
              <w:spacing w:after="0"/>
              <w:rPr>
                <w:sz w:val="20"/>
                <w:szCs w:val="20"/>
                <w:color w:val="auto"/>
              </w:rPr>
            </w:pPr>
            <w:r>
              <w:rPr>
                <w:rFonts w:ascii="Arial" w:cs="Arial" w:eastAsia="Arial" w:hAnsi="Arial"/>
                <w:sz w:val="20"/>
                <w:szCs w:val="20"/>
                <w:color w:val="auto"/>
              </w:rPr>
              <w:t>Noncash investing and financing activities:</w:t>
            </w:r>
          </w:p>
        </w:tc>
        <w:tc>
          <w:tcPr>
            <w:tcW w:w="3460" w:type="dxa"/>
            <w:vAlign w:val="bottom"/>
            <w:gridSpan w:val="3"/>
          </w:tcPr>
          <w:p>
            <w:pPr>
              <w:jc w:val="center"/>
              <w:ind w:left="481"/>
              <w:spacing w:after="0"/>
              <w:rPr>
                <w:sz w:val="20"/>
                <w:szCs w:val="20"/>
                <w:color w:val="auto"/>
              </w:rPr>
            </w:pPr>
            <w:r>
              <w:rPr>
                <w:rFonts w:ascii="Arial" w:cs="Arial" w:eastAsia="Arial" w:hAnsi="Arial"/>
                <w:sz w:val="20"/>
                <w:szCs w:val="20"/>
                <w:i w:val="1"/>
                <w:iCs w:val="1"/>
                <w:color w:val="auto"/>
                <w:w w:val="91"/>
              </w:rPr>
              <w:t>(Dollars in Thousands)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2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1160" w:type="dxa"/>
            <w:vAlign w:val="bottom"/>
            <w:shd w:val="clear" w:color="auto" w:fill="CFF0FC"/>
          </w:tcPr>
          <w:p>
            <w:pPr>
              <w:jc w:val="right"/>
              <w:ind w:right="96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ind w:left="50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40" w:type="dxa"/>
            <w:vAlign w:val="bottom"/>
          </w:tcPr>
          <w:p>
            <w:pPr>
              <w:ind w:left="260"/>
              <w:spacing w:after="0"/>
              <w:rPr>
                <w:sz w:val="20"/>
                <w:szCs w:val="20"/>
                <w:color w:val="auto"/>
              </w:rPr>
            </w:pPr>
            <w:r>
              <w:rPr>
                <w:rFonts w:ascii="Arial" w:cs="Arial" w:eastAsia="Arial" w:hAnsi="Arial"/>
                <w:sz w:val="20"/>
                <w:szCs w:val="20"/>
                <w:color w:val="auto"/>
              </w:rPr>
              <w:t>Acquisition of assets through asset exchange</w:t>
            </w:r>
          </w:p>
        </w:tc>
        <w:tc>
          <w:tcPr>
            <w:tcW w:w="1160" w:type="dxa"/>
            <w:vAlign w:val="bottom"/>
          </w:tcPr>
          <w:p>
            <w:pPr>
              <w:spacing w:after="0"/>
              <w:rPr>
                <w:sz w:val="21"/>
                <w:szCs w:val="21"/>
                <w:color w:val="auto"/>
              </w:rPr>
            </w:pPr>
          </w:p>
        </w:tc>
        <w:tc>
          <w:tcPr>
            <w:tcW w:w="860" w:type="dxa"/>
            <w:vAlign w:val="bottom"/>
          </w:tcPr>
          <w:p>
            <w:pPr>
              <w:ind w:left="500"/>
              <w:spacing w:after="0"/>
              <w:rPr>
                <w:sz w:val="20"/>
                <w:szCs w:val="20"/>
                <w:color w:val="auto"/>
              </w:rPr>
            </w:pPr>
            <w:r>
              <w:rPr>
                <w:rFonts w:ascii="Arial" w:cs="Arial" w:eastAsia="Arial" w:hAnsi="Arial"/>
                <w:sz w:val="20"/>
                <w:szCs w:val="20"/>
                <w:color w:val="auto"/>
              </w:rPr>
              <w:t>—</w:t>
            </w:r>
          </w:p>
        </w:tc>
        <w:tc>
          <w:tcPr>
            <w:tcW w:w="1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5,153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w:t>
      </w:r>
    </w:p>
    <w:p>
      <w:pPr>
        <w:spacing w:after="0" w:line="114"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During the quarter ended March 31, 2016, the Corporation acquired the outstanding stock of Rocky Mountain Materials and Asphalt, Inc., and Rocky Mountain Premix Inc. The acquisition provides more than 500 million tons of mineral reserves and expands the Corporation’s presence along the Front Range of the Rocky Mountains, home to 80% of Colorado’s population. The acquired operations are reported through the West Group. The Corporation has recorded preliminary fair values of the assets acquired and liabilities assumed; however, certain amounts are subject to change as additional reviews are performed, including asset and liability verification. Specific accounts subject to ongoing purchase accounting include property, plant and equipment; goodwill; other intangible assets; deferred income taxes and accrued expenses. The acquisition was not financially material and therefore pro forma information is not required.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10-Q</w:t>
      </w:r>
    </w:p>
    <w:p>
      <w:pPr>
        <w:jc w:val="center"/>
        <w:ind w:right="20"/>
        <w:spacing w:after="0"/>
        <w:rPr>
          <w:sz w:val="20"/>
          <w:szCs w:val="20"/>
          <w:color w:val="auto"/>
        </w:rPr>
      </w:pPr>
      <w:r>
        <w:rPr>
          <w:rFonts w:ascii="Arial" w:cs="Arial" w:eastAsia="Arial" w:hAnsi="Arial"/>
          <w:sz w:val="20"/>
          <w:szCs w:val="20"/>
          <w:color w:val="auto"/>
        </w:rPr>
        <w:t>For the Quarter Ended March 31, 2016</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Stock-Based Compensation</w:t>
      </w:r>
    </w:p>
    <w:p>
      <w:pPr>
        <w:spacing w:after="0" w:line="114" w:lineRule="exact"/>
        <w:rPr>
          <w:sz w:val="20"/>
          <w:szCs w:val="20"/>
          <w:color w:val="auto"/>
        </w:rPr>
      </w:pPr>
    </w:p>
    <w:p>
      <w:pPr>
        <w:jc w:val="both"/>
        <w:ind w:left="360"/>
        <w:spacing w:after="0" w:line="276" w:lineRule="auto"/>
        <w:rPr>
          <w:sz w:val="20"/>
          <w:szCs w:val="20"/>
          <w:color w:val="auto"/>
        </w:rPr>
      </w:pPr>
      <w:r>
        <w:rPr>
          <w:rFonts w:ascii="Arial" w:cs="Arial" w:eastAsia="Arial" w:hAnsi="Arial"/>
          <w:sz w:val="18"/>
          <w:szCs w:val="18"/>
          <w:color w:val="auto"/>
        </w:rPr>
        <w:t>During the quarter ended March 31, 2016, the Corporation awarded its annual grant of stock-based compensation, which included 75,421 of performance stock units and 68,720 of restricted stock units. The grant-date fair value of each award is $142.02 for the performance stock units and $124.41 for the restricted stock units. No stock options are expected to be awarded in 2016. In past years, annual stock-based compensation awards were primarily made in the second quarter of the year. The change in the composition of the awards and the timing of the annual grant resulted in higher expense recorded in the first quarter compared with prior years. For the quarters ended March 31, 2016 and 2015, stock-based compensation expense was $7,228,000 and $2,907,000,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Page 20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121" w:right="2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10-Q</w:t>
      </w:r>
    </w:p>
    <w:p>
      <w:pPr>
        <w:jc w:val="center"/>
        <w:ind w:right="20"/>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RESULTS OF OPERATIONS</w:t>
      </w:r>
    </w:p>
    <w:p>
      <w:pPr>
        <w:jc w:val="center"/>
        <w:ind w:right="20"/>
        <w:spacing w:after="0"/>
        <w:rPr>
          <w:sz w:val="20"/>
          <w:szCs w:val="20"/>
          <w:color w:val="auto"/>
        </w:rPr>
      </w:pPr>
      <w:r>
        <w:rPr>
          <w:rFonts w:ascii="Arial" w:cs="Arial" w:eastAsia="Arial" w:hAnsi="Arial"/>
          <w:sz w:val="20"/>
          <w:szCs w:val="20"/>
          <w:color w:val="auto"/>
        </w:rPr>
        <w:t>First Quarter Ended March 31, 2016</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Martin Marietta Materials, Inc. (the Corporation or Martin Marietta) is a leading supplier of aggregates products (crushed stone, sand and gravel) and heavy building materials for the construction industry, including infrastructure, nonresidential, residential, railroad ballast, agricultural and chemical grade stone used in environmental applications. The Corporation’s annual consolidated net sales and operating earnings are predominately derived from its Aggregates business, which mines, processes and sells granite, limestone, sand, gravel and other aggregates-related downstream products, including asphalt, ready mixed concrete and road paving construction services for use in all sectors of the public infrastructure, environmental industries, nonresidential and residential construction industries, as well as agriculture, railroad ballast, chemical, utility and other uses. The Aggregates business shipped and delivered aggregates, asphalt products and ready mixed concrete from a network of more than 400 quarries, underground mines, distribution facilities and plants in 26 states, Nova Scotia and the Bahamas. The Aggregates business’ products are used primarily by commercial customers principally in domestic construction of highways and other infrastructure projects and for nonresidential and residential building development. Aggregates products are also used in the railroad, agricultural, utility and environmental industries.</w:t>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Corporation currently conducts its Aggregates business through three reportable business segments: Mid-America Group, Southeast Group and West Group.</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AGGREGATES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7"/>
              </w:rPr>
              <w:t>Reportable Segments</w:t>
            </w:r>
          </w:p>
        </w:tc>
        <w:tc>
          <w:tcPr>
            <w:tcW w:w="47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93"/>
              </w:rPr>
              <w:t>Mid-America Group</w:t>
            </w:r>
          </w:p>
        </w:tc>
        <w:tc>
          <w:tcPr>
            <w:tcW w:w="1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7"/>
              </w:rPr>
              <w:t>Southeast Group</w:t>
            </w: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c>
          <w:tcPr>
            <w:tcW w:w="20" w:type="dxa"/>
            <w:vAlign w:val="bottom"/>
          </w:tcPr>
          <w:p>
            <w:pPr>
              <w:spacing w:after="0"/>
              <w:rPr>
                <w:sz w:val="20"/>
                <w:szCs w:val="20"/>
                <w:color w:val="auto"/>
              </w:rPr>
            </w:pPr>
          </w:p>
        </w:tc>
      </w:tr>
      <w:tr>
        <w:trPr>
          <w:trHeight w:val="206"/>
        </w:trPr>
        <w:tc>
          <w:tcPr>
            <w:tcW w:w="17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0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Indiana, Iowa, northern Kansas, Kentucky, Maryland,</w:t>
            </w:r>
          </w:p>
        </w:tc>
        <w:tc>
          <w:tcPr>
            <w:tcW w:w="12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w:t>
            </w:r>
          </w:p>
        </w:tc>
        <w:tc>
          <w:tcPr>
            <w:tcW w:w="1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w:t>
            </w:r>
          </w:p>
        </w:tc>
        <w:tc>
          <w:tcPr>
            <w:tcW w:w="20" w:type="dxa"/>
            <w:vAlign w:val="bottom"/>
          </w:tcPr>
          <w:p>
            <w:pPr>
              <w:spacing w:after="0"/>
              <w:rPr>
                <w:sz w:val="17"/>
                <w:szCs w:val="17"/>
                <w:color w:val="auto"/>
              </w:rPr>
            </w:pP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Minnesota, Missouri, eastern Nebraska, North Carolina,</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Georgia, Tennessee,</w:t>
            </w:r>
          </w:p>
        </w:tc>
        <w:tc>
          <w:tcPr>
            <w:tcW w:w="2980" w:type="dxa"/>
            <w:vAlign w:val="bottom"/>
          </w:tcPr>
          <w:p>
            <w:pPr>
              <w:jc w:val="center"/>
              <w:spacing w:after="0"/>
              <w:rPr>
                <w:sz w:val="20"/>
                <w:szCs w:val="20"/>
                <w:color w:val="auto"/>
              </w:rPr>
            </w:pPr>
            <w:r>
              <w:rPr>
                <w:rFonts w:ascii="Arial" w:cs="Arial" w:eastAsia="Arial" w:hAnsi="Arial"/>
                <w:sz w:val="20"/>
                <w:szCs w:val="20"/>
                <w:color w:val="auto"/>
                <w:w w:val="89"/>
              </w:rPr>
              <w:t>Kansas, Louisiana, western</w:t>
            </w:r>
          </w:p>
        </w:tc>
        <w:tc>
          <w:tcPr>
            <w:tcW w:w="2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Ohio, South Carolina, Virginia, Washington and West</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Nova Scotia and the</w:t>
            </w:r>
          </w:p>
        </w:tc>
        <w:tc>
          <w:tcPr>
            <w:tcW w:w="2980" w:type="dxa"/>
            <w:vAlign w:val="bottom"/>
          </w:tcPr>
          <w:p>
            <w:pPr>
              <w:jc w:val="center"/>
              <w:spacing w:after="0"/>
              <w:rPr>
                <w:sz w:val="20"/>
                <w:szCs w:val="20"/>
                <w:color w:val="auto"/>
              </w:rPr>
            </w:pPr>
            <w:r>
              <w:rPr>
                <w:rFonts w:ascii="Arial" w:cs="Arial" w:eastAsia="Arial" w:hAnsi="Arial"/>
                <w:sz w:val="20"/>
                <w:szCs w:val="20"/>
                <w:color w:val="auto"/>
                <w:w w:val="87"/>
              </w:rPr>
              <w:t>Nebraska, Nevada, Oklahoma, Texas,</w:t>
            </w:r>
          </w:p>
        </w:tc>
        <w:tc>
          <w:tcPr>
            <w:tcW w:w="20" w:type="dxa"/>
            <w:vAlign w:val="bottom"/>
          </w:tcPr>
          <w:p>
            <w:pPr>
              <w:spacing w:after="0"/>
              <w:rPr>
                <w:sz w:val="19"/>
                <w:szCs w:val="19"/>
                <w:color w:val="auto"/>
              </w:rPr>
            </w:pP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Virginia</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Bahamas</w:t>
            </w:r>
          </w:p>
        </w:tc>
        <w:tc>
          <w:tcPr>
            <w:tcW w:w="2980" w:type="dxa"/>
            <w:vAlign w:val="bottom"/>
          </w:tcPr>
          <w:p>
            <w:pPr>
              <w:jc w:val="center"/>
              <w:spacing w:after="0"/>
              <w:rPr>
                <w:sz w:val="20"/>
                <w:szCs w:val="20"/>
                <w:color w:val="auto"/>
              </w:rPr>
            </w:pPr>
            <w:r>
              <w:rPr>
                <w:rFonts w:ascii="Arial" w:cs="Arial" w:eastAsia="Arial" w:hAnsi="Arial"/>
                <w:sz w:val="20"/>
                <w:szCs w:val="20"/>
                <w:color w:val="auto"/>
                <w:w w:val="90"/>
              </w:rPr>
              <w:t>Utah and Wyoming</w:t>
            </w:r>
          </w:p>
        </w:tc>
        <w:tc>
          <w:tcPr>
            <w:tcW w:w="20" w:type="dxa"/>
            <w:vAlign w:val="bottom"/>
          </w:tcPr>
          <w:p>
            <w:pPr>
              <w:spacing w:after="0"/>
              <w:rPr>
                <w:sz w:val="21"/>
                <w:szCs w:val="21"/>
                <w:color w:val="auto"/>
              </w:rPr>
            </w:pPr>
          </w:p>
        </w:tc>
      </w:tr>
      <w:tr>
        <w:trPr>
          <w:trHeight w:val="438"/>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Product Lines</w:t>
            </w:r>
          </w:p>
        </w:tc>
        <w:tc>
          <w:tcPr>
            <w:tcW w:w="472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 (crushed stone, sand and gravel)</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Aggregates (crushed</w:t>
            </w:r>
          </w:p>
        </w:tc>
        <w:tc>
          <w:tcPr>
            <w:tcW w:w="2980" w:type="dxa"/>
            <w:vAlign w:val="bottom"/>
          </w:tcPr>
          <w:p>
            <w:pPr>
              <w:jc w:val="center"/>
              <w:spacing w:after="0"/>
              <w:rPr>
                <w:sz w:val="20"/>
                <w:szCs w:val="20"/>
                <w:color w:val="auto"/>
              </w:rPr>
            </w:pPr>
            <w:r>
              <w:rPr>
                <w:rFonts w:ascii="Arial" w:cs="Arial" w:eastAsia="Arial" w:hAnsi="Arial"/>
                <w:sz w:val="20"/>
                <w:szCs w:val="20"/>
                <w:color w:val="auto"/>
                <w:w w:val="86"/>
              </w:rPr>
              <w:t>Aggregates (crushed stone, sand and</w:t>
            </w:r>
          </w:p>
        </w:tc>
        <w:tc>
          <w:tcPr>
            <w:tcW w:w="20" w:type="dxa"/>
            <w:vAlign w:val="bottom"/>
          </w:tcPr>
          <w:p>
            <w:pPr>
              <w:spacing w:after="0"/>
              <w:rPr>
                <w:sz w:val="24"/>
                <w:szCs w:val="24"/>
                <w:color w:val="auto"/>
              </w:rPr>
            </w:pP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84"/>
              </w:rPr>
              <w:t>stone, sand and</w:t>
            </w:r>
          </w:p>
        </w:tc>
        <w:tc>
          <w:tcPr>
            <w:tcW w:w="2980" w:type="dxa"/>
            <w:vAlign w:val="bottom"/>
          </w:tcPr>
          <w:p>
            <w:pPr>
              <w:jc w:val="center"/>
              <w:spacing w:after="0"/>
              <w:rPr>
                <w:sz w:val="20"/>
                <w:szCs w:val="20"/>
                <w:color w:val="auto"/>
              </w:rPr>
            </w:pPr>
            <w:r>
              <w:rPr>
                <w:rFonts w:ascii="Arial" w:cs="Arial" w:eastAsia="Arial" w:hAnsi="Arial"/>
                <w:sz w:val="20"/>
                <w:szCs w:val="20"/>
                <w:color w:val="auto"/>
                <w:w w:val="89"/>
              </w:rPr>
              <w:t>gravel), asphalt, ready mixed</w:t>
            </w:r>
          </w:p>
        </w:tc>
        <w:tc>
          <w:tcPr>
            <w:tcW w:w="20" w:type="dxa"/>
            <w:vAlign w:val="bottom"/>
          </w:tcPr>
          <w:p>
            <w:pPr>
              <w:spacing w:after="0"/>
              <w:rPr>
                <w:sz w:val="19"/>
                <w:szCs w:val="19"/>
                <w:color w:val="auto"/>
              </w:rPr>
            </w:pP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gravel)</w:t>
            </w:r>
          </w:p>
        </w:tc>
        <w:tc>
          <w:tcPr>
            <w:tcW w:w="2980" w:type="dxa"/>
            <w:vAlign w:val="bottom"/>
          </w:tcPr>
          <w:p>
            <w:pPr>
              <w:jc w:val="center"/>
              <w:spacing w:after="0"/>
              <w:rPr>
                <w:sz w:val="20"/>
                <w:szCs w:val="20"/>
                <w:color w:val="auto"/>
              </w:rPr>
            </w:pPr>
            <w:r>
              <w:rPr>
                <w:rFonts w:ascii="Arial" w:cs="Arial" w:eastAsia="Arial" w:hAnsi="Arial"/>
                <w:sz w:val="20"/>
                <w:szCs w:val="20"/>
                <w:color w:val="auto"/>
                <w:w w:val="87"/>
              </w:rPr>
              <w:t>concrete and road paving</w:t>
            </w:r>
          </w:p>
        </w:tc>
        <w:tc>
          <w:tcPr>
            <w:tcW w:w="20" w:type="dxa"/>
            <w:vAlign w:val="bottom"/>
          </w:tcPr>
          <w:p>
            <w:pPr>
              <w:spacing w:after="0"/>
              <w:rPr>
                <w:sz w:val="21"/>
                <w:szCs w:val="21"/>
                <w:color w:val="auto"/>
              </w:rPr>
            </w:pPr>
          </w:p>
        </w:tc>
      </w:tr>
      <w:tr>
        <w:trPr>
          <w:trHeight w:val="438"/>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Types of Aggregates</w:t>
            </w:r>
          </w:p>
        </w:tc>
        <w:tc>
          <w:tcPr>
            <w:tcW w:w="472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and Distribution Facilities</w:t>
            </w:r>
          </w:p>
        </w:tc>
        <w:tc>
          <w:tcPr>
            <w:tcW w:w="192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Quarries and</w:t>
            </w:r>
          </w:p>
        </w:tc>
        <w:tc>
          <w:tcPr>
            <w:tcW w:w="2980" w:type="dxa"/>
            <w:vAlign w:val="bottom"/>
          </w:tcPr>
          <w:p>
            <w:pPr>
              <w:jc w:val="center"/>
              <w:spacing w:after="0"/>
              <w:rPr>
                <w:sz w:val="20"/>
                <w:szCs w:val="20"/>
                <w:color w:val="auto"/>
              </w:rPr>
            </w:pPr>
            <w:r>
              <w:rPr>
                <w:rFonts w:ascii="Arial" w:cs="Arial" w:eastAsia="Arial" w:hAnsi="Arial"/>
                <w:sz w:val="20"/>
                <w:szCs w:val="20"/>
                <w:color w:val="auto"/>
                <w:w w:val="87"/>
              </w:rPr>
              <w:t>Quarries, Plants and</w:t>
            </w:r>
          </w:p>
        </w:tc>
        <w:tc>
          <w:tcPr>
            <w:tcW w:w="20" w:type="dxa"/>
            <w:vAlign w:val="bottom"/>
          </w:tcPr>
          <w:p>
            <w:pPr>
              <w:spacing w:after="0"/>
              <w:rPr>
                <w:sz w:val="24"/>
                <w:szCs w:val="24"/>
                <w:color w:val="auto"/>
              </w:rPr>
            </w:pPr>
          </w:p>
        </w:tc>
      </w:tr>
      <w:tr>
        <w:trPr>
          <w:trHeight w:val="250"/>
        </w:trPr>
        <w:tc>
          <w:tcPr>
            <w:tcW w:w="1800" w:type="dxa"/>
            <w:vAlign w:val="bottom"/>
            <w:gridSpan w:val="2"/>
          </w:tcPr>
          <w:p>
            <w:pPr>
              <w:jc w:val="center"/>
              <w:ind w:left="41"/>
              <w:spacing w:after="0"/>
              <w:rPr>
                <w:sz w:val="20"/>
                <w:szCs w:val="20"/>
                <w:color w:val="auto"/>
              </w:rPr>
            </w:pPr>
            <w:r>
              <w:rPr>
                <w:rFonts w:ascii="Arial" w:cs="Arial" w:eastAsia="Arial" w:hAnsi="Arial"/>
                <w:sz w:val="20"/>
                <w:szCs w:val="20"/>
                <w:color w:val="auto"/>
                <w:w w:val="91"/>
              </w:rPr>
              <w:t>Locations</w:t>
            </w: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93"/>
              </w:rPr>
              <w:t>Distribution Facilities</w:t>
            </w:r>
          </w:p>
        </w:tc>
        <w:tc>
          <w:tcPr>
            <w:tcW w:w="2980" w:type="dxa"/>
            <w:vAlign w:val="bottom"/>
          </w:tcPr>
          <w:p>
            <w:pPr>
              <w:jc w:val="center"/>
              <w:spacing w:after="0"/>
              <w:rPr>
                <w:sz w:val="20"/>
                <w:szCs w:val="20"/>
                <w:color w:val="auto"/>
              </w:rPr>
            </w:pPr>
            <w:r>
              <w:rPr>
                <w:rFonts w:ascii="Arial" w:cs="Arial" w:eastAsia="Arial" w:hAnsi="Arial"/>
                <w:sz w:val="20"/>
                <w:szCs w:val="20"/>
                <w:color w:val="auto"/>
                <w:w w:val="94"/>
              </w:rPr>
              <w:t>Distribution Facilities</w:t>
            </w:r>
          </w:p>
        </w:tc>
        <w:tc>
          <w:tcPr>
            <w:tcW w:w="20" w:type="dxa"/>
            <w:vAlign w:val="bottom"/>
          </w:tcPr>
          <w:p>
            <w:pPr>
              <w:spacing w:after="0"/>
              <w:rPr>
                <w:sz w:val="21"/>
                <w:szCs w:val="21"/>
                <w:color w:val="auto"/>
              </w:rPr>
            </w:pPr>
          </w:p>
        </w:tc>
      </w:tr>
      <w:tr>
        <w:trPr>
          <w:trHeight w:val="452"/>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Modes of</w:t>
            </w:r>
          </w:p>
        </w:tc>
        <w:tc>
          <w:tcPr>
            <w:tcW w:w="472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Truck and Rail</w:t>
            </w:r>
          </w:p>
        </w:tc>
        <w:tc>
          <w:tcPr>
            <w:tcW w:w="19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Rail and Water</w:t>
            </w:r>
          </w:p>
        </w:tc>
        <w:tc>
          <w:tcPr>
            <w:tcW w:w="2980" w:type="dxa"/>
            <w:vAlign w:val="bottom"/>
          </w:tcPr>
          <w:p>
            <w:pPr>
              <w:jc w:val="center"/>
              <w:spacing w:after="0"/>
              <w:rPr>
                <w:sz w:val="20"/>
                <w:szCs w:val="20"/>
                <w:color w:val="auto"/>
              </w:rPr>
            </w:pPr>
            <w:r>
              <w:rPr>
                <w:rFonts w:ascii="Arial" w:cs="Arial" w:eastAsia="Arial" w:hAnsi="Arial"/>
                <w:sz w:val="20"/>
                <w:szCs w:val="20"/>
                <w:color w:val="auto"/>
                <w:w w:val="91"/>
              </w:rPr>
              <w:t>Truck and Rail</w:t>
            </w:r>
          </w:p>
        </w:tc>
        <w:tc>
          <w:tcPr>
            <w:tcW w:w="20" w:type="dxa"/>
            <w:vAlign w:val="bottom"/>
          </w:tcPr>
          <w:p>
            <w:pPr>
              <w:spacing w:after="0"/>
              <w:rPr>
                <w:sz w:val="24"/>
                <w:szCs w:val="24"/>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91"/>
              </w:rPr>
              <w:t>Transportation for</w:t>
            </w: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89"/>
              </w:rPr>
              <w:t>Aggregates</w:t>
            </w: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92"/>
              </w:rPr>
              <w:t>Product Line</w:t>
            </w: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05"/>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2"/>
          </w:tcPr>
          <w:p>
            <w:pPr>
              <w:ind w:left="3360"/>
              <w:spacing w:after="0"/>
              <w:rPr>
                <w:sz w:val="20"/>
                <w:szCs w:val="20"/>
                <w:color w:val="auto"/>
              </w:rPr>
            </w:pPr>
            <w:r>
              <w:rPr>
                <w:rFonts w:ascii="Arial" w:cs="Arial" w:eastAsia="Arial" w:hAnsi="Arial"/>
                <w:sz w:val="20"/>
                <w:szCs w:val="20"/>
                <w:color w:val="auto"/>
              </w:rPr>
              <w:t>Page 21 of 46</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Cement business produces Portland and specialty cements. Similar to the Aggregates business, cement is used in infrastructure projects, nonresidential and residential construction, and the railroad, agricultural, utility and environmental industries. The production facilities are located in Midlothian, Texas, south of Dallas/Fort Worth and Hunter, Texas, north of San Antonio. The limestone reserves used as a raw material are located on property, owned by the Corporation, adjacent to each of the plants. In addition to the manufacturing facilities, the Corporation operates cement distribution terminals.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also has a Magnesia Specialties segment that produces magnesia-based chemicals products used in industrial, agricultural and environmental applications and dolomitic lime sold primarily to customers in the steel industry.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outlined its critical accounting policies in its Annual Report on Form 10-K for the year ended December 31, 2015. There were no changes to the Corporation’s critical accounting policies during the three months ended March 31, 2016.</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Except as indicated, the comparative analysis in this Management’s Discussion and Analysis of Financial Condition and Results of Operations is based on net sales and cost of sales. Gross margin and operating margin calculated as percentages of total revenues represent the most directly comparable financial measures calculated in accordance with generally accepted accounting principles (“GAAP”). However, gross margin as a percentage of net sales and operating margin as a percentage of net sales represent non-GAAP measures. The Corporation presents these ratios calculated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The following tables present the calculations of gross margin and operating margin for the three months ended March 31, 2016 and 2015 in accordance with GAAP and reconciliations of the ratios as percentages of total revenues to percentages of net sales.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80" w:type="dxa"/>
            <w:vAlign w:val="bottom"/>
          </w:tcPr>
          <w:p>
            <w:pPr>
              <w:spacing w:after="0"/>
              <w:rPr>
                <w:sz w:val="20"/>
                <w:szCs w:val="20"/>
                <w:color w:val="auto"/>
              </w:rPr>
            </w:pPr>
            <w:r>
              <w:rPr>
                <w:rFonts w:ascii="Arial" w:cs="Arial" w:eastAsia="Arial" w:hAnsi="Arial"/>
                <w:sz w:val="20"/>
                <w:szCs w:val="20"/>
                <w:b w:val="1"/>
                <w:bCs w:val="1"/>
                <w:color w:val="auto"/>
              </w:rPr>
              <w:t>Consolidated Gross Margin in Accordance with GAAP</w:t>
            </w:r>
          </w:p>
        </w:tc>
        <w:tc>
          <w:tcPr>
            <w:tcW w:w="1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8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6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9"/>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1520" w:type="dxa"/>
            <w:vAlign w:val="bottom"/>
            <w:tcBorders>
              <w:bottom w:val="single" w:sz="8" w:color="CFF2FA"/>
            </w:tcBorders>
            <w:shd w:val="clear" w:color="auto" w:fill="CFF2FA"/>
          </w:tcPr>
          <w:p>
            <w:pPr>
              <w:spacing w:after="0"/>
              <w:rPr>
                <w:sz w:val="21"/>
                <w:szCs w:val="21"/>
                <w:color w:val="auto"/>
              </w:rPr>
            </w:pP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144,634</w:t>
            </w:r>
          </w:p>
        </w:tc>
        <w:tc>
          <w:tcPr>
            <w:tcW w:w="38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74,261</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1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80" w:type="dxa"/>
            <w:vAlign w:val="bottom"/>
            <w:tcBorders>
              <w:bottom w:val="single" w:sz="8" w:color="CFF2FA"/>
            </w:tcBorders>
            <w:vMerge w:val="continue"/>
          </w:tcPr>
          <w:p>
            <w:pPr>
              <w:spacing w:after="0"/>
              <w:rPr>
                <w:sz w:val="22"/>
                <w:szCs w:val="22"/>
                <w:color w:val="auto"/>
              </w:rPr>
            </w:pPr>
          </w:p>
        </w:tc>
        <w:tc>
          <w:tcPr>
            <w:tcW w:w="1520" w:type="dxa"/>
            <w:vAlign w:val="bottom"/>
            <w:tcBorders>
              <w:bottom w:val="single" w:sz="8" w:color="CFF2FA"/>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788,734</w:t>
            </w:r>
          </w:p>
        </w:tc>
        <w:tc>
          <w:tcPr>
            <w:tcW w:w="380" w:type="dxa"/>
            <w:vAlign w:val="bottom"/>
            <w:tcBorders>
              <w:bottom w:val="single" w:sz="8" w:color="CFF2FA"/>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691,347</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152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200"/>
              <w:spacing w:after="0" w:line="224" w:lineRule="exact"/>
              <w:rPr>
                <w:sz w:val="20"/>
                <w:szCs w:val="20"/>
                <w:color w:val="auto"/>
              </w:rPr>
            </w:pPr>
            <w:r>
              <w:rPr>
                <w:rFonts w:ascii="Arial" w:cs="Arial" w:eastAsia="Arial" w:hAnsi="Arial"/>
                <w:sz w:val="20"/>
                <w:szCs w:val="20"/>
                <w:color w:val="auto"/>
              </w:rPr>
              <w:t>18.3%</w:t>
            </w:r>
          </w:p>
        </w:tc>
        <w:tc>
          <w:tcPr>
            <w:tcW w:w="40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0"/>
        </w:trPr>
        <w:tc>
          <w:tcPr>
            <w:tcW w:w="6180" w:type="dxa"/>
            <w:vAlign w:val="bottom"/>
            <w:tcBorders>
              <w:top w:val="single" w:sz="8" w:color="CFF2FA"/>
            </w:tcBorders>
          </w:tcPr>
          <w:p>
            <w:pPr>
              <w:spacing w:after="0" w:line="20" w:lineRule="exact"/>
              <w:rPr>
                <w:sz w:val="1"/>
                <w:szCs w:val="1"/>
                <w:color w:val="auto"/>
              </w:rPr>
            </w:pPr>
          </w:p>
        </w:tc>
        <w:tc>
          <w:tcPr>
            <w:tcW w:w="152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Pr>
          <w:p>
            <w:pPr>
              <w:spacing w:after="0"/>
              <w:rPr>
                <w:sz w:val="20"/>
                <w:szCs w:val="20"/>
                <w:color w:val="auto"/>
              </w:rPr>
            </w:pPr>
            <w:r>
              <w:rPr>
                <w:rFonts w:ascii="Arial" w:cs="Arial" w:eastAsia="Arial" w:hAnsi="Arial"/>
                <w:sz w:val="20"/>
                <w:szCs w:val="20"/>
                <w:b w:val="1"/>
                <w:bCs w:val="1"/>
                <w:color w:val="auto"/>
              </w:rPr>
              <w:t>Consolidated Gross Margin Excluding Freight and Delivery Revenues</w:t>
            </w:r>
          </w:p>
        </w:tc>
        <w:tc>
          <w:tcPr>
            <w:tcW w:w="340" w:type="dxa"/>
            <w:vAlign w:val="bottom"/>
          </w:tcPr>
          <w:p>
            <w:pPr>
              <w:spacing w:after="0"/>
              <w:rPr>
                <w:sz w:val="22"/>
                <w:szCs w:val="22"/>
                <w:color w:val="auto"/>
              </w:rPr>
            </w:pPr>
          </w:p>
        </w:tc>
        <w:tc>
          <w:tcPr>
            <w:tcW w:w="330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144,634</w:t>
            </w:r>
          </w:p>
        </w:tc>
        <w:tc>
          <w:tcPr>
            <w:tcW w:w="34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0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74,261</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340" w:type="dxa"/>
            <w:vAlign w:val="bottom"/>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line="224" w:lineRule="exact"/>
              <w:rPr>
                <w:sz w:val="20"/>
                <w:szCs w:val="20"/>
                <w:color w:val="auto"/>
              </w:rPr>
            </w:pPr>
            <w:r>
              <w:rPr>
                <w:rFonts w:ascii="Arial" w:cs="Arial" w:eastAsia="Arial" w:hAnsi="Arial"/>
                <w:sz w:val="20"/>
                <w:szCs w:val="20"/>
                <w:color w:val="auto"/>
              </w:rPr>
              <w:t>788,734</w:t>
            </w:r>
          </w:p>
        </w:tc>
        <w:tc>
          <w:tcPr>
            <w:tcW w:w="340" w:type="dxa"/>
            <w:vAlign w:val="bottom"/>
          </w:tcPr>
          <w:p>
            <w:pPr>
              <w:spacing w:after="0"/>
              <w:rPr>
                <w:sz w:val="19"/>
                <w:szCs w:val="19"/>
                <w:color w:val="auto"/>
              </w:rPr>
            </w:pPr>
          </w:p>
        </w:tc>
        <w:tc>
          <w:tcPr>
            <w:tcW w:w="400" w:type="dxa"/>
            <w:vAlign w:val="bottom"/>
          </w:tcPr>
          <w:p>
            <w:pPr>
              <w:jc w:val="right"/>
              <w:ind w:right="201"/>
              <w:spacing w:after="0" w:line="224" w:lineRule="exact"/>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line="224" w:lineRule="exact"/>
              <w:rPr>
                <w:sz w:val="20"/>
                <w:szCs w:val="20"/>
                <w:color w:val="auto"/>
              </w:rPr>
            </w:pPr>
            <w:r>
              <w:rPr>
                <w:rFonts w:ascii="Arial" w:cs="Arial" w:eastAsia="Arial" w:hAnsi="Arial"/>
                <w:sz w:val="20"/>
                <w:szCs w:val="20"/>
                <w:color w:val="auto"/>
              </w:rPr>
              <w:t>691,347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340" w:type="dxa"/>
            <w:vAlign w:val="bottom"/>
            <w:shd w:val="clear" w:color="auto" w:fill="CFF2FA"/>
          </w:tcPr>
          <w:p>
            <w:pPr>
              <w:spacing w:after="0"/>
              <w:rPr>
                <w:sz w:val="21"/>
                <w:szCs w:val="21"/>
                <w:color w:val="auto"/>
              </w:rPr>
            </w:pPr>
          </w:p>
        </w:tc>
        <w:tc>
          <w:tcPr>
            <w:tcW w:w="1560" w:type="dxa"/>
            <w:vAlign w:val="bottom"/>
            <w:gridSpan w:val="2"/>
            <w:shd w:val="clear" w:color="auto" w:fill="CFF2FA"/>
          </w:tcPr>
          <w:p>
            <w:pPr>
              <w:jc w:val="right"/>
              <w:ind w:right="280"/>
              <w:spacing w:after="0"/>
              <w:rPr>
                <w:sz w:val="20"/>
                <w:szCs w:val="20"/>
                <w:color w:val="auto"/>
              </w:rPr>
            </w:pPr>
            <w:r>
              <w:rPr>
                <w:rFonts w:ascii="Arial" w:cs="Arial" w:eastAsia="Arial" w:hAnsi="Arial"/>
                <w:sz w:val="20"/>
                <w:szCs w:val="20"/>
                <w:color w:val="auto"/>
              </w:rPr>
              <w:t>(54,774)</w:t>
            </w:r>
          </w:p>
        </w:tc>
        <w:tc>
          <w:tcPr>
            <w:tcW w:w="400" w:type="dxa"/>
            <w:vAlign w:val="bottom"/>
            <w:shd w:val="clear" w:color="auto" w:fill="CFF2FA"/>
          </w:tcPr>
          <w:p>
            <w:pPr>
              <w:spacing w:after="0"/>
              <w:rPr>
                <w:sz w:val="21"/>
                <w:szCs w:val="21"/>
                <w:color w:val="auto"/>
              </w:rPr>
            </w:pPr>
          </w:p>
        </w:tc>
        <w:tc>
          <w:tcPr>
            <w:tcW w:w="134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(59,471)</w:t>
            </w:r>
          </w:p>
        </w:tc>
        <w:tc>
          <w:tcPr>
            <w:tcW w:w="0" w:type="dxa"/>
            <w:vAlign w:val="bottom"/>
          </w:tcPr>
          <w:p>
            <w:pPr>
              <w:spacing w:after="0"/>
              <w:rPr>
                <w:sz w:val="1"/>
                <w:szCs w:val="1"/>
                <w:color w:val="auto"/>
              </w:rPr>
            </w:pPr>
          </w:p>
        </w:tc>
      </w:tr>
      <w:tr>
        <w:trPr>
          <w:trHeight w:val="277"/>
        </w:trPr>
        <w:tc>
          <w:tcPr>
            <w:tcW w:w="778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733,960</w:t>
            </w:r>
          </w:p>
        </w:tc>
        <w:tc>
          <w:tcPr>
            <w:tcW w:w="340" w:type="dxa"/>
            <w:vAlign w:val="bottom"/>
            <w:tcBorders>
              <w:bottom w:val="single" w:sz="8" w:color="CFF2FA"/>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631,876</w:t>
            </w: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 excluding freight and delivery revenues</w:t>
            </w:r>
          </w:p>
        </w:tc>
        <w:tc>
          <w:tcPr>
            <w:tcW w:w="340" w:type="dxa"/>
            <w:vAlign w:val="bottom"/>
            <w:shd w:val="clear" w:color="auto" w:fill="CFF2FA"/>
          </w:tcPr>
          <w:p>
            <w:pPr>
              <w:spacing w:after="0"/>
              <w:rPr>
                <w:sz w:val="19"/>
                <w:szCs w:val="19"/>
                <w:color w:val="auto"/>
              </w:rPr>
            </w:pPr>
          </w:p>
        </w:tc>
        <w:tc>
          <w:tcPr>
            <w:tcW w:w="1560" w:type="dxa"/>
            <w:vAlign w:val="bottom"/>
            <w:gridSpan w:val="2"/>
            <w:shd w:val="clear" w:color="auto" w:fill="CFF2FA"/>
          </w:tcPr>
          <w:p>
            <w:pPr>
              <w:jc w:val="right"/>
              <w:ind w:right="180"/>
              <w:spacing w:after="0" w:line="224" w:lineRule="exact"/>
              <w:rPr>
                <w:sz w:val="20"/>
                <w:szCs w:val="20"/>
                <w:color w:val="auto"/>
              </w:rPr>
            </w:pPr>
            <w:r>
              <w:rPr>
                <w:rFonts w:ascii="Arial" w:cs="Arial" w:eastAsia="Arial" w:hAnsi="Arial"/>
                <w:sz w:val="20"/>
                <w:szCs w:val="20"/>
                <w:color w:val="auto"/>
              </w:rPr>
              <w:t>19.7%</w:t>
            </w:r>
          </w:p>
        </w:tc>
        <w:tc>
          <w:tcPr>
            <w:tcW w:w="4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0"/>
        </w:trPr>
        <w:tc>
          <w:tcPr>
            <w:tcW w:w="77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rPr>
              <w:t>Consolidated Operating Margin in Accordance with GAAP</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7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83,769</w:t>
            </w:r>
          </w:p>
        </w:tc>
        <w:tc>
          <w:tcPr>
            <w:tcW w:w="34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0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25,571</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FF2FA"/>
            </w:tcBorders>
            <w:vMerge w:val="continue"/>
          </w:tcPr>
          <w:p>
            <w:pPr>
              <w:spacing w:after="0"/>
              <w:rPr>
                <w:sz w:val="22"/>
                <w:szCs w:val="22"/>
                <w:color w:val="auto"/>
              </w:rPr>
            </w:pPr>
          </w:p>
        </w:tc>
        <w:tc>
          <w:tcPr>
            <w:tcW w:w="340" w:type="dxa"/>
            <w:vAlign w:val="bottom"/>
            <w:tcBorders>
              <w:bottom w:val="single" w:sz="8" w:color="auto"/>
            </w:tcBorders>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788,734</w:t>
            </w:r>
          </w:p>
        </w:tc>
        <w:tc>
          <w:tcPr>
            <w:tcW w:w="340" w:type="dxa"/>
            <w:vAlign w:val="bottom"/>
            <w:tcBorders>
              <w:bottom w:val="single" w:sz="8" w:color="CFF2FA"/>
            </w:tcBorders>
          </w:tcPr>
          <w:p>
            <w:pPr>
              <w:spacing w:after="0"/>
              <w:rPr>
                <w:sz w:val="22"/>
                <w:szCs w:val="22"/>
                <w:color w:val="auto"/>
              </w:rPr>
            </w:pPr>
          </w:p>
        </w:tc>
        <w:tc>
          <w:tcPr>
            <w:tcW w:w="400" w:type="dxa"/>
            <w:vAlign w:val="bottom"/>
            <w:tcBorders>
              <w:bottom w:val="single" w:sz="8" w:color="auto"/>
            </w:tcBorders>
          </w:tcPr>
          <w:p>
            <w:pPr>
              <w:jc w:val="right"/>
              <w:ind w:right="201"/>
              <w:spacing w:after="0" w:line="224"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691,347</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Operating margin</w:t>
            </w:r>
          </w:p>
        </w:tc>
        <w:tc>
          <w:tcPr>
            <w:tcW w:w="340" w:type="dxa"/>
            <w:vAlign w:val="bottom"/>
            <w:shd w:val="clear" w:color="auto" w:fill="CFF2FA"/>
          </w:tcPr>
          <w:p>
            <w:pPr>
              <w:spacing w:after="0"/>
              <w:rPr>
                <w:sz w:val="19"/>
                <w:szCs w:val="19"/>
                <w:color w:val="auto"/>
              </w:rPr>
            </w:pPr>
          </w:p>
        </w:tc>
        <w:tc>
          <w:tcPr>
            <w:tcW w:w="1560" w:type="dxa"/>
            <w:vAlign w:val="bottom"/>
            <w:gridSpan w:val="2"/>
            <w:shd w:val="clear" w:color="auto" w:fill="CFF2FA"/>
          </w:tcPr>
          <w:p>
            <w:pPr>
              <w:jc w:val="right"/>
              <w:ind w:right="180"/>
              <w:spacing w:after="0" w:line="224" w:lineRule="exact"/>
              <w:rPr>
                <w:sz w:val="20"/>
                <w:szCs w:val="20"/>
                <w:color w:val="auto"/>
              </w:rPr>
            </w:pPr>
            <w:r>
              <w:rPr>
                <w:rFonts w:ascii="Arial" w:cs="Arial" w:eastAsia="Arial" w:hAnsi="Arial"/>
                <w:sz w:val="20"/>
                <w:szCs w:val="20"/>
                <w:color w:val="auto"/>
              </w:rPr>
              <w:t>10.6%</w:t>
            </w:r>
          </w:p>
        </w:tc>
        <w:tc>
          <w:tcPr>
            <w:tcW w:w="4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0"/>
        </w:trPr>
        <w:tc>
          <w:tcPr>
            <w:tcW w:w="77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rPr>
              <w:t>Consolidated Operating Margin Excluding Freight and Delivery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7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83,769</w:t>
            </w:r>
          </w:p>
        </w:tc>
        <w:tc>
          <w:tcPr>
            <w:tcW w:w="34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0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25,571</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340" w:type="dxa"/>
            <w:vAlign w:val="bottom"/>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line="224" w:lineRule="exact"/>
              <w:rPr>
                <w:sz w:val="20"/>
                <w:szCs w:val="20"/>
                <w:color w:val="auto"/>
              </w:rPr>
            </w:pPr>
            <w:r>
              <w:rPr>
                <w:rFonts w:ascii="Arial" w:cs="Arial" w:eastAsia="Arial" w:hAnsi="Arial"/>
                <w:sz w:val="20"/>
                <w:szCs w:val="20"/>
                <w:color w:val="auto"/>
              </w:rPr>
              <w:t>788,734</w:t>
            </w:r>
          </w:p>
        </w:tc>
        <w:tc>
          <w:tcPr>
            <w:tcW w:w="340" w:type="dxa"/>
            <w:vAlign w:val="bottom"/>
          </w:tcPr>
          <w:p>
            <w:pPr>
              <w:spacing w:after="0"/>
              <w:rPr>
                <w:sz w:val="19"/>
                <w:szCs w:val="19"/>
                <w:color w:val="auto"/>
              </w:rPr>
            </w:pPr>
          </w:p>
        </w:tc>
        <w:tc>
          <w:tcPr>
            <w:tcW w:w="400" w:type="dxa"/>
            <w:vAlign w:val="bottom"/>
          </w:tcPr>
          <w:p>
            <w:pPr>
              <w:jc w:val="right"/>
              <w:ind w:right="201"/>
              <w:spacing w:after="0" w:line="224" w:lineRule="exact"/>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line="224" w:lineRule="exact"/>
              <w:rPr>
                <w:sz w:val="20"/>
                <w:szCs w:val="20"/>
                <w:color w:val="auto"/>
              </w:rPr>
            </w:pPr>
            <w:r>
              <w:rPr>
                <w:rFonts w:ascii="Arial" w:cs="Arial" w:eastAsia="Arial" w:hAnsi="Arial"/>
                <w:sz w:val="20"/>
                <w:szCs w:val="20"/>
                <w:color w:val="auto"/>
              </w:rPr>
              <w:t>691,347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340" w:type="dxa"/>
            <w:vAlign w:val="bottom"/>
            <w:shd w:val="clear" w:color="auto" w:fill="CFF2FA"/>
          </w:tcPr>
          <w:p>
            <w:pPr>
              <w:spacing w:after="0"/>
              <w:rPr>
                <w:sz w:val="21"/>
                <w:szCs w:val="21"/>
                <w:color w:val="auto"/>
              </w:rPr>
            </w:pPr>
          </w:p>
        </w:tc>
        <w:tc>
          <w:tcPr>
            <w:tcW w:w="1560" w:type="dxa"/>
            <w:vAlign w:val="bottom"/>
            <w:gridSpan w:val="2"/>
            <w:shd w:val="clear" w:color="auto" w:fill="CFF2FA"/>
          </w:tcPr>
          <w:p>
            <w:pPr>
              <w:jc w:val="right"/>
              <w:ind w:right="280"/>
              <w:spacing w:after="0"/>
              <w:rPr>
                <w:sz w:val="20"/>
                <w:szCs w:val="20"/>
                <w:color w:val="auto"/>
              </w:rPr>
            </w:pPr>
            <w:r>
              <w:rPr>
                <w:rFonts w:ascii="Arial" w:cs="Arial" w:eastAsia="Arial" w:hAnsi="Arial"/>
                <w:sz w:val="20"/>
                <w:szCs w:val="20"/>
                <w:color w:val="auto"/>
              </w:rPr>
              <w:t>(54,774)</w:t>
            </w:r>
          </w:p>
        </w:tc>
        <w:tc>
          <w:tcPr>
            <w:tcW w:w="400" w:type="dxa"/>
            <w:vAlign w:val="bottom"/>
            <w:shd w:val="clear" w:color="auto" w:fill="CFF2FA"/>
          </w:tcPr>
          <w:p>
            <w:pPr>
              <w:spacing w:after="0"/>
              <w:rPr>
                <w:sz w:val="21"/>
                <w:szCs w:val="21"/>
                <w:color w:val="auto"/>
              </w:rPr>
            </w:pPr>
          </w:p>
        </w:tc>
        <w:tc>
          <w:tcPr>
            <w:tcW w:w="134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(59,471)</w:t>
            </w:r>
          </w:p>
        </w:tc>
        <w:tc>
          <w:tcPr>
            <w:tcW w:w="0" w:type="dxa"/>
            <w:vAlign w:val="bottom"/>
          </w:tcPr>
          <w:p>
            <w:pPr>
              <w:spacing w:after="0"/>
              <w:rPr>
                <w:sz w:val="1"/>
                <w:szCs w:val="1"/>
                <w:color w:val="auto"/>
              </w:rPr>
            </w:pPr>
          </w:p>
        </w:tc>
      </w:tr>
      <w:tr>
        <w:trPr>
          <w:trHeight w:val="277"/>
        </w:trPr>
        <w:tc>
          <w:tcPr>
            <w:tcW w:w="778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733,960</w:t>
            </w:r>
          </w:p>
        </w:tc>
        <w:tc>
          <w:tcPr>
            <w:tcW w:w="340" w:type="dxa"/>
            <w:vAlign w:val="bottom"/>
            <w:tcBorders>
              <w:bottom w:val="single" w:sz="8" w:color="CFF2FA"/>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631,876</w:t>
            </w: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Operating margin excluding freight and delivery revenues</w:t>
            </w:r>
          </w:p>
        </w:tc>
        <w:tc>
          <w:tcPr>
            <w:tcW w:w="340" w:type="dxa"/>
            <w:vAlign w:val="bottom"/>
            <w:shd w:val="clear" w:color="auto" w:fill="CFF2FA"/>
          </w:tcPr>
          <w:p>
            <w:pPr>
              <w:spacing w:after="0"/>
              <w:rPr>
                <w:sz w:val="19"/>
                <w:szCs w:val="19"/>
                <w:color w:val="auto"/>
              </w:rPr>
            </w:pPr>
          </w:p>
        </w:tc>
        <w:tc>
          <w:tcPr>
            <w:tcW w:w="1560" w:type="dxa"/>
            <w:vAlign w:val="bottom"/>
            <w:gridSpan w:val="2"/>
            <w:shd w:val="clear" w:color="auto" w:fill="CFF2FA"/>
          </w:tcPr>
          <w:p>
            <w:pPr>
              <w:jc w:val="right"/>
              <w:ind w:right="180"/>
              <w:spacing w:after="0" w:line="224" w:lineRule="exact"/>
              <w:rPr>
                <w:sz w:val="20"/>
                <w:szCs w:val="20"/>
                <w:color w:val="auto"/>
              </w:rPr>
            </w:pPr>
            <w:r>
              <w:rPr>
                <w:rFonts w:ascii="Arial" w:cs="Arial" w:eastAsia="Arial" w:hAnsi="Arial"/>
                <w:sz w:val="20"/>
                <w:szCs w:val="20"/>
                <w:color w:val="auto"/>
              </w:rPr>
              <w:t>11.4%</w:t>
            </w:r>
          </w:p>
        </w:tc>
        <w:tc>
          <w:tcPr>
            <w:tcW w:w="4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778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00" w:type="dxa"/>
            <w:vAlign w:val="bottom"/>
          </w:tcPr>
          <w:p>
            <w:pPr>
              <w:spacing w:after="0"/>
              <w:rPr>
                <w:sz w:val="20"/>
                <w:szCs w:val="20"/>
                <w:color w:val="auto"/>
              </w:rPr>
            </w:pPr>
            <w:r>
              <w:rPr>
                <w:rFonts w:ascii="Arial" w:cs="Arial" w:eastAsia="Arial" w:hAnsi="Arial"/>
                <w:sz w:val="20"/>
                <w:szCs w:val="20"/>
                <w:b w:val="1"/>
                <w:bCs w:val="1"/>
                <w:color w:val="auto"/>
              </w:rPr>
              <w:t>Consolidated Heritage Gross Margin in Accordance with GAAP</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340" w:type="dxa"/>
            <w:vAlign w:val="bottom"/>
            <w:gridSpan w:val="7"/>
            <w:vMerge w:val="restart"/>
          </w:tcPr>
          <w:p>
            <w:pPr>
              <w:jc w:val="center"/>
              <w:ind w:right="50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center"/>
              <w:ind w:left="741"/>
              <w:spacing w:after="0"/>
              <w:rPr>
                <w:sz w:val="20"/>
                <w:szCs w:val="20"/>
                <w:color w:val="auto"/>
              </w:rPr>
            </w:pPr>
            <w:r>
              <w:rPr>
                <w:rFonts w:ascii="Arial" w:cs="Arial" w:eastAsia="Arial" w:hAnsi="Arial"/>
                <w:sz w:val="20"/>
                <w:szCs w:val="20"/>
                <w:color w:val="auto"/>
                <w:w w:val="92"/>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6"/>
          </w:tcPr>
          <w:p>
            <w:pPr>
              <w:jc w:val="center"/>
              <w:ind w:right="22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880" w:type="dxa"/>
            <w:vAlign w:val="bottom"/>
            <w:gridSpan w:val="3"/>
            <w:shd w:val="clear" w:color="auto" w:fill="CFF2FA"/>
          </w:tcPr>
          <w:p>
            <w:pPr>
              <w:jc w:val="right"/>
              <w:ind w:right="101"/>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FF2FA"/>
          </w:tcPr>
          <w:p>
            <w:pPr>
              <w:jc w:val="right"/>
              <w:ind w:right="20"/>
              <w:spacing w:after="0"/>
              <w:rPr>
                <w:sz w:val="20"/>
                <w:szCs w:val="20"/>
                <w:color w:val="auto"/>
              </w:rPr>
            </w:pPr>
            <w:r>
              <w:rPr>
                <w:rFonts w:ascii="Arial" w:cs="Arial" w:eastAsia="Arial" w:hAnsi="Arial"/>
                <w:sz w:val="20"/>
                <w:szCs w:val="20"/>
                <w:color w:val="auto"/>
              </w:rPr>
              <w:t>145,959</w:t>
            </w:r>
          </w:p>
        </w:tc>
        <w:tc>
          <w:tcPr>
            <w:tcW w:w="320" w:type="dxa"/>
            <w:vAlign w:val="bottom"/>
            <w:shd w:val="clear" w:color="auto" w:fill="CFF2FA"/>
          </w:tcPr>
          <w:p>
            <w:pPr>
              <w:spacing w:after="0"/>
              <w:rPr>
                <w:sz w:val="21"/>
                <w:szCs w:val="21"/>
                <w:color w:val="auto"/>
              </w:rPr>
            </w:pPr>
          </w:p>
        </w:tc>
        <w:tc>
          <w:tcPr>
            <w:tcW w:w="400" w:type="dxa"/>
            <w:vAlign w:val="bottom"/>
            <w:gridSpan w:val="2"/>
            <w:shd w:val="clear" w:color="auto" w:fill="CFF2FA"/>
          </w:tcPr>
          <w:p>
            <w:pPr>
              <w:ind w:lef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74,261</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color w:val="auto"/>
              </w:rPr>
              <w:t>Total revenues</w:t>
            </w:r>
          </w:p>
        </w:tc>
        <w:tc>
          <w:tcPr>
            <w:tcW w:w="50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0" w:type="dxa"/>
            <w:vAlign w:val="bottom"/>
            <w:tcBorders>
              <w:bottom w:val="single" w:sz="8" w:color="CFF2FA"/>
            </w:tcBorders>
            <w:vMerge w:val="continue"/>
          </w:tcPr>
          <w:p>
            <w:pPr>
              <w:spacing w:after="0"/>
              <w:rPr>
                <w:sz w:val="22"/>
                <w:szCs w:val="22"/>
                <w:color w:val="auto"/>
              </w:rPr>
            </w:pPr>
          </w:p>
        </w:tc>
        <w:tc>
          <w:tcPr>
            <w:tcW w:w="50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300" w:type="dxa"/>
            <w:vAlign w:val="bottom"/>
            <w:tcBorders>
              <w:bottom w:val="single" w:sz="8" w:color="auto"/>
            </w:tcBorders>
          </w:tcPr>
          <w:p>
            <w:pPr>
              <w:jc w:val="right"/>
              <w:ind w:right="101"/>
              <w:spacing w:after="0" w:line="224"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gridSpan w:val="2"/>
          </w:tcPr>
          <w:p>
            <w:pPr>
              <w:jc w:val="right"/>
              <w:ind w:right="20"/>
              <w:spacing w:after="0" w:line="224" w:lineRule="exact"/>
              <w:rPr>
                <w:sz w:val="20"/>
                <w:szCs w:val="20"/>
                <w:color w:val="auto"/>
              </w:rPr>
            </w:pPr>
            <w:r>
              <w:rPr>
                <w:rFonts w:ascii="Arial" w:cs="Arial" w:eastAsia="Arial" w:hAnsi="Arial"/>
                <w:sz w:val="20"/>
                <w:szCs w:val="20"/>
                <w:color w:val="auto"/>
              </w:rPr>
              <w:t>783,393</w:t>
            </w:r>
          </w:p>
        </w:tc>
        <w:tc>
          <w:tcPr>
            <w:tcW w:w="320" w:type="dxa"/>
            <w:vAlign w:val="bottom"/>
            <w:tcBorders>
              <w:bottom w:val="single" w:sz="8" w:color="CFF2FA"/>
            </w:tcBorders>
          </w:tcPr>
          <w:p>
            <w:pPr>
              <w:spacing w:after="0"/>
              <w:rPr>
                <w:sz w:val="22"/>
                <w:szCs w:val="22"/>
                <w:color w:val="auto"/>
              </w:rPr>
            </w:pPr>
          </w:p>
        </w:tc>
        <w:tc>
          <w:tcPr>
            <w:tcW w:w="20" w:type="dxa"/>
            <w:vAlign w:val="bottom"/>
            <w:tcBorders>
              <w:bottom w:val="single" w:sz="8" w:color="CFF2FA"/>
            </w:tcBorders>
          </w:tcPr>
          <w:p>
            <w:pPr>
              <w:spacing w:after="0"/>
              <w:rPr>
                <w:sz w:val="22"/>
                <w:szCs w:val="22"/>
                <w:color w:val="auto"/>
              </w:rPr>
            </w:pPr>
          </w:p>
        </w:tc>
        <w:tc>
          <w:tcPr>
            <w:tcW w:w="380" w:type="dxa"/>
            <w:vAlign w:val="bottom"/>
            <w:tcBorders>
              <w:bottom w:val="single" w:sz="8" w:color="auto"/>
            </w:tcBorders>
          </w:tcPr>
          <w:p>
            <w:pPr>
              <w:spacing w:after="0" w:line="224"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691,347</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20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50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580" w:type="dxa"/>
            <w:vAlign w:val="bottom"/>
            <w:gridSpan w:val="3"/>
            <w:shd w:val="clear" w:color="auto" w:fill="CFF2FA"/>
          </w:tcPr>
          <w:p>
            <w:pPr>
              <w:jc w:val="right"/>
              <w:ind w:right="160"/>
              <w:spacing w:after="0" w:line="224" w:lineRule="exact"/>
              <w:rPr>
                <w:sz w:val="20"/>
                <w:szCs w:val="20"/>
                <w:color w:val="auto"/>
              </w:rPr>
            </w:pPr>
            <w:r>
              <w:rPr>
                <w:rFonts w:ascii="Arial" w:cs="Arial" w:eastAsia="Arial" w:hAnsi="Arial"/>
                <w:sz w:val="20"/>
                <w:szCs w:val="20"/>
                <w:color w:val="auto"/>
              </w:rPr>
              <w:t>18.6%</w:t>
            </w:r>
          </w:p>
        </w:tc>
        <w:tc>
          <w:tcPr>
            <w:tcW w:w="2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0"/>
        </w:trPr>
        <w:tc>
          <w:tcPr>
            <w:tcW w:w="72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w w:val="96"/>
              </w:rPr>
              <w:t>Consolidated Heritage Gross Margin Excluding Freight and Delivery Revenues</w:t>
            </w:r>
          </w:p>
        </w:tc>
        <w:tc>
          <w:tcPr>
            <w:tcW w:w="50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2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7"/>
            <w:vMerge w:val="restart"/>
          </w:tcPr>
          <w:p>
            <w:pPr>
              <w:jc w:val="center"/>
              <w:ind w:right="50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center"/>
              <w:ind w:left="741"/>
              <w:spacing w:after="0"/>
              <w:rPr>
                <w:sz w:val="20"/>
                <w:szCs w:val="20"/>
                <w:color w:val="auto"/>
              </w:rPr>
            </w:pPr>
            <w:r>
              <w:rPr>
                <w:rFonts w:ascii="Arial" w:cs="Arial" w:eastAsia="Arial" w:hAnsi="Arial"/>
                <w:sz w:val="20"/>
                <w:szCs w:val="20"/>
                <w:color w:val="auto"/>
                <w:w w:val="92"/>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6"/>
          </w:tcPr>
          <w:p>
            <w:pPr>
              <w:jc w:val="center"/>
              <w:ind w:right="22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880" w:type="dxa"/>
            <w:vAlign w:val="bottom"/>
            <w:gridSpan w:val="3"/>
            <w:shd w:val="clear" w:color="auto" w:fill="CFF2FA"/>
          </w:tcPr>
          <w:p>
            <w:pPr>
              <w:jc w:val="right"/>
              <w:ind w:right="101"/>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FF2FA"/>
          </w:tcPr>
          <w:p>
            <w:pPr>
              <w:jc w:val="right"/>
              <w:ind w:right="20"/>
              <w:spacing w:after="0"/>
              <w:rPr>
                <w:sz w:val="20"/>
                <w:szCs w:val="20"/>
                <w:color w:val="auto"/>
              </w:rPr>
            </w:pPr>
            <w:r>
              <w:rPr>
                <w:rFonts w:ascii="Arial" w:cs="Arial" w:eastAsia="Arial" w:hAnsi="Arial"/>
                <w:sz w:val="20"/>
                <w:szCs w:val="20"/>
                <w:color w:val="auto"/>
              </w:rPr>
              <w:t>145,959</w:t>
            </w:r>
          </w:p>
        </w:tc>
        <w:tc>
          <w:tcPr>
            <w:tcW w:w="320" w:type="dxa"/>
            <w:vAlign w:val="bottom"/>
            <w:shd w:val="clear" w:color="auto" w:fill="CFF2FA"/>
          </w:tcPr>
          <w:p>
            <w:pPr>
              <w:spacing w:after="0"/>
              <w:rPr>
                <w:sz w:val="21"/>
                <w:szCs w:val="21"/>
                <w:color w:val="auto"/>
              </w:rPr>
            </w:pPr>
          </w:p>
        </w:tc>
        <w:tc>
          <w:tcPr>
            <w:tcW w:w="400" w:type="dxa"/>
            <w:vAlign w:val="bottom"/>
            <w:gridSpan w:val="2"/>
            <w:shd w:val="clear" w:color="auto" w:fill="CFF2FA"/>
          </w:tcPr>
          <w:p>
            <w:pPr>
              <w:ind w:lef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74,261</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color w:val="auto"/>
              </w:rPr>
              <w:t>Total revenues</w:t>
            </w:r>
          </w:p>
        </w:tc>
        <w:tc>
          <w:tcPr>
            <w:tcW w:w="50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01"/>
              <w:spacing w:after="0" w:line="224" w:lineRule="exact"/>
              <w:rPr>
                <w:sz w:val="20"/>
                <w:szCs w:val="20"/>
                <w:color w:val="auto"/>
              </w:rPr>
            </w:pPr>
            <w:r>
              <w:rPr>
                <w:rFonts w:ascii="Arial" w:cs="Arial" w:eastAsia="Arial" w:hAnsi="Arial"/>
                <w:sz w:val="20"/>
                <w:szCs w:val="20"/>
                <w:color w:val="auto"/>
                <w:w w:val="71"/>
              </w:rPr>
              <w:t>$</w:t>
            </w:r>
          </w:p>
        </w:tc>
        <w:tc>
          <w:tcPr>
            <w:tcW w:w="1260" w:type="dxa"/>
            <w:vAlign w:val="bottom"/>
            <w:gridSpan w:val="2"/>
          </w:tcPr>
          <w:p>
            <w:pPr>
              <w:jc w:val="right"/>
              <w:ind w:right="20"/>
              <w:spacing w:after="0" w:line="224" w:lineRule="exact"/>
              <w:rPr>
                <w:sz w:val="20"/>
                <w:szCs w:val="20"/>
                <w:color w:val="auto"/>
              </w:rPr>
            </w:pPr>
            <w:r>
              <w:rPr>
                <w:rFonts w:ascii="Arial" w:cs="Arial" w:eastAsia="Arial" w:hAnsi="Arial"/>
                <w:sz w:val="20"/>
                <w:szCs w:val="20"/>
                <w:color w:val="auto"/>
              </w:rPr>
              <w:t>783,393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line="224" w:lineRule="exact"/>
              <w:rPr>
                <w:sz w:val="20"/>
                <w:szCs w:val="20"/>
                <w:color w:val="auto"/>
              </w:rPr>
            </w:pPr>
            <w:r>
              <w:rPr>
                <w:rFonts w:ascii="Arial" w:cs="Arial" w:eastAsia="Arial" w:hAnsi="Arial"/>
                <w:sz w:val="20"/>
                <w:szCs w:val="20"/>
                <w:color w:val="auto"/>
              </w:rPr>
              <w:t>$</w:t>
            </w:r>
          </w:p>
        </w:tc>
        <w:tc>
          <w:tcPr>
            <w:tcW w:w="1180" w:type="dxa"/>
            <w:vAlign w:val="bottom"/>
          </w:tcPr>
          <w:p>
            <w:pPr>
              <w:jc w:val="right"/>
              <w:spacing w:after="0" w:line="224" w:lineRule="exact"/>
              <w:rPr>
                <w:sz w:val="20"/>
                <w:szCs w:val="20"/>
                <w:color w:val="auto"/>
              </w:rPr>
            </w:pPr>
            <w:r>
              <w:rPr>
                <w:rFonts w:ascii="Arial" w:cs="Arial" w:eastAsia="Arial" w:hAnsi="Arial"/>
                <w:sz w:val="20"/>
                <w:szCs w:val="20"/>
                <w:color w:val="auto"/>
              </w:rPr>
              <w:t>691,347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50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300" w:type="dxa"/>
            <w:vAlign w:val="bottom"/>
            <w:shd w:val="clear" w:color="auto" w:fill="CFF2FA"/>
          </w:tcPr>
          <w:p>
            <w:pPr>
              <w:spacing w:after="0"/>
              <w:rPr>
                <w:sz w:val="21"/>
                <w:szCs w:val="21"/>
                <w:color w:val="auto"/>
              </w:rPr>
            </w:pPr>
          </w:p>
        </w:tc>
        <w:tc>
          <w:tcPr>
            <w:tcW w:w="1580" w:type="dxa"/>
            <w:vAlign w:val="bottom"/>
            <w:gridSpan w:val="3"/>
            <w:shd w:val="clear" w:color="auto" w:fill="CFF2FA"/>
          </w:tcPr>
          <w:p>
            <w:pPr>
              <w:jc w:val="right"/>
              <w:ind w:right="260"/>
              <w:spacing w:after="0"/>
              <w:rPr>
                <w:sz w:val="20"/>
                <w:szCs w:val="20"/>
                <w:color w:val="auto"/>
              </w:rPr>
            </w:pPr>
            <w:r>
              <w:rPr>
                <w:rFonts w:ascii="Arial" w:cs="Arial" w:eastAsia="Arial" w:hAnsi="Arial"/>
                <w:sz w:val="20"/>
                <w:szCs w:val="20"/>
                <w:color w:val="auto"/>
              </w:rPr>
              <w:t>(54,738)</w:t>
            </w:r>
          </w:p>
        </w:tc>
        <w:tc>
          <w:tcPr>
            <w:tcW w:w="20" w:type="dxa"/>
            <w:vAlign w:val="bottom"/>
            <w:shd w:val="clear" w:color="auto" w:fill="CFF2FA"/>
          </w:tcPr>
          <w:p>
            <w:pPr>
              <w:spacing w:after="0"/>
              <w:rPr>
                <w:sz w:val="21"/>
                <w:szCs w:val="21"/>
                <w:color w:val="auto"/>
              </w:rPr>
            </w:pPr>
          </w:p>
        </w:tc>
        <w:tc>
          <w:tcPr>
            <w:tcW w:w="38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(59,471)</w:t>
            </w:r>
          </w:p>
        </w:tc>
        <w:tc>
          <w:tcPr>
            <w:tcW w:w="0" w:type="dxa"/>
            <w:vAlign w:val="bottom"/>
          </w:tcPr>
          <w:p>
            <w:pPr>
              <w:spacing w:after="0"/>
              <w:rPr>
                <w:sz w:val="1"/>
                <w:szCs w:val="1"/>
                <w:color w:val="auto"/>
              </w:rPr>
            </w:pPr>
          </w:p>
        </w:tc>
      </w:tr>
      <w:tr>
        <w:trPr>
          <w:trHeight w:val="277"/>
        </w:trPr>
        <w:tc>
          <w:tcPr>
            <w:tcW w:w="720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500" w:type="dxa"/>
            <w:vAlign w:val="bottom"/>
            <w:tcBorders>
              <w:bottom w:val="single" w:sz="8" w:color="CFF2FA"/>
            </w:tcBorders>
          </w:tcPr>
          <w:p>
            <w:pPr>
              <w:spacing w:after="0"/>
              <w:rPr>
                <w:sz w:val="24"/>
                <w:szCs w:val="24"/>
                <w:color w:val="auto"/>
              </w:rPr>
            </w:pPr>
          </w:p>
        </w:tc>
        <w:tc>
          <w:tcPr>
            <w:tcW w:w="80" w:type="dxa"/>
            <w:vAlign w:val="bottom"/>
            <w:tcBorders>
              <w:bottom w:val="single" w:sz="8" w:color="CFF2FA"/>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728,655</w:t>
            </w:r>
          </w:p>
        </w:tc>
        <w:tc>
          <w:tcPr>
            <w:tcW w:w="320" w:type="dxa"/>
            <w:vAlign w:val="bottom"/>
            <w:tcBorders>
              <w:bottom w:val="single" w:sz="8" w:color="CFF2FA"/>
            </w:tcBorders>
          </w:tcPr>
          <w:p>
            <w:pPr>
              <w:spacing w:after="0"/>
              <w:rPr>
                <w:sz w:val="24"/>
                <w:szCs w:val="24"/>
                <w:color w:val="auto"/>
              </w:rPr>
            </w:pPr>
          </w:p>
        </w:tc>
        <w:tc>
          <w:tcPr>
            <w:tcW w:w="20" w:type="dxa"/>
            <w:vAlign w:val="bottom"/>
            <w:tcBorders>
              <w:bottom w:val="single" w:sz="8" w:color="CFF2FA"/>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631,876</w:t>
            </w: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20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 excluding freight and delivery revenues</w:t>
            </w:r>
          </w:p>
        </w:tc>
        <w:tc>
          <w:tcPr>
            <w:tcW w:w="50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580" w:type="dxa"/>
            <w:vAlign w:val="bottom"/>
            <w:gridSpan w:val="3"/>
            <w:shd w:val="clear" w:color="auto" w:fill="CFF2FA"/>
          </w:tcPr>
          <w:p>
            <w:pPr>
              <w:jc w:val="right"/>
              <w:ind w:right="160"/>
              <w:spacing w:after="0" w:line="224" w:lineRule="exact"/>
              <w:rPr>
                <w:sz w:val="20"/>
                <w:szCs w:val="20"/>
                <w:color w:val="auto"/>
              </w:rPr>
            </w:pPr>
            <w:r>
              <w:rPr>
                <w:rFonts w:ascii="Arial" w:cs="Arial" w:eastAsia="Arial" w:hAnsi="Arial"/>
                <w:sz w:val="20"/>
                <w:szCs w:val="20"/>
                <w:color w:val="auto"/>
              </w:rPr>
              <w:t>20.0%</w:t>
            </w:r>
          </w:p>
        </w:tc>
        <w:tc>
          <w:tcPr>
            <w:tcW w:w="2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0"/>
        </w:trPr>
        <w:tc>
          <w:tcPr>
            <w:tcW w:w="72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rPr>
              <w:t>Cement Business Gross Margin in Accordance with GAAP</w:t>
            </w:r>
          </w:p>
        </w:tc>
        <w:tc>
          <w:tcPr>
            <w:tcW w:w="50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2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7"/>
          </w:tcPr>
          <w:p>
            <w:pPr>
              <w:jc w:val="center"/>
              <w:ind w:right="58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center"/>
              <w:ind w:left="681"/>
              <w:spacing w:after="0"/>
              <w:rPr>
                <w:sz w:val="20"/>
                <w:szCs w:val="20"/>
                <w:color w:val="auto"/>
              </w:rPr>
            </w:pPr>
            <w:r>
              <w:rPr>
                <w:rFonts w:ascii="Arial" w:cs="Arial" w:eastAsia="Arial" w:hAnsi="Arial"/>
                <w:sz w:val="20"/>
                <w:szCs w:val="20"/>
                <w:color w:val="auto"/>
                <w:w w:val="89"/>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6"/>
          </w:tcPr>
          <w:p>
            <w:pPr>
              <w:jc w:val="center"/>
              <w:ind w:right="30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500" w:type="dxa"/>
            <w:vAlign w:val="bottom"/>
            <w:tcBorders>
              <w:bottom w:val="single" w:sz="8" w:color="CFF2FA"/>
            </w:tcBorders>
            <w:shd w:val="clear" w:color="auto" w:fill="CFF2FA"/>
          </w:tcPr>
          <w:p>
            <w:pPr>
              <w:spacing w:after="0"/>
              <w:rPr>
                <w:sz w:val="21"/>
                <w:szCs w:val="21"/>
                <w:color w:val="auto"/>
              </w:rPr>
            </w:pPr>
          </w:p>
        </w:tc>
        <w:tc>
          <w:tcPr>
            <w:tcW w:w="380" w:type="dxa"/>
            <w:vAlign w:val="bottom"/>
            <w:tcBorders>
              <w:bottom w:val="single" w:sz="8" w:color="auto"/>
            </w:tcBorders>
            <w:gridSpan w:val="2"/>
            <w:shd w:val="clear" w:color="auto" w:fill="CFF2FA"/>
          </w:tcPr>
          <w:p>
            <w:pPr>
              <w:jc w:val="right"/>
              <w:ind w:right="18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32,556</w:t>
            </w:r>
          </w:p>
        </w:tc>
        <w:tc>
          <w:tcPr>
            <w:tcW w:w="60" w:type="dxa"/>
            <w:vAlign w:val="bottom"/>
            <w:tcBorders>
              <w:bottom w:val="single" w:sz="8" w:color="CFF2FA"/>
            </w:tcBorders>
            <w:shd w:val="clear" w:color="auto" w:fill="CFF2FA"/>
          </w:tcPr>
          <w:p>
            <w:pPr>
              <w:spacing w:after="0"/>
              <w:rPr>
                <w:sz w:val="21"/>
                <w:szCs w:val="21"/>
                <w:color w:val="auto"/>
              </w:rPr>
            </w:pPr>
          </w:p>
        </w:tc>
        <w:tc>
          <w:tcPr>
            <w:tcW w:w="32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gridSpan w:val="2"/>
            <w:shd w:val="clear" w:color="auto" w:fill="CFF2FA"/>
          </w:tcPr>
          <w:p>
            <w:pPr>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18,985</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8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0" w:type="dxa"/>
            <w:vAlign w:val="bottom"/>
            <w:tcBorders>
              <w:bottom w:val="single" w:sz="8" w:color="CFF2FA"/>
            </w:tcBorders>
            <w:vMerge w:val="continue"/>
          </w:tcPr>
          <w:p>
            <w:pPr>
              <w:spacing w:after="0"/>
              <w:rPr>
                <w:sz w:val="22"/>
                <w:szCs w:val="22"/>
                <w:color w:val="auto"/>
              </w:rPr>
            </w:pPr>
          </w:p>
        </w:tc>
        <w:tc>
          <w:tcPr>
            <w:tcW w:w="500" w:type="dxa"/>
            <w:vAlign w:val="bottom"/>
            <w:tcBorders>
              <w:bottom w:val="single" w:sz="8" w:color="CFF2FA"/>
            </w:tcBorders>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181"/>
              <w:spacing w:after="0" w:line="224"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73,551</w:t>
            </w:r>
          </w:p>
        </w:tc>
        <w:tc>
          <w:tcPr>
            <w:tcW w:w="60" w:type="dxa"/>
            <w:vAlign w:val="bottom"/>
            <w:tcBorders>
              <w:bottom w:val="single" w:sz="8" w:color="CFF2FA"/>
            </w:tcBorders>
          </w:tcPr>
          <w:p>
            <w:pPr>
              <w:spacing w:after="0"/>
              <w:rPr>
                <w:sz w:val="22"/>
                <w:szCs w:val="22"/>
                <w:color w:val="auto"/>
              </w:rPr>
            </w:pPr>
          </w:p>
        </w:tc>
        <w:tc>
          <w:tcPr>
            <w:tcW w:w="320" w:type="dxa"/>
            <w:vAlign w:val="bottom"/>
            <w:tcBorders>
              <w:bottom w:val="single" w:sz="8" w:color="CFF2FA"/>
            </w:tcBorders>
          </w:tcPr>
          <w:p>
            <w:pPr>
              <w:spacing w:after="0"/>
              <w:rPr>
                <w:sz w:val="22"/>
                <w:szCs w:val="22"/>
                <w:color w:val="auto"/>
              </w:rPr>
            </w:pPr>
          </w:p>
        </w:tc>
        <w:tc>
          <w:tcPr>
            <w:tcW w:w="400" w:type="dxa"/>
            <w:vAlign w:val="bottom"/>
            <w:tcBorders>
              <w:top w:val="single" w:sz="8" w:color="auto"/>
              <w:bottom w:val="single" w:sz="8" w:color="auto"/>
            </w:tcBorders>
            <w:gridSpan w:val="2"/>
          </w:tcPr>
          <w:p>
            <w:pPr>
              <w:spacing w:after="0" w:line="224"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102,100</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20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50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580" w:type="dxa"/>
            <w:vAlign w:val="bottom"/>
            <w:gridSpan w:val="3"/>
            <w:shd w:val="clear" w:color="auto" w:fill="CFF2FA"/>
          </w:tcPr>
          <w:p>
            <w:pPr>
              <w:jc w:val="right"/>
              <w:ind w:right="200"/>
              <w:spacing w:after="0" w:line="224" w:lineRule="exact"/>
              <w:rPr>
                <w:sz w:val="20"/>
                <w:szCs w:val="20"/>
                <w:color w:val="auto"/>
              </w:rPr>
            </w:pPr>
            <w:r>
              <w:rPr>
                <w:rFonts w:ascii="Arial" w:cs="Arial" w:eastAsia="Arial" w:hAnsi="Arial"/>
                <w:sz w:val="20"/>
                <w:szCs w:val="20"/>
                <w:color w:val="auto"/>
              </w:rPr>
              <w:t>44.3%</w:t>
            </w:r>
          </w:p>
        </w:tc>
        <w:tc>
          <w:tcPr>
            <w:tcW w:w="2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18.6%</w:t>
            </w:r>
          </w:p>
        </w:tc>
        <w:tc>
          <w:tcPr>
            <w:tcW w:w="0" w:type="dxa"/>
            <w:vAlign w:val="bottom"/>
          </w:tcPr>
          <w:p>
            <w:pPr>
              <w:spacing w:after="0"/>
              <w:rPr>
                <w:sz w:val="1"/>
                <w:szCs w:val="1"/>
                <w:color w:val="auto"/>
              </w:rPr>
            </w:pPr>
          </w:p>
        </w:tc>
      </w:tr>
      <w:tr>
        <w:trPr>
          <w:trHeight w:val="20"/>
        </w:trPr>
        <w:tc>
          <w:tcPr>
            <w:tcW w:w="7200" w:type="dxa"/>
            <w:vAlign w:val="bottom"/>
            <w:tcBorders>
              <w:top w:val="single" w:sz="8" w:color="CFF2FA"/>
            </w:tcBorders>
          </w:tcPr>
          <w:p>
            <w:pPr>
              <w:spacing w:after="0" w:line="20" w:lineRule="exact"/>
              <w:rPr>
                <w:sz w:val="1"/>
                <w:szCs w:val="1"/>
                <w:color w:val="auto"/>
              </w:rPr>
            </w:pPr>
          </w:p>
        </w:tc>
        <w:tc>
          <w:tcPr>
            <w:tcW w:w="50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140" w:type="dxa"/>
            <w:vAlign w:val="bottom"/>
          </w:tcPr>
          <w:p>
            <w:pPr>
              <w:spacing w:after="0"/>
              <w:rPr>
                <w:sz w:val="20"/>
                <w:szCs w:val="20"/>
                <w:color w:val="auto"/>
              </w:rPr>
            </w:pPr>
            <w:r>
              <w:rPr>
                <w:rFonts w:ascii="Arial" w:cs="Arial" w:eastAsia="Arial" w:hAnsi="Arial"/>
                <w:sz w:val="20"/>
                <w:szCs w:val="20"/>
                <w:b w:val="1"/>
                <w:bCs w:val="1"/>
                <w:color w:val="auto"/>
              </w:rPr>
              <w:t>Cement Business Gross Margin Excluding Freight and Delivery Revenues</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7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7"/>
          </w:tcPr>
          <w:p>
            <w:pPr>
              <w:jc w:val="center"/>
              <w:ind w:right="58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7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center"/>
              <w:ind w:left="681"/>
              <w:spacing w:after="0"/>
              <w:rPr>
                <w:sz w:val="20"/>
                <w:szCs w:val="20"/>
                <w:color w:val="auto"/>
              </w:rPr>
            </w:pPr>
            <w:r>
              <w:rPr>
                <w:rFonts w:ascii="Arial" w:cs="Arial" w:eastAsia="Arial" w:hAnsi="Arial"/>
                <w:sz w:val="20"/>
                <w:szCs w:val="20"/>
                <w:color w:val="auto"/>
                <w:w w:val="89"/>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6"/>
          </w:tcPr>
          <w:p>
            <w:pPr>
              <w:jc w:val="center"/>
              <w:ind w:right="30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560" w:type="dxa"/>
            <w:vAlign w:val="bottom"/>
            <w:tcBorders>
              <w:bottom w:val="single" w:sz="8" w:color="CFF2FA"/>
            </w:tcBorders>
            <w:shd w:val="clear" w:color="auto" w:fill="CFF2FA"/>
          </w:tcPr>
          <w:p>
            <w:pPr>
              <w:spacing w:after="0"/>
              <w:rPr>
                <w:sz w:val="21"/>
                <w:szCs w:val="21"/>
                <w:color w:val="auto"/>
              </w:rPr>
            </w:pPr>
          </w:p>
        </w:tc>
        <w:tc>
          <w:tcPr>
            <w:tcW w:w="380" w:type="dxa"/>
            <w:vAlign w:val="bottom"/>
            <w:tcBorders>
              <w:bottom w:val="single" w:sz="8" w:color="auto"/>
            </w:tcBorders>
            <w:gridSpan w:val="2"/>
            <w:shd w:val="clear" w:color="auto" w:fill="CFF2FA"/>
          </w:tcPr>
          <w:p>
            <w:pPr>
              <w:jc w:val="right"/>
              <w:ind w:right="18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32,556</w:t>
            </w:r>
          </w:p>
        </w:tc>
        <w:tc>
          <w:tcPr>
            <w:tcW w:w="60" w:type="dxa"/>
            <w:vAlign w:val="bottom"/>
            <w:tcBorders>
              <w:bottom w:val="single" w:sz="8" w:color="CFF2FA"/>
            </w:tcBorders>
            <w:shd w:val="clear" w:color="auto" w:fill="CFF2FA"/>
          </w:tcPr>
          <w:p>
            <w:pPr>
              <w:spacing w:after="0"/>
              <w:rPr>
                <w:sz w:val="21"/>
                <w:szCs w:val="21"/>
                <w:color w:val="auto"/>
              </w:rPr>
            </w:pPr>
          </w:p>
        </w:tc>
        <w:tc>
          <w:tcPr>
            <w:tcW w:w="32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gridSpan w:val="2"/>
            <w:shd w:val="clear" w:color="auto" w:fill="CFF2FA"/>
          </w:tcPr>
          <w:p>
            <w:pPr>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18,985</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Borders>
              <w:top w:val="single" w:sz="8" w:color="auto"/>
            </w:tcBorders>
            <w:gridSpan w:val="2"/>
          </w:tcPr>
          <w:p>
            <w:pPr>
              <w:jc w:val="right"/>
              <w:ind w:right="181"/>
              <w:spacing w:after="0" w:line="224"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73,551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top w:val="single" w:sz="8" w:color="auto"/>
            </w:tcBorders>
            <w:gridSpan w:val="2"/>
          </w:tcPr>
          <w:p>
            <w:pPr>
              <w:spacing w:after="0" w:line="224"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102,100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56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300" w:type="dxa"/>
            <w:vAlign w:val="bottom"/>
            <w:shd w:val="clear" w:color="auto" w:fill="CFF2FA"/>
          </w:tcPr>
          <w:p>
            <w:pPr>
              <w:spacing w:after="0"/>
              <w:rPr>
                <w:sz w:val="21"/>
                <w:szCs w:val="21"/>
                <w:color w:val="auto"/>
              </w:rPr>
            </w:pPr>
          </w:p>
        </w:tc>
        <w:tc>
          <w:tcPr>
            <w:tcW w:w="1580" w:type="dxa"/>
            <w:vAlign w:val="bottom"/>
            <w:gridSpan w:val="3"/>
            <w:shd w:val="clear" w:color="auto" w:fill="CFF2FA"/>
          </w:tcPr>
          <w:p>
            <w:pPr>
              <w:jc w:val="right"/>
              <w:ind w:right="300"/>
              <w:spacing w:after="0"/>
              <w:rPr>
                <w:sz w:val="20"/>
                <w:szCs w:val="20"/>
                <w:color w:val="auto"/>
              </w:rPr>
            </w:pPr>
            <w:r>
              <w:rPr>
                <w:rFonts w:ascii="Arial" w:cs="Arial" w:eastAsia="Arial" w:hAnsi="Arial"/>
                <w:sz w:val="20"/>
                <w:szCs w:val="20"/>
                <w:color w:val="auto"/>
              </w:rPr>
              <w:t>(3,678)</w:t>
            </w:r>
          </w:p>
        </w:tc>
        <w:tc>
          <w:tcPr>
            <w:tcW w:w="20" w:type="dxa"/>
            <w:vAlign w:val="bottom"/>
            <w:shd w:val="clear" w:color="auto" w:fill="CFF2FA"/>
          </w:tcPr>
          <w:p>
            <w:pPr>
              <w:spacing w:after="0"/>
              <w:rPr>
                <w:sz w:val="21"/>
                <w:szCs w:val="21"/>
                <w:color w:val="auto"/>
              </w:rPr>
            </w:pPr>
          </w:p>
        </w:tc>
        <w:tc>
          <w:tcPr>
            <w:tcW w:w="38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(5,535)</w:t>
            </w:r>
          </w:p>
        </w:tc>
        <w:tc>
          <w:tcPr>
            <w:tcW w:w="0" w:type="dxa"/>
            <w:vAlign w:val="bottom"/>
          </w:tcPr>
          <w:p>
            <w:pPr>
              <w:spacing w:after="0"/>
              <w:rPr>
                <w:sz w:val="1"/>
                <w:szCs w:val="1"/>
                <w:color w:val="auto"/>
              </w:rPr>
            </w:pPr>
          </w:p>
        </w:tc>
      </w:tr>
      <w:tr>
        <w:trPr>
          <w:trHeight w:val="277"/>
        </w:trPr>
        <w:tc>
          <w:tcPr>
            <w:tcW w:w="714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560" w:type="dxa"/>
            <w:vAlign w:val="bottom"/>
            <w:tcBorders>
              <w:bottom w:val="single" w:sz="8" w:color="CFF2FA"/>
            </w:tcBorders>
          </w:tcPr>
          <w:p>
            <w:pPr>
              <w:spacing w:after="0"/>
              <w:rPr>
                <w:sz w:val="24"/>
                <w:szCs w:val="24"/>
                <w:color w:val="auto"/>
              </w:rPr>
            </w:pPr>
          </w:p>
        </w:tc>
        <w:tc>
          <w:tcPr>
            <w:tcW w:w="380" w:type="dxa"/>
            <w:vAlign w:val="bottom"/>
            <w:tcBorders>
              <w:top w:val="single" w:sz="8" w:color="auto"/>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69,873</w:t>
            </w:r>
          </w:p>
        </w:tc>
        <w:tc>
          <w:tcPr>
            <w:tcW w:w="60" w:type="dxa"/>
            <w:vAlign w:val="bottom"/>
            <w:tcBorders>
              <w:bottom w:val="single" w:sz="8" w:color="CFF2FA"/>
            </w:tcBorders>
          </w:tcPr>
          <w:p>
            <w:pPr>
              <w:spacing w:after="0"/>
              <w:rPr>
                <w:sz w:val="24"/>
                <w:szCs w:val="24"/>
                <w:color w:val="auto"/>
              </w:rPr>
            </w:pPr>
          </w:p>
        </w:tc>
        <w:tc>
          <w:tcPr>
            <w:tcW w:w="320" w:type="dxa"/>
            <w:vAlign w:val="bottom"/>
            <w:tcBorders>
              <w:bottom w:val="single" w:sz="8" w:color="CFF2FA"/>
            </w:tcBorders>
          </w:tcPr>
          <w:p>
            <w:pPr>
              <w:spacing w:after="0"/>
              <w:rPr>
                <w:sz w:val="24"/>
                <w:szCs w:val="24"/>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96,565</w:t>
            </w: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 excluding freight and delivery revenues</w:t>
            </w:r>
          </w:p>
        </w:tc>
        <w:tc>
          <w:tcPr>
            <w:tcW w:w="5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580" w:type="dxa"/>
            <w:vAlign w:val="bottom"/>
            <w:gridSpan w:val="3"/>
            <w:shd w:val="clear" w:color="auto" w:fill="CFF2FA"/>
          </w:tcPr>
          <w:p>
            <w:pPr>
              <w:jc w:val="right"/>
              <w:ind w:right="200"/>
              <w:spacing w:after="0" w:line="224" w:lineRule="exact"/>
              <w:rPr>
                <w:sz w:val="20"/>
                <w:szCs w:val="20"/>
                <w:color w:val="auto"/>
              </w:rPr>
            </w:pPr>
            <w:r>
              <w:rPr>
                <w:rFonts w:ascii="Arial" w:cs="Arial" w:eastAsia="Arial" w:hAnsi="Arial"/>
                <w:sz w:val="20"/>
                <w:szCs w:val="20"/>
                <w:color w:val="auto"/>
              </w:rPr>
              <w:t>46.6%</w:t>
            </w:r>
          </w:p>
        </w:tc>
        <w:tc>
          <w:tcPr>
            <w:tcW w:w="2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19.7%</w:t>
            </w:r>
          </w:p>
        </w:tc>
        <w:tc>
          <w:tcPr>
            <w:tcW w:w="0" w:type="dxa"/>
            <w:vAlign w:val="bottom"/>
          </w:tcPr>
          <w:p>
            <w:pPr>
              <w:spacing w:after="0"/>
              <w:rPr>
                <w:sz w:val="1"/>
                <w:szCs w:val="1"/>
                <w:color w:val="auto"/>
              </w:rPr>
            </w:pPr>
          </w:p>
        </w:tc>
      </w:tr>
      <w:tr>
        <w:trPr>
          <w:trHeight w:val="20"/>
        </w:trPr>
        <w:tc>
          <w:tcPr>
            <w:tcW w:w="714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rPr>
              <w:t>Magnesia Specialties Gross Margin in Accordance with GAAP</w:t>
            </w:r>
          </w:p>
        </w:tc>
        <w:tc>
          <w:tcPr>
            <w:tcW w:w="56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1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7"/>
            <w:vMerge w:val="restart"/>
          </w:tcPr>
          <w:p>
            <w:pPr>
              <w:jc w:val="center"/>
              <w:ind w:right="50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center"/>
              <w:ind w:left="741"/>
              <w:spacing w:after="0"/>
              <w:rPr>
                <w:sz w:val="20"/>
                <w:szCs w:val="20"/>
                <w:color w:val="auto"/>
              </w:rPr>
            </w:pPr>
            <w:r>
              <w:rPr>
                <w:rFonts w:ascii="Arial" w:cs="Arial" w:eastAsia="Arial" w:hAnsi="Arial"/>
                <w:sz w:val="20"/>
                <w:szCs w:val="20"/>
                <w:color w:val="auto"/>
                <w:w w:val="92"/>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6"/>
          </w:tcPr>
          <w:p>
            <w:pPr>
              <w:jc w:val="center"/>
              <w:ind w:right="22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940" w:type="dxa"/>
            <w:vAlign w:val="bottom"/>
            <w:gridSpan w:val="3"/>
            <w:shd w:val="clear" w:color="auto" w:fill="CFF2FA"/>
          </w:tcPr>
          <w:p>
            <w:pPr>
              <w:jc w:val="right"/>
              <w:ind w:right="101"/>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FF2FA"/>
          </w:tcPr>
          <w:p>
            <w:pPr>
              <w:jc w:val="right"/>
              <w:ind w:right="20"/>
              <w:spacing w:after="0"/>
              <w:rPr>
                <w:sz w:val="20"/>
                <w:szCs w:val="20"/>
                <w:color w:val="auto"/>
              </w:rPr>
            </w:pPr>
            <w:r>
              <w:rPr>
                <w:rFonts w:ascii="Arial" w:cs="Arial" w:eastAsia="Arial" w:hAnsi="Arial"/>
                <w:sz w:val="20"/>
                <w:szCs w:val="20"/>
                <w:color w:val="auto"/>
              </w:rPr>
              <w:t>22,970</w:t>
            </w:r>
          </w:p>
        </w:tc>
        <w:tc>
          <w:tcPr>
            <w:tcW w:w="320" w:type="dxa"/>
            <w:vAlign w:val="bottom"/>
            <w:shd w:val="clear" w:color="auto" w:fill="CFF2FA"/>
          </w:tcPr>
          <w:p>
            <w:pPr>
              <w:spacing w:after="0"/>
              <w:rPr>
                <w:sz w:val="21"/>
                <w:szCs w:val="21"/>
                <w:color w:val="auto"/>
              </w:rPr>
            </w:pPr>
          </w:p>
        </w:tc>
        <w:tc>
          <w:tcPr>
            <w:tcW w:w="400" w:type="dxa"/>
            <w:vAlign w:val="bottom"/>
            <w:gridSpan w:val="2"/>
            <w:shd w:val="clear" w:color="auto" w:fill="CFF2FA"/>
          </w:tcPr>
          <w:p>
            <w:pPr>
              <w:ind w:lef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20,178</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color w:val="auto"/>
              </w:rPr>
              <w:t>Total revenues</w:t>
            </w:r>
          </w:p>
        </w:tc>
        <w:tc>
          <w:tcPr>
            <w:tcW w:w="640" w:type="dxa"/>
            <w:vAlign w:val="bottom"/>
            <w:tcBorders>
              <w:top w:val="single" w:sz="8" w:color="CFF2FA"/>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40" w:type="dxa"/>
            <w:vAlign w:val="bottom"/>
            <w:tcBorders>
              <w:bottom w:val="single" w:sz="8" w:color="CFF2FA"/>
            </w:tcBorders>
            <w:vMerge w:val="continue"/>
          </w:tcPr>
          <w:p>
            <w:pPr>
              <w:spacing w:after="0"/>
              <w:rPr>
                <w:sz w:val="22"/>
                <w:szCs w:val="22"/>
                <w:color w:val="auto"/>
              </w:rPr>
            </w:pPr>
          </w:p>
        </w:tc>
        <w:tc>
          <w:tcPr>
            <w:tcW w:w="640" w:type="dxa"/>
            <w:vAlign w:val="bottom"/>
            <w:tcBorders>
              <w:bottom w:val="single" w:sz="8" w:color="CFF2FA"/>
            </w:tcBorders>
            <w:gridSpan w:val="2"/>
          </w:tcPr>
          <w:p>
            <w:pPr>
              <w:spacing w:after="0"/>
              <w:rPr>
                <w:sz w:val="22"/>
                <w:szCs w:val="22"/>
                <w:color w:val="auto"/>
              </w:rPr>
            </w:pPr>
          </w:p>
        </w:tc>
        <w:tc>
          <w:tcPr>
            <w:tcW w:w="300" w:type="dxa"/>
            <w:vAlign w:val="bottom"/>
            <w:tcBorders>
              <w:bottom w:val="single" w:sz="8" w:color="auto"/>
            </w:tcBorders>
          </w:tcPr>
          <w:p>
            <w:pPr>
              <w:jc w:val="right"/>
              <w:ind w:right="101"/>
              <w:spacing w:after="0" w:line="224"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gridSpan w:val="2"/>
          </w:tcPr>
          <w:p>
            <w:pPr>
              <w:jc w:val="right"/>
              <w:ind w:right="20"/>
              <w:spacing w:after="0" w:line="224" w:lineRule="exact"/>
              <w:rPr>
                <w:sz w:val="20"/>
                <w:szCs w:val="20"/>
                <w:color w:val="auto"/>
              </w:rPr>
            </w:pPr>
            <w:r>
              <w:rPr>
                <w:rFonts w:ascii="Arial" w:cs="Arial" w:eastAsia="Arial" w:hAnsi="Arial"/>
                <w:sz w:val="20"/>
                <w:szCs w:val="20"/>
                <w:color w:val="auto"/>
              </w:rPr>
              <w:t>64,170</w:t>
            </w:r>
          </w:p>
        </w:tc>
        <w:tc>
          <w:tcPr>
            <w:tcW w:w="320" w:type="dxa"/>
            <w:vAlign w:val="bottom"/>
            <w:tcBorders>
              <w:bottom w:val="single" w:sz="8" w:color="CFF2FA"/>
            </w:tcBorders>
          </w:tcPr>
          <w:p>
            <w:pPr>
              <w:spacing w:after="0"/>
              <w:rPr>
                <w:sz w:val="22"/>
                <w:szCs w:val="22"/>
                <w:color w:val="auto"/>
              </w:rPr>
            </w:pPr>
          </w:p>
        </w:tc>
        <w:tc>
          <w:tcPr>
            <w:tcW w:w="20" w:type="dxa"/>
            <w:vAlign w:val="bottom"/>
            <w:tcBorders>
              <w:bottom w:val="single" w:sz="8" w:color="CFF2FA"/>
            </w:tcBorders>
          </w:tcPr>
          <w:p>
            <w:pPr>
              <w:spacing w:after="0"/>
              <w:rPr>
                <w:sz w:val="22"/>
                <w:szCs w:val="22"/>
                <w:color w:val="auto"/>
              </w:rPr>
            </w:pPr>
          </w:p>
        </w:tc>
        <w:tc>
          <w:tcPr>
            <w:tcW w:w="380" w:type="dxa"/>
            <w:vAlign w:val="bottom"/>
            <w:tcBorders>
              <w:bottom w:val="single" w:sz="8" w:color="auto"/>
            </w:tcBorders>
          </w:tcPr>
          <w:p>
            <w:pPr>
              <w:spacing w:after="0" w:line="224"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63,164</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5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580" w:type="dxa"/>
            <w:vAlign w:val="bottom"/>
            <w:gridSpan w:val="3"/>
            <w:shd w:val="clear" w:color="auto" w:fill="CFF2FA"/>
          </w:tcPr>
          <w:p>
            <w:pPr>
              <w:jc w:val="right"/>
              <w:ind w:right="160"/>
              <w:spacing w:after="0" w:line="224" w:lineRule="exact"/>
              <w:rPr>
                <w:sz w:val="20"/>
                <w:szCs w:val="20"/>
                <w:color w:val="auto"/>
              </w:rPr>
            </w:pPr>
            <w:r>
              <w:rPr>
                <w:rFonts w:ascii="Arial" w:cs="Arial" w:eastAsia="Arial" w:hAnsi="Arial"/>
                <w:sz w:val="20"/>
                <w:szCs w:val="20"/>
                <w:color w:val="auto"/>
              </w:rPr>
              <w:t>35.8%</w:t>
            </w:r>
          </w:p>
        </w:tc>
        <w:tc>
          <w:tcPr>
            <w:tcW w:w="2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31.9%</w:t>
            </w:r>
          </w:p>
        </w:tc>
        <w:tc>
          <w:tcPr>
            <w:tcW w:w="0" w:type="dxa"/>
            <w:vAlign w:val="bottom"/>
          </w:tcPr>
          <w:p>
            <w:pPr>
              <w:spacing w:after="0"/>
              <w:rPr>
                <w:sz w:val="1"/>
                <w:szCs w:val="1"/>
                <w:color w:val="auto"/>
              </w:rPr>
            </w:pPr>
          </w:p>
        </w:tc>
      </w:tr>
      <w:tr>
        <w:trPr>
          <w:trHeight w:val="20"/>
        </w:trPr>
        <w:tc>
          <w:tcPr>
            <w:tcW w:w="714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w w:val="96"/>
              </w:rPr>
              <w:t>Magnesia Specialties Gross Margin Excluding Freight and Delivery Revenues</w:t>
            </w:r>
          </w:p>
        </w:tc>
        <w:tc>
          <w:tcPr>
            <w:tcW w:w="56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1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7"/>
            <w:vMerge w:val="restart"/>
          </w:tcPr>
          <w:p>
            <w:pPr>
              <w:jc w:val="center"/>
              <w:ind w:right="58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center"/>
              <w:ind w:left="681"/>
              <w:spacing w:after="0"/>
              <w:rPr>
                <w:sz w:val="20"/>
                <w:szCs w:val="20"/>
                <w:color w:val="auto"/>
              </w:rPr>
            </w:pPr>
            <w:r>
              <w:rPr>
                <w:rFonts w:ascii="Arial" w:cs="Arial" w:eastAsia="Arial" w:hAnsi="Arial"/>
                <w:sz w:val="20"/>
                <w:szCs w:val="20"/>
                <w:color w:val="auto"/>
                <w:w w:val="89"/>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6"/>
          </w:tcPr>
          <w:p>
            <w:pPr>
              <w:jc w:val="center"/>
              <w:ind w:right="30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560" w:type="dxa"/>
            <w:vAlign w:val="bottom"/>
            <w:tcBorders>
              <w:bottom w:val="single" w:sz="8" w:color="CFF2FA"/>
            </w:tcBorders>
            <w:shd w:val="clear" w:color="auto" w:fill="CFF2FA"/>
          </w:tcPr>
          <w:p>
            <w:pPr>
              <w:spacing w:after="0"/>
              <w:rPr>
                <w:sz w:val="21"/>
                <w:szCs w:val="21"/>
                <w:color w:val="auto"/>
              </w:rPr>
            </w:pPr>
          </w:p>
        </w:tc>
        <w:tc>
          <w:tcPr>
            <w:tcW w:w="380" w:type="dxa"/>
            <w:vAlign w:val="bottom"/>
            <w:tcBorders>
              <w:bottom w:val="single" w:sz="8" w:color="auto"/>
            </w:tcBorders>
            <w:gridSpan w:val="2"/>
            <w:shd w:val="clear" w:color="auto" w:fill="CFF2FA"/>
          </w:tcPr>
          <w:p>
            <w:pPr>
              <w:jc w:val="right"/>
              <w:ind w:right="18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22,970</w:t>
            </w:r>
          </w:p>
        </w:tc>
        <w:tc>
          <w:tcPr>
            <w:tcW w:w="60" w:type="dxa"/>
            <w:vAlign w:val="bottom"/>
            <w:tcBorders>
              <w:bottom w:val="single" w:sz="8" w:color="CFF2FA"/>
            </w:tcBorders>
            <w:shd w:val="clear" w:color="auto" w:fill="CFF2FA"/>
          </w:tcPr>
          <w:p>
            <w:pPr>
              <w:spacing w:after="0"/>
              <w:rPr>
                <w:sz w:val="21"/>
                <w:szCs w:val="21"/>
                <w:color w:val="auto"/>
              </w:rPr>
            </w:pPr>
          </w:p>
        </w:tc>
        <w:tc>
          <w:tcPr>
            <w:tcW w:w="32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gridSpan w:val="2"/>
            <w:shd w:val="clear" w:color="auto" w:fill="CFF2FA"/>
          </w:tcPr>
          <w:p>
            <w:pPr>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20,178</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9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Borders>
              <w:top w:val="single" w:sz="8" w:color="auto"/>
            </w:tcBorders>
            <w:gridSpan w:val="2"/>
          </w:tcPr>
          <w:p>
            <w:pPr>
              <w:jc w:val="right"/>
              <w:ind w:right="181"/>
              <w:spacing w:after="0" w:line="224"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64,170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top w:val="single" w:sz="8" w:color="auto"/>
            </w:tcBorders>
            <w:gridSpan w:val="2"/>
          </w:tcPr>
          <w:p>
            <w:pPr>
              <w:spacing w:after="0" w:line="224"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63,164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56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300" w:type="dxa"/>
            <w:vAlign w:val="bottom"/>
            <w:shd w:val="clear" w:color="auto" w:fill="CFF2FA"/>
          </w:tcPr>
          <w:p>
            <w:pPr>
              <w:spacing w:after="0"/>
              <w:rPr>
                <w:sz w:val="21"/>
                <w:szCs w:val="21"/>
                <w:color w:val="auto"/>
              </w:rPr>
            </w:pPr>
          </w:p>
        </w:tc>
        <w:tc>
          <w:tcPr>
            <w:tcW w:w="1580" w:type="dxa"/>
            <w:vAlign w:val="bottom"/>
            <w:gridSpan w:val="3"/>
            <w:shd w:val="clear" w:color="auto" w:fill="CFF2FA"/>
          </w:tcPr>
          <w:p>
            <w:pPr>
              <w:jc w:val="right"/>
              <w:ind w:right="300"/>
              <w:spacing w:after="0"/>
              <w:rPr>
                <w:sz w:val="20"/>
                <w:szCs w:val="20"/>
                <w:color w:val="auto"/>
              </w:rPr>
            </w:pPr>
            <w:r>
              <w:rPr>
                <w:rFonts w:ascii="Arial" w:cs="Arial" w:eastAsia="Arial" w:hAnsi="Arial"/>
                <w:sz w:val="20"/>
                <w:szCs w:val="20"/>
                <w:color w:val="auto"/>
              </w:rPr>
              <w:t>(4,665)</w:t>
            </w:r>
          </w:p>
        </w:tc>
        <w:tc>
          <w:tcPr>
            <w:tcW w:w="20" w:type="dxa"/>
            <w:vAlign w:val="bottom"/>
            <w:shd w:val="clear" w:color="auto" w:fill="CFF2FA"/>
          </w:tcPr>
          <w:p>
            <w:pPr>
              <w:spacing w:after="0"/>
              <w:rPr>
                <w:sz w:val="21"/>
                <w:szCs w:val="21"/>
                <w:color w:val="auto"/>
              </w:rPr>
            </w:pPr>
          </w:p>
        </w:tc>
        <w:tc>
          <w:tcPr>
            <w:tcW w:w="38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(4,410)</w:t>
            </w:r>
          </w:p>
        </w:tc>
        <w:tc>
          <w:tcPr>
            <w:tcW w:w="0" w:type="dxa"/>
            <w:vAlign w:val="bottom"/>
          </w:tcPr>
          <w:p>
            <w:pPr>
              <w:spacing w:after="0"/>
              <w:rPr>
                <w:sz w:val="1"/>
                <w:szCs w:val="1"/>
                <w:color w:val="auto"/>
              </w:rPr>
            </w:pPr>
          </w:p>
        </w:tc>
      </w:tr>
      <w:tr>
        <w:trPr>
          <w:trHeight w:val="277"/>
        </w:trPr>
        <w:tc>
          <w:tcPr>
            <w:tcW w:w="714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560" w:type="dxa"/>
            <w:vAlign w:val="bottom"/>
            <w:tcBorders>
              <w:bottom w:val="single" w:sz="8" w:color="CFF2FA"/>
            </w:tcBorders>
          </w:tcPr>
          <w:p>
            <w:pPr>
              <w:spacing w:after="0"/>
              <w:rPr>
                <w:sz w:val="24"/>
                <w:szCs w:val="24"/>
                <w:color w:val="auto"/>
              </w:rPr>
            </w:pPr>
          </w:p>
        </w:tc>
        <w:tc>
          <w:tcPr>
            <w:tcW w:w="380" w:type="dxa"/>
            <w:vAlign w:val="bottom"/>
            <w:tcBorders>
              <w:top w:val="single" w:sz="8" w:color="auto"/>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59,505</w:t>
            </w:r>
          </w:p>
        </w:tc>
        <w:tc>
          <w:tcPr>
            <w:tcW w:w="60" w:type="dxa"/>
            <w:vAlign w:val="bottom"/>
            <w:tcBorders>
              <w:bottom w:val="single" w:sz="8" w:color="CFF2FA"/>
            </w:tcBorders>
          </w:tcPr>
          <w:p>
            <w:pPr>
              <w:spacing w:after="0"/>
              <w:rPr>
                <w:sz w:val="24"/>
                <w:szCs w:val="24"/>
                <w:color w:val="auto"/>
              </w:rPr>
            </w:pPr>
          </w:p>
        </w:tc>
        <w:tc>
          <w:tcPr>
            <w:tcW w:w="320" w:type="dxa"/>
            <w:vAlign w:val="bottom"/>
            <w:tcBorders>
              <w:bottom w:val="single" w:sz="8" w:color="CFF2FA"/>
            </w:tcBorders>
          </w:tcPr>
          <w:p>
            <w:pPr>
              <w:spacing w:after="0"/>
              <w:rPr>
                <w:sz w:val="24"/>
                <w:szCs w:val="24"/>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58,754</w:t>
            </w: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 excluding freight and delivery revenues</w:t>
            </w:r>
          </w:p>
        </w:tc>
        <w:tc>
          <w:tcPr>
            <w:tcW w:w="5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580" w:type="dxa"/>
            <w:vAlign w:val="bottom"/>
            <w:gridSpan w:val="3"/>
            <w:shd w:val="clear" w:color="auto" w:fill="CFF2FA"/>
          </w:tcPr>
          <w:p>
            <w:pPr>
              <w:jc w:val="right"/>
              <w:ind w:right="200"/>
              <w:spacing w:after="0" w:line="224" w:lineRule="exact"/>
              <w:rPr>
                <w:sz w:val="20"/>
                <w:szCs w:val="20"/>
                <w:color w:val="auto"/>
              </w:rPr>
            </w:pPr>
            <w:r>
              <w:rPr>
                <w:rFonts w:ascii="Arial" w:cs="Arial" w:eastAsia="Arial" w:hAnsi="Arial"/>
                <w:sz w:val="20"/>
                <w:szCs w:val="20"/>
                <w:color w:val="auto"/>
              </w:rPr>
              <w:t>38.6%</w:t>
            </w:r>
          </w:p>
        </w:tc>
        <w:tc>
          <w:tcPr>
            <w:tcW w:w="20" w:type="dxa"/>
            <w:vAlign w:val="bottom"/>
            <w:shd w:val="clear" w:color="auto" w:fill="CFF2FA"/>
          </w:tcPr>
          <w:p>
            <w:pPr>
              <w:spacing w:after="0"/>
              <w:rPr>
                <w:sz w:val="19"/>
                <w:szCs w:val="19"/>
                <w:color w:val="auto"/>
              </w:rPr>
            </w:pPr>
          </w:p>
        </w:tc>
        <w:tc>
          <w:tcPr>
            <w:tcW w:w="38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34.3%</w:t>
            </w:r>
          </w:p>
        </w:tc>
        <w:tc>
          <w:tcPr>
            <w:tcW w:w="0" w:type="dxa"/>
            <w:vAlign w:val="bottom"/>
          </w:tcPr>
          <w:p>
            <w:pPr>
              <w:spacing w:after="0"/>
              <w:rPr>
                <w:sz w:val="1"/>
                <w:szCs w:val="1"/>
                <w:color w:val="auto"/>
              </w:rPr>
            </w:pPr>
          </w:p>
        </w:tc>
      </w:tr>
      <w:tr>
        <w:trPr>
          <w:trHeight w:val="20"/>
        </w:trPr>
        <w:tc>
          <w:tcPr>
            <w:tcW w:w="7140" w:type="dxa"/>
            <w:vAlign w:val="bottom"/>
            <w:tcBorders>
              <w:top w:val="single" w:sz="8" w:color="CFF2FA"/>
            </w:tcBorders>
          </w:tcPr>
          <w:p>
            <w:pPr>
              <w:spacing w:after="0" w:line="20" w:lineRule="exact"/>
              <w:rPr>
                <w:sz w:val="1"/>
                <w:szCs w:val="1"/>
                <w:color w:val="auto"/>
              </w:rPr>
            </w:pPr>
          </w:p>
        </w:tc>
        <w:tc>
          <w:tcPr>
            <w:tcW w:w="56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Pr>
          <w:p>
            <w:pPr>
              <w:spacing w:after="0"/>
              <w:rPr>
                <w:sz w:val="20"/>
                <w:szCs w:val="20"/>
                <w:color w:val="auto"/>
              </w:rPr>
            </w:pPr>
            <w:r>
              <w:rPr>
                <w:rFonts w:ascii="Arial" w:cs="Arial" w:eastAsia="Arial" w:hAnsi="Arial"/>
                <w:sz w:val="20"/>
                <w:szCs w:val="20"/>
                <w:b w:val="1"/>
                <w:bCs w:val="1"/>
                <w:color w:val="auto"/>
              </w:rPr>
              <w:t>Ready Mixed Concrete Gross Margin in Accordance with GAAP</w:t>
            </w:r>
          </w:p>
        </w:tc>
        <w:tc>
          <w:tcPr>
            <w:tcW w:w="340" w:type="dxa"/>
            <w:vAlign w:val="bottom"/>
          </w:tcPr>
          <w:p>
            <w:pPr>
              <w:spacing w:after="0"/>
              <w:rPr>
                <w:sz w:val="22"/>
                <w:szCs w:val="22"/>
                <w:color w:val="auto"/>
              </w:rPr>
            </w:pPr>
          </w:p>
        </w:tc>
        <w:tc>
          <w:tcPr>
            <w:tcW w:w="330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18,086</w:t>
            </w:r>
          </w:p>
        </w:tc>
        <w:tc>
          <w:tcPr>
            <w:tcW w:w="34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0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2,084</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FF2FA"/>
            </w:tcBorders>
            <w:vMerge w:val="continue"/>
          </w:tcPr>
          <w:p>
            <w:pPr>
              <w:spacing w:after="0"/>
              <w:rPr>
                <w:sz w:val="22"/>
                <w:szCs w:val="22"/>
                <w:color w:val="auto"/>
              </w:rPr>
            </w:pPr>
          </w:p>
        </w:tc>
        <w:tc>
          <w:tcPr>
            <w:tcW w:w="340" w:type="dxa"/>
            <w:vAlign w:val="bottom"/>
            <w:tcBorders>
              <w:bottom w:val="single" w:sz="8" w:color="auto"/>
            </w:tcBorders>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187,082</w:t>
            </w:r>
          </w:p>
        </w:tc>
        <w:tc>
          <w:tcPr>
            <w:tcW w:w="340" w:type="dxa"/>
            <w:vAlign w:val="bottom"/>
            <w:tcBorders>
              <w:bottom w:val="single" w:sz="8" w:color="CFF2FA"/>
            </w:tcBorders>
          </w:tcPr>
          <w:p>
            <w:pPr>
              <w:spacing w:after="0"/>
              <w:rPr>
                <w:sz w:val="22"/>
                <w:szCs w:val="22"/>
                <w:color w:val="auto"/>
              </w:rPr>
            </w:pPr>
          </w:p>
        </w:tc>
        <w:tc>
          <w:tcPr>
            <w:tcW w:w="400" w:type="dxa"/>
            <w:vAlign w:val="bottom"/>
            <w:tcBorders>
              <w:bottom w:val="single" w:sz="8" w:color="auto"/>
            </w:tcBorders>
          </w:tcPr>
          <w:p>
            <w:pPr>
              <w:jc w:val="right"/>
              <w:ind w:right="201"/>
              <w:spacing w:after="0" w:line="224"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127,802</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340" w:type="dxa"/>
            <w:vAlign w:val="bottom"/>
            <w:shd w:val="clear" w:color="auto" w:fill="CFF2FA"/>
          </w:tcPr>
          <w:p>
            <w:pPr>
              <w:spacing w:after="0"/>
              <w:rPr>
                <w:sz w:val="19"/>
                <w:szCs w:val="19"/>
                <w:color w:val="auto"/>
              </w:rPr>
            </w:pPr>
          </w:p>
        </w:tc>
        <w:tc>
          <w:tcPr>
            <w:tcW w:w="1560" w:type="dxa"/>
            <w:vAlign w:val="bottom"/>
            <w:gridSpan w:val="2"/>
            <w:shd w:val="clear" w:color="auto" w:fill="CFF2FA"/>
          </w:tcPr>
          <w:p>
            <w:pPr>
              <w:jc w:val="right"/>
              <w:ind w:right="180"/>
              <w:spacing w:after="0" w:line="224" w:lineRule="exact"/>
              <w:rPr>
                <w:sz w:val="20"/>
                <w:szCs w:val="20"/>
                <w:color w:val="auto"/>
              </w:rPr>
            </w:pPr>
            <w:r>
              <w:rPr>
                <w:rFonts w:ascii="Arial" w:cs="Arial" w:eastAsia="Arial" w:hAnsi="Arial"/>
                <w:sz w:val="20"/>
                <w:szCs w:val="20"/>
                <w:color w:val="auto"/>
              </w:rPr>
              <w:t>9.7%</w:t>
            </w:r>
          </w:p>
        </w:tc>
        <w:tc>
          <w:tcPr>
            <w:tcW w:w="4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0"/>
        </w:trPr>
        <w:tc>
          <w:tcPr>
            <w:tcW w:w="77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rPr>
              <w:t>Ready Mixed Concrete Gross Margin Excluding Freight and Delivery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20"/>
                <w:szCs w:val="20"/>
                <w:color w:val="auto"/>
                <w:w w:val="92"/>
              </w:rPr>
              <w:t>March 31,</w:t>
            </w: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18,086</w:t>
            </w:r>
          </w:p>
        </w:tc>
        <w:tc>
          <w:tcPr>
            <w:tcW w:w="34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0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2,084</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340" w:type="dxa"/>
            <w:vAlign w:val="bottom"/>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line="224" w:lineRule="exact"/>
              <w:rPr>
                <w:sz w:val="20"/>
                <w:szCs w:val="20"/>
                <w:color w:val="auto"/>
              </w:rPr>
            </w:pPr>
            <w:r>
              <w:rPr>
                <w:rFonts w:ascii="Arial" w:cs="Arial" w:eastAsia="Arial" w:hAnsi="Arial"/>
                <w:sz w:val="20"/>
                <w:szCs w:val="20"/>
                <w:color w:val="auto"/>
              </w:rPr>
              <w:t>187,082</w:t>
            </w:r>
          </w:p>
        </w:tc>
        <w:tc>
          <w:tcPr>
            <w:tcW w:w="340" w:type="dxa"/>
            <w:vAlign w:val="bottom"/>
          </w:tcPr>
          <w:p>
            <w:pPr>
              <w:spacing w:after="0"/>
              <w:rPr>
                <w:sz w:val="19"/>
                <w:szCs w:val="19"/>
                <w:color w:val="auto"/>
              </w:rPr>
            </w:pPr>
          </w:p>
        </w:tc>
        <w:tc>
          <w:tcPr>
            <w:tcW w:w="400" w:type="dxa"/>
            <w:vAlign w:val="bottom"/>
          </w:tcPr>
          <w:p>
            <w:pPr>
              <w:jc w:val="right"/>
              <w:ind w:right="201"/>
              <w:spacing w:after="0" w:line="224" w:lineRule="exact"/>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line="224" w:lineRule="exact"/>
              <w:rPr>
                <w:sz w:val="20"/>
                <w:szCs w:val="20"/>
                <w:color w:val="auto"/>
              </w:rPr>
            </w:pPr>
            <w:r>
              <w:rPr>
                <w:rFonts w:ascii="Arial" w:cs="Arial" w:eastAsia="Arial" w:hAnsi="Arial"/>
                <w:sz w:val="20"/>
                <w:szCs w:val="20"/>
                <w:color w:val="auto"/>
              </w:rPr>
              <w:t>127,802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340" w:type="dxa"/>
            <w:vAlign w:val="bottom"/>
            <w:shd w:val="clear" w:color="auto" w:fill="CFF2FA"/>
          </w:tcPr>
          <w:p>
            <w:pPr>
              <w:spacing w:after="0"/>
              <w:rPr>
                <w:sz w:val="21"/>
                <w:szCs w:val="21"/>
                <w:color w:val="auto"/>
              </w:rPr>
            </w:pPr>
          </w:p>
        </w:tc>
        <w:tc>
          <w:tcPr>
            <w:tcW w:w="1560" w:type="dxa"/>
            <w:vAlign w:val="bottom"/>
            <w:gridSpan w:val="2"/>
            <w:shd w:val="clear" w:color="auto" w:fill="CFF2FA"/>
          </w:tcPr>
          <w:p>
            <w:pPr>
              <w:jc w:val="right"/>
              <w:ind w:right="280"/>
              <w:spacing w:after="0"/>
              <w:rPr>
                <w:sz w:val="20"/>
                <w:szCs w:val="20"/>
                <w:color w:val="auto"/>
              </w:rPr>
            </w:pPr>
            <w:r>
              <w:rPr>
                <w:rFonts w:ascii="Arial" w:cs="Arial" w:eastAsia="Arial" w:hAnsi="Arial"/>
                <w:sz w:val="20"/>
                <w:szCs w:val="20"/>
                <w:color w:val="auto"/>
              </w:rPr>
              <w:t>(297)</w:t>
            </w:r>
          </w:p>
        </w:tc>
        <w:tc>
          <w:tcPr>
            <w:tcW w:w="400" w:type="dxa"/>
            <w:vAlign w:val="bottom"/>
            <w:shd w:val="clear" w:color="auto" w:fill="CFF2FA"/>
          </w:tcPr>
          <w:p>
            <w:pPr>
              <w:spacing w:after="0"/>
              <w:rPr>
                <w:sz w:val="21"/>
                <w:szCs w:val="21"/>
                <w:color w:val="auto"/>
              </w:rPr>
            </w:pPr>
          </w:p>
        </w:tc>
        <w:tc>
          <w:tcPr>
            <w:tcW w:w="134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(230)</w:t>
            </w:r>
          </w:p>
        </w:tc>
        <w:tc>
          <w:tcPr>
            <w:tcW w:w="0" w:type="dxa"/>
            <w:vAlign w:val="bottom"/>
          </w:tcPr>
          <w:p>
            <w:pPr>
              <w:spacing w:after="0"/>
              <w:rPr>
                <w:sz w:val="1"/>
                <w:szCs w:val="1"/>
                <w:color w:val="auto"/>
              </w:rPr>
            </w:pPr>
          </w:p>
        </w:tc>
      </w:tr>
      <w:tr>
        <w:trPr>
          <w:trHeight w:val="277"/>
        </w:trPr>
        <w:tc>
          <w:tcPr>
            <w:tcW w:w="778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186,785</w:t>
            </w:r>
          </w:p>
        </w:tc>
        <w:tc>
          <w:tcPr>
            <w:tcW w:w="340" w:type="dxa"/>
            <w:vAlign w:val="bottom"/>
            <w:tcBorders>
              <w:bottom w:val="single" w:sz="8" w:color="CFF2FA"/>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127,572</w:t>
            </w: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 excluding freight and delivery revenues</w:t>
            </w:r>
          </w:p>
        </w:tc>
        <w:tc>
          <w:tcPr>
            <w:tcW w:w="340" w:type="dxa"/>
            <w:vAlign w:val="bottom"/>
            <w:shd w:val="clear" w:color="auto" w:fill="CFF2FA"/>
          </w:tcPr>
          <w:p>
            <w:pPr>
              <w:spacing w:after="0"/>
              <w:rPr>
                <w:sz w:val="19"/>
                <w:szCs w:val="19"/>
                <w:color w:val="auto"/>
              </w:rPr>
            </w:pPr>
          </w:p>
        </w:tc>
        <w:tc>
          <w:tcPr>
            <w:tcW w:w="1560" w:type="dxa"/>
            <w:vAlign w:val="bottom"/>
            <w:gridSpan w:val="2"/>
            <w:shd w:val="clear" w:color="auto" w:fill="CFF2FA"/>
          </w:tcPr>
          <w:p>
            <w:pPr>
              <w:jc w:val="right"/>
              <w:ind w:right="180"/>
              <w:spacing w:after="0" w:line="224" w:lineRule="exact"/>
              <w:rPr>
                <w:sz w:val="20"/>
                <w:szCs w:val="20"/>
                <w:color w:val="auto"/>
              </w:rPr>
            </w:pPr>
            <w:r>
              <w:rPr>
                <w:rFonts w:ascii="Arial" w:cs="Arial" w:eastAsia="Arial" w:hAnsi="Arial"/>
                <w:sz w:val="20"/>
                <w:szCs w:val="20"/>
                <w:color w:val="auto"/>
              </w:rPr>
              <w:t>9.7%</w:t>
            </w:r>
          </w:p>
        </w:tc>
        <w:tc>
          <w:tcPr>
            <w:tcW w:w="400" w:type="dxa"/>
            <w:vAlign w:val="bottom"/>
            <w:shd w:val="clear" w:color="auto" w:fill="CFF2FA"/>
          </w:tcPr>
          <w:p>
            <w:pPr>
              <w:spacing w:after="0"/>
              <w:rPr>
                <w:sz w:val="19"/>
                <w:szCs w:val="19"/>
                <w:color w:val="auto"/>
              </w:rPr>
            </w:pPr>
          </w:p>
        </w:tc>
        <w:tc>
          <w:tcPr>
            <w:tcW w:w="134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0"/>
        </w:trPr>
        <w:tc>
          <w:tcPr>
            <w:tcW w:w="778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Earnings before interest, income taxes, depreciation, depletion and amortization (“EBITDA”) is a widely accepted financial indicator of a company’s ability to service and/or incur indebtedness. EBITDA is not defined by generally accepted accounting principles and, as such, should not be construed as an alternative to net earnings or operating cash flow. EBITDA is as follows for the three months ended March 31, 2016 and 2015.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(loss) attributable to Martin Marietta Materials, Inc. to consolidated EBITDA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5"/>
          </w:tcPr>
          <w:p>
            <w:pPr>
              <w:jc w:val="right"/>
              <w:ind w:right="600"/>
              <w:spacing w:after="0"/>
              <w:rPr>
                <w:sz w:val="20"/>
                <w:szCs w:val="20"/>
                <w:color w:val="auto"/>
              </w:rPr>
            </w:pPr>
            <w:r>
              <w:rPr>
                <w:rFonts w:ascii="Arial" w:cs="Arial" w:eastAsia="Arial" w:hAnsi="Arial"/>
                <w:sz w:val="20"/>
                <w:szCs w:val="20"/>
                <w:color w:val="auto"/>
              </w:rPr>
              <w:t>Three Months Ended</w:t>
            </w:r>
          </w:p>
        </w:tc>
      </w:tr>
      <w:tr>
        <w:trPr>
          <w:trHeight w:val="246"/>
        </w:trPr>
        <w:tc>
          <w:tcPr>
            <w:tcW w:w="8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March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2016</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100" w:type="dxa"/>
            <w:vAlign w:val="bottom"/>
          </w:tcPr>
          <w:p>
            <w:pPr>
              <w:spacing w:after="0"/>
              <w:rPr>
                <w:sz w:val="20"/>
                <w:szCs w:val="20"/>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44,994</w:t>
            </w:r>
          </w:p>
        </w:tc>
        <w:tc>
          <w:tcPr>
            <w:tcW w:w="30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6,126</w:t>
            </w:r>
          </w:p>
        </w:tc>
        <w:tc>
          <w:tcPr>
            <w:tcW w:w="100" w:type="dxa"/>
            <w:vAlign w:val="bottom"/>
          </w:tcPr>
          <w:p>
            <w:pPr>
              <w:spacing w:after="0"/>
              <w:rPr>
                <w:sz w:val="20"/>
                <w:szCs w:val="20"/>
                <w:color w:val="auto"/>
              </w:rPr>
            </w:pPr>
          </w:p>
        </w:tc>
      </w:tr>
      <w:tr>
        <w:trPr>
          <w:trHeight w:val="243"/>
        </w:trPr>
        <w:tc>
          <w:tcPr>
            <w:tcW w:w="8660" w:type="dxa"/>
            <w:vAlign w:val="bottom"/>
            <w:shd w:val="clear" w:color="auto" w:fill="CFF0FC"/>
          </w:tcPr>
          <w:p>
            <w:pPr>
              <w:spacing w:after="0"/>
              <w:rPr>
                <w:sz w:val="20"/>
                <w:szCs w:val="20"/>
                <w:color w:val="auto"/>
              </w:rPr>
            </w:pPr>
            <w:r>
              <w:rPr>
                <w:rFonts w:ascii="Arial" w:cs="Arial" w:eastAsia="Arial" w:hAnsi="Arial"/>
                <w:sz w:val="20"/>
                <w:szCs w:val="20"/>
                <w:color w:val="auto"/>
              </w:rPr>
              <w:t>Add back:</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866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20,034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19,331</w:t>
            </w:r>
          </w:p>
        </w:tc>
        <w:tc>
          <w:tcPr>
            <w:tcW w:w="100" w:type="dxa"/>
            <w:vAlign w:val="bottom"/>
          </w:tcPr>
          <w:p>
            <w:pPr>
              <w:spacing w:after="0"/>
              <w:rPr>
                <w:sz w:val="21"/>
                <w:szCs w:val="21"/>
                <w:color w:val="auto"/>
              </w:rPr>
            </w:pPr>
          </w:p>
        </w:tc>
      </w:tr>
      <w:tr>
        <w:trPr>
          <w:trHeight w:val="243"/>
        </w:trPr>
        <w:tc>
          <w:tcPr>
            <w:tcW w:w="86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 (benefit) for controlling interests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19,667</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(826)</w:t>
            </w:r>
          </w:p>
        </w:tc>
      </w:tr>
      <w:tr>
        <w:trPr>
          <w:trHeight w:val="243"/>
        </w:trPr>
        <w:tc>
          <w:tcPr>
            <w:tcW w:w="866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67,926</w:t>
            </w: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66,575</w:t>
            </w:r>
          </w:p>
        </w:tc>
        <w:tc>
          <w:tcPr>
            <w:tcW w:w="100" w:type="dxa"/>
            <w:vAlign w:val="bottom"/>
            <w:tcBorders>
              <w:bottom w:val="single" w:sz="8" w:color="CFF0FC"/>
            </w:tcBorders>
          </w:tcPr>
          <w:p>
            <w:pPr>
              <w:spacing w:after="0"/>
              <w:rPr>
                <w:sz w:val="21"/>
                <w:szCs w:val="21"/>
                <w:color w:val="auto"/>
              </w:rPr>
            </w:pPr>
          </w:p>
        </w:tc>
      </w:tr>
      <w:tr>
        <w:trPr>
          <w:trHeight w:val="237"/>
        </w:trPr>
        <w:tc>
          <w:tcPr>
            <w:tcW w:w="8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EBITDA</w:t>
            </w: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152,621</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91,206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First Quarter Ended March 31, 2016</w:t>
      </w:r>
    </w:p>
    <w:p>
      <w:pPr>
        <w:jc w:val="center"/>
        <w:ind w:right="-19"/>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Incremental gross margin (excluding freight and delivery revenues) is a non-GAAP measure. The Corporation presents this metric to enhance analysts’ and investors’ understanding of the impact of increased net sales on profitability. The following shows the calculation of consolidated incremental gross margin (excluding freight and delivery revenues) for the quarter ended March 31, 2016 (dollars in thousands).</w:t>
      </w:r>
    </w:p>
    <w:p>
      <w:pPr>
        <w:sectPr>
          <w:pgSz w:w="11900" w:h="16838" w:orient="portrait"/>
          <w:cols w:equalWidth="0" w:num="1">
            <w:col w:w="11420"/>
          </w:cols>
          <w:pgMar w:left="240" w:top="121"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sales for the quarter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sales for the quarter ended March 31, 2015</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Incremental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740" w:hanging="740"/>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733,960</w:t>
      </w:r>
    </w:p>
    <w:p>
      <w:pPr>
        <w:spacing w:after="0" w:line="66"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631,876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883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45" w:lineRule="exact"/>
        <w:rPr>
          <w:sz w:val="20"/>
          <w:szCs w:val="20"/>
          <w:color w:val="auto"/>
        </w:rPr>
      </w:pPr>
    </w:p>
    <w:p>
      <w:pPr>
        <w:ind w:left="740" w:hanging="740"/>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102,084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883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120" w:space="720"/>
            <w:col w:w="1580"/>
          </w:cols>
          <w:pgMar w:left="240" w:top="121" w:right="2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profit for the quarter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profit for the quarter ended March 31, 2015</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Incremental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740" w:hanging="740"/>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144,634</w:t>
      </w:r>
    </w:p>
    <w:p>
      <w:pPr>
        <w:spacing w:after="0" w:line="6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74,261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883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45" w:lineRule="exact"/>
        <w:rPr>
          <w:sz w:val="20"/>
          <w:szCs w:val="20"/>
          <w:color w:val="auto"/>
        </w:rPr>
      </w:pPr>
    </w:p>
    <w:p>
      <w:pPr>
        <w:ind w:left="840" w:hanging="840"/>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70,373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883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120" w:space="720"/>
            <w:col w:w="1580"/>
          </w:cols>
          <w:pgMar w:left="240" w:top="121" w:right="239" w:bottom="1440" w:gutter="0" w:footer="0" w:header="0"/>
          <w:type w:val="continuous"/>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20"/>
                <w:szCs w:val="20"/>
                <w:color w:val="auto"/>
              </w:rPr>
              <w:t>Consolidated incremental gross margin (excluding freight and delivery revenues) for quarter ended</w:t>
            </w:r>
          </w:p>
        </w:tc>
        <w:tc>
          <w:tcPr>
            <w:tcW w:w="2040" w:type="dxa"/>
            <w:vAlign w:val="bottom"/>
          </w:tcPr>
          <w:p>
            <w:pPr>
              <w:spacing w:after="0"/>
              <w:rPr>
                <w:sz w:val="19"/>
                <w:szCs w:val="19"/>
                <w:color w:val="auto"/>
              </w:rPr>
            </w:pPr>
          </w:p>
        </w:tc>
      </w:tr>
      <w:tr>
        <w:trPr>
          <w:trHeight w:val="250"/>
        </w:trPr>
        <w:tc>
          <w:tcPr>
            <w:tcW w:w="9360" w:type="dxa"/>
            <w:vAlign w:val="bottom"/>
          </w:tcPr>
          <w:p>
            <w:pPr>
              <w:ind w:left="260"/>
              <w:spacing w:after="0"/>
              <w:rPr>
                <w:sz w:val="20"/>
                <w:szCs w:val="20"/>
                <w:color w:val="auto"/>
              </w:rPr>
            </w:pPr>
            <w:r>
              <w:rPr>
                <w:rFonts w:ascii="Arial" w:cs="Arial" w:eastAsia="Arial" w:hAnsi="Arial"/>
                <w:sz w:val="20"/>
                <w:szCs w:val="20"/>
                <w:color w:val="auto"/>
              </w:rPr>
              <w:t>March 31, 2016</w:t>
            </w:r>
          </w:p>
        </w:tc>
        <w:tc>
          <w:tcPr>
            <w:tcW w:w="2040" w:type="dxa"/>
            <w:vAlign w:val="bottom"/>
          </w:tcPr>
          <w:p>
            <w:pPr>
              <w:jc w:val="right"/>
              <w:spacing w:after="0"/>
              <w:rPr>
                <w:sz w:val="20"/>
                <w:szCs w:val="20"/>
                <w:color w:val="auto"/>
              </w:rPr>
            </w:pPr>
            <w:r>
              <w:rPr>
                <w:rFonts w:ascii="Arial" w:cs="Arial" w:eastAsia="Arial" w:hAnsi="Arial"/>
                <w:sz w:val="20"/>
                <w:szCs w:val="20"/>
                <w:color w:val="auto"/>
              </w:rPr>
              <w:t>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-1905</wp:posOffset>
            </wp:positionV>
            <wp:extent cx="883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14605</wp:posOffset>
            </wp:positionV>
            <wp:extent cx="883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March 31, 2016 (unless noted, all comparisons are versus the prior-year quarter):</w:t>
      </w:r>
    </w:p>
    <w:p>
      <w:pPr>
        <w:spacing w:after="0" w:line="108"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Record consolidated net sales of $734.0 million compared with $631.9 million, an increase of 16.2%</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Aggregates product line volume increase of 13.1%; aggregates product line price increase of 8.1%</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Cement business net sales of $69.9 million and gross profit of $32.6 million</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Magnesia Specialties net sales of $59.5 million and gross profit of $23.0 million</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Consolidated gross margin (excluding freight and delivery revenues) of 19.7%, an increase of 790 basis points</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Consolidated selling, general and administrative expenses (“SG&amp;A”) of $59.9 million, or 8.2% of net sales</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Consolidated earnings from operations of $83.8 million compared with $25.6 million</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Earnings per diluted share of $0.69 compared with $0.07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net sales, gross profit (loss), selling, general and administrative expenses and earnings (loss) from operations data for the Corporation and its reportable segments for the three months ended March 31, 2016 and 2015. In each case, the data is stated as a percentage of net sales of the Corporation or the relevant segment, as the case may be.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6"/>
          </w:tcPr>
          <w:p>
            <w:pPr>
              <w:ind w:left="80"/>
              <w:spacing w:after="0"/>
              <w:rPr>
                <w:sz w:val="20"/>
                <w:szCs w:val="20"/>
                <w:color w:val="auto"/>
              </w:rPr>
            </w:pPr>
            <w:r>
              <w:rPr>
                <w:rFonts w:ascii="Arial" w:cs="Arial" w:eastAsia="Arial" w:hAnsi="Arial"/>
                <w:sz w:val="20"/>
                <w:szCs w:val="20"/>
                <w:color w:val="auto"/>
              </w:rPr>
              <w:t>Three Months Ended March 31,</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2016</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2015</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ind w:left="400"/>
              <w:spacing w:after="0" w:line="220" w:lineRule="exact"/>
              <w:rPr>
                <w:sz w:val="20"/>
                <w:szCs w:val="20"/>
                <w:color w:val="auto"/>
              </w:rPr>
            </w:pPr>
            <w:r>
              <w:rPr>
                <w:rFonts w:ascii="Arial" w:cs="Arial" w:eastAsia="Arial" w:hAnsi="Arial"/>
                <w:sz w:val="20"/>
                <w:szCs w:val="20"/>
                <w:color w:val="auto"/>
              </w:rPr>
              <w:t>% of</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560" w:type="dxa"/>
            <w:vAlign w:val="bottom"/>
            <w:gridSpan w:val="2"/>
          </w:tcPr>
          <w:p>
            <w:pPr>
              <w:ind w:left="220"/>
              <w:spacing w:after="0"/>
              <w:rPr>
                <w:sz w:val="20"/>
                <w:szCs w:val="20"/>
                <w:color w:val="auto"/>
              </w:rPr>
            </w:pPr>
            <w:r>
              <w:rPr>
                <w:rFonts w:ascii="Arial" w:cs="Arial" w:eastAsia="Arial" w:hAnsi="Arial"/>
                <w:sz w:val="20"/>
                <w:szCs w:val="20"/>
                <w:color w:val="auto"/>
              </w:rPr>
              <w:t>Net Sales</w:t>
            </w:r>
          </w:p>
        </w:tc>
        <w:tc>
          <w:tcPr>
            <w:tcW w:w="220" w:type="dxa"/>
            <w:vAlign w:val="bottom"/>
          </w:tcPr>
          <w:p>
            <w:pPr>
              <w:spacing w:after="0"/>
              <w:rPr>
                <w:sz w:val="21"/>
                <w:szCs w:val="21"/>
                <w:color w:val="auto"/>
              </w:rPr>
            </w:pPr>
          </w:p>
        </w:tc>
        <w:tc>
          <w:tcPr>
            <w:tcW w:w="158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280" w:type="dxa"/>
            <w:vAlign w:val="bottom"/>
            <w:gridSpan w:val="2"/>
          </w:tcPr>
          <w:p>
            <w:pPr>
              <w:jc w:val="center"/>
              <w:ind w:right="300"/>
              <w:spacing w:after="0"/>
              <w:rPr>
                <w:sz w:val="20"/>
                <w:szCs w:val="20"/>
                <w:color w:val="auto"/>
              </w:rPr>
            </w:pPr>
            <w:r>
              <w:rPr>
                <w:rFonts w:ascii="Arial" w:cs="Arial" w:eastAsia="Arial" w:hAnsi="Arial"/>
                <w:sz w:val="20"/>
                <w:szCs w:val="20"/>
                <w:color w:val="auto"/>
                <w:w w:val="85"/>
              </w:rPr>
              <w:t>Net Sales</w:t>
            </w:r>
          </w:p>
        </w:tc>
        <w:tc>
          <w:tcPr>
            <w:tcW w:w="0" w:type="dxa"/>
            <w:vAlign w:val="bottom"/>
          </w:tcPr>
          <w:p>
            <w:pPr>
              <w:spacing w:after="0"/>
              <w:rPr>
                <w:sz w:val="1"/>
                <w:szCs w:val="1"/>
                <w:color w:val="auto"/>
              </w:rPr>
            </w:pPr>
          </w:p>
        </w:tc>
      </w:tr>
      <w:tr>
        <w:trPr>
          <w:trHeight w:val="244"/>
        </w:trPr>
        <w:tc>
          <w:tcPr>
            <w:tcW w:w="40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Net sales:</w:t>
            </w:r>
          </w:p>
        </w:tc>
        <w:tc>
          <w:tcPr>
            <w:tcW w:w="9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6"/>
          </w:tcPr>
          <w:p>
            <w:pPr>
              <w:ind w:left="420"/>
              <w:spacing w:after="0"/>
              <w:rPr>
                <w:sz w:val="20"/>
                <w:szCs w:val="20"/>
                <w:color w:val="auto"/>
              </w:rPr>
            </w:pPr>
            <w:r>
              <w:rPr>
                <w:rFonts w:ascii="Arial" w:cs="Arial" w:eastAsia="Arial" w:hAnsi="Arial"/>
                <w:sz w:val="20"/>
                <w:szCs w:val="20"/>
                <w:i w:val="1"/>
                <w:iCs w:val="1"/>
                <w:color w:val="auto"/>
              </w:rPr>
              <w:t>(Dollars in Thousands)</w:t>
            </w: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20"/>
                <w:szCs w:val="20"/>
                <w:color w:val="auto"/>
              </w:rPr>
              <w:t>Heritage:</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480"/>
              <w:spacing w:after="0"/>
              <w:rPr>
                <w:sz w:val="20"/>
                <w:szCs w:val="20"/>
                <w:color w:val="auto"/>
              </w:rPr>
            </w:pPr>
            <w:r>
              <w:rPr>
                <w:rFonts w:ascii="Arial" w:cs="Arial" w:eastAsia="Arial" w:hAnsi="Arial"/>
                <w:sz w:val="20"/>
                <w:szCs w:val="20"/>
                <w:color w:val="auto"/>
              </w:rPr>
              <w:t>Mid-America Group</w:t>
            </w:r>
          </w:p>
        </w:tc>
        <w:tc>
          <w:tcPr>
            <w:tcW w:w="11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173,372</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129,705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Southeast Group</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67,284</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59,770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West Group</w:t>
            </w:r>
          </w:p>
        </w:tc>
        <w:tc>
          <w:tcPr>
            <w:tcW w:w="9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358,621</w:t>
            </w: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287,082</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Heritage Aggregates Business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599,277</w:t>
            </w: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476,557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40"/>
              <w:spacing w:after="0"/>
              <w:rPr>
                <w:sz w:val="20"/>
                <w:szCs w:val="20"/>
                <w:color w:val="auto"/>
              </w:rPr>
            </w:pPr>
            <w:r>
              <w:rPr>
                <w:rFonts w:ascii="Arial" w:cs="Arial" w:eastAsia="Arial" w:hAnsi="Arial"/>
                <w:sz w:val="20"/>
                <w:szCs w:val="20"/>
                <w:color w:val="auto"/>
              </w:rPr>
              <w:t>Cement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69,873</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96,565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9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59,505</w:t>
            </w:r>
          </w:p>
        </w:tc>
        <w:tc>
          <w:tcPr>
            <w:tcW w:w="34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58,754</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20"/>
                <w:szCs w:val="20"/>
                <w:color w:val="auto"/>
              </w:rPr>
              <w:t>Total Heritage Consolidated</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728,655</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631,876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Acquisitions:</w:t>
            </w:r>
          </w:p>
        </w:tc>
        <w:tc>
          <w:tcPr>
            <w:tcW w:w="9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40"/>
              <w:spacing w:after="0"/>
              <w:rPr>
                <w:sz w:val="20"/>
                <w:szCs w:val="20"/>
                <w:color w:val="auto"/>
              </w:rPr>
            </w:pPr>
            <w:r>
              <w:rPr>
                <w:rFonts w:ascii="Arial" w:cs="Arial" w:eastAsia="Arial" w:hAnsi="Arial"/>
                <w:sz w:val="20"/>
                <w:szCs w:val="20"/>
                <w:color w:val="auto"/>
              </w:rPr>
              <w:t>Aggregates Business – West Group</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5,305</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9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733,960</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631,876</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Arial" w:cs="Arial" w:eastAsia="Arial" w:hAnsi="Arial"/>
                <w:sz w:val="20"/>
                <w:szCs w:val="20"/>
                <w:color w:val="auto"/>
              </w:rPr>
              <w:t>Heritage:</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Mid-America Group</w:t>
            </w: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27,424</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7,144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480"/>
              <w:spacing w:after="0"/>
              <w:rPr>
                <w:sz w:val="20"/>
                <w:szCs w:val="20"/>
                <w:color w:val="auto"/>
              </w:rPr>
            </w:pPr>
            <w:r>
              <w:rPr>
                <w:rFonts w:ascii="Arial" w:cs="Arial" w:eastAsia="Arial" w:hAnsi="Arial"/>
                <w:sz w:val="20"/>
                <w:szCs w:val="20"/>
                <w:color w:val="auto"/>
              </w:rPr>
              <w:t>Southeast Group</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10,330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3,099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West Group</w:t>
            </w:r>
          </w:p>
        </w:tc>
        <w:tc>
          <w:tcPr>
            <w:tcW w:w="9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56,577</w:t>
            </w:r>
          </w:p>
        </w:tc>
        <w:tc>
          <w:tcPr>
            <w:tcW w:w="34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15.8</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28,484</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ind w:left="240"/>
              <w:spacing w:after="0"/>
              <w:rPr>
                <w:sz w:val="20"/>
                <w:szCs w:val="20"/>
                <w:color w:val="auto"/>
              </w:rPr>
            </w:pPr>
            <w:r>
              <w:rPr>
                <w:rFonts w:ascii="Arial" w:cs="Arial" w:eastAsia="Arial" w:hAnsi="Arial"/>
                <w:sz w:val="20"/>
                <w:szCs w:val="20"/>
                <w:color w:val="auto"/>
              </w:rPr>
              <w:t>Total Heritage Aggregates Business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94,331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38,727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32,556</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18,985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40"/>
              <w:spacing w:after="0"/>
              <w:rPr>
                <w:sz w:val="20"/>
                <w:szCs w:val="20"/>
                <w:color w:val="auto"/>
              </w:rPr>
            </w:pPr>
            <w:r>
              <w:rPr>
                <w:rFonts w:ascii="Arial" w:cs="Arial" w:eastAsia="Arial" w:hAnsi="Arial"/>
                <w:sz w:val="20"/>
                <w:szCs w:val="20"/>
                <w:color w:val="auto"/>
              </w:rPr>
              <w:t>Magnesia Specialties</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22,970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20,178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(3,898)</w:t>
            </w: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(3,629)</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20"/>
                <w:szCs w:val="20"/>
                <w:color w:val="auto"/>
              </w:rPr>
              <w:t>Total Heritage Consolidated</w:t>
            </w:r>
          </w:p>
        </w:tc>
        <w:tc>
          <w:tcPr>
            <w:tcW w:w="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145,959</w:t>
            </w: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20.0</w:t>
            </w: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74,261</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Acquisitions:</w:t>
            </w:r>
          </w:p>
        </w:tc>
        <w:tc>
          <w:tcPr>
            <w:tcW w:w="9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40"/>
              <w:spacing w:after="0"/>
              <w:rPr>
                <w:sz w:val="20"/>
                <w:szCs w:val="20"/>
                <w:color w:val="auto"/>
              </w:rPr>
            </w:pPr>
            <w:r>
              <w:rPr>
                <w:rFonts w:ascii="Arial" w:cs="Arial" w:eastAsia="Arial" w:hAnsi="Arial"/>
                <w:sz w:val="20"/>
                <w:szCs w:val="20"/>
                <w:color w:val="auto"/>
              </w:rPr>
              <w:t>Aggregates Business – West Group</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auto"/>
              </w:rPr>
              <w:t>(1,325)</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9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144,634</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74,261</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6"/>
          </w:tcPr>
          <w:p>
            <w:pPr>
              <w:ind w:left="80"/>
              <w:spacing w:after="0"/>
              <w:rPr>
                <w:sz w:val="20"/>
                <w:szCs w:val="20"/>
                <w:color w:val="auto"/>
              </w:rPr>
            </w:pPr>
            <w:r>
              <w:rPr>
                <w:rFonts w:ascii="Arial" w:cs="Arial" w:eastAsia="Arial" w:hAnsi="Arial"/>
                <w:sz w:val="20"/>
                <w:szCs w:val="20"/>
                <w:color w:val="auto"/>
              </w:rPr>
              <w:t>Three Months Ended March 31,</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2016</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2015</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ind w:left="400"/>
              <w:spacing w:after="0" w:line="220" w:lineRule="exact"/>
              <w:rPr>
                <w:sz w:val="20"/>
                <w:szCs w:val="20"/>
                <w:color w:val="auto"/>
              </w:rPr>
            </w:pPr>
            <w:r>
              <w:rPr>
                <w:rFonts w:ascii="Arial" w:cs="Arial" w:eastAsia="Arial" w:hAnsi="Arial"/>
                <w:sz w:val="20"/>
                <w:szCs w:val="20"/>
                <w:color w:val="auto"/>
              </w:rPr>
              <w:t>% of</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01"/>
              <w:spacing w:after="0" w:line="220" w:lineRule="exact"/>
              <w:rPr>
                <w:sz w:val="20"/>
                <w:szCs w:val="20"/>
                <w:color w:val="auto"/>
              </w:rPr>
            </w:pPr>
            <w:r>
              <w:rPr>
                <w:rFonts w:ascii="Arial" w:cs="Arial" w:eastAsia="Arial" w:hAnsi="Arial"/>
                <w:sz w:val="20"/>
                <w:szCs w:val="20"/>
                <w:color w:val="auto"/>
              </w:rPr>
              <w:t>% 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560" w:type="dxa"/>
            <w:vAlign w:val="bottom"/>
            <w:gridSpan w:val="2"/>
          </w:tcPr>
          <w:p>
            <w:pPr>
              <w:ind w:left="220"/>
              <w:spacing w:after="0"/>
              <w:rPr>
                <w:sz w:val="20"/>
                <w:szCs w:val="20"/>
                <w:color w:val="auto"/>
              </w:rPr>
            </w:pPr>
            <w:r>
              <w:rPr>
                <w:rFonts w:ascii="Arial" w:cs="Arial" w:eastAsia="Arial" w:hAnsi="Arial"/>
                <w:sz w:val="20"/>
                <w:szCs w:val="20"/>
                <w:color w:val="auto"/>
              </w:rPr>
              <w:t>Net Sales</w:t>
            </w:r>
          </w:p>
        </w:tc>
        <w:tc>
          <w:tcPr>
            <w:tcW w:w="220" w:type="dxa"/>
            <w:vAlign w:val="bottom"/>
          </w:tcPr>
          <w:p>
            <w:pPr>
              <w:spacing w:after="0"/>
              <w:rPr>
                <w:sz w:val="21"/>
                <w:szCs w:val="21"/>
                <w:color w:val="auto"/>
              </w:rPr>
            </w:pPr>
          </w:p>
        </w:tc>
        <w:tc>
          <w:tcPr>
            <w:tcW w:w="158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280" w:type="dxa"/>
            <w:vAlign w:val="bottom"/>
            <w:gridSpan w:val="2"/>
          </w:tcPr>
          <w:p>
            <w:pPr>
              <w:jc w:val="right"/>
              <w:ind w:right="420"/>
              <w:spacing w:after="0"/>
              <w:rPr>
                <w:sz w:val="20"/>
                <w:szCs w:val="20"/>
                <w:color w:val="auto"/>
              </w:rPr>
            </w:pPr>
            <w:r>
              <w:rPr>
                <w:rFonts w:ascii="Arial" w:cs="Arial" w:eastAsia="Arial" w:hAnsi="Arial"/>
                <w:sz w:val="20"/>
                <w:szCs w:val="20"/>
                <w:color w:val="auto"/>
                <w:w w:val="96"/>
              </w:rPr>
              <w:t>Net Sales</w:t>
            </w:r>
          </w:p>
        </w:tc>
        <w:tc>
          <w:tcPr>
            <w:tcW w:w="0" w:type="dxa"/>
            <w:vAlign w:val="bottom"/>
          </w:tcPr>
          <w:p>
            <w:pPr>
              <w:spacing w:after="0"/>
              <w:rPr>
                <w:sz w:val="1"/>
                <w:szCs w:val="1"/>
                <w:color w:val="auto"/>
              </w:rPr>
            </w:pPr>
          </w:p>
        </w:tc>
      </w:tr>
      <w:tr>
        <w:trPr>
          <w:trHeight w:val="244"/>
        </w:trPr>
        <w:tc>
          <w:tcPr>
            <w:tcW w:w="43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6"/>
          </w:tcPr>
          <w:p>
            <w:pPr>
              <w:ind w:left="420"/>
              <w:spacing w:after="0"/>
              <w:rPr>
                <w:sz w:val="20"/>
                <w:szCs w:val="20"/>
                <w:color w:val="auto"/>
              </w:rPr>
            </w:pPr>
            <w:r>
              <w:rPr>
                <w:rFonts w:ascii="Arial" w:cs="Arial" w:eastAsia="Arial" w:hAnsi="Arial"/>
                <w:sz w:val="20"/>
                <w:szCs w:val="20"/>
                <w:i w:val="1"/>
                <w:iCs w:val="1"/>
                <w:color w:val="auto"/>
              </w:rPr>
              <w:t>(Dollars in Thousands)</w:t>
            </w: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Heritage:</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480"/>
              <w:spacing w:after="0"/>
              <w:rPr>
                <w:sz w:val="20"/>
                <w:szCs w:val="20"/>
                <w:color w:val="auto"/>
              </w:rPr>
            </w:pPr>
            <w:r>
              <w:rPr>
                <w:rFonts w:ascii="Arial" w:cs="Arial" w:eastAsia="Arial" w:hAnsi="Arial"/>
                <w:sz w:val="20"/>
                <w:szCs w:val="20"/>
                <w:color w:val="auto"/>
              </w:rPr>
              <w:t>Mid-America Group</w:t>
            </w:r>
          </w:p>
        </w:tc>
        <w:tc>
          <w:tcPr>
            <w:tcW w:w="9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13,135</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7.6</w:t>
            </w:r>
          </w:p>
        </w:tc>
        <w:tc>
          <w:tcPr>
            <w:tcW w:w="26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12,945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Southeast Group</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3,879</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4,289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West Group</w:t>
            </w:r>
          </w:p>
        </w:tc>
        <w:tc>
          <w:tcPr>
            <w:tcW w:w="6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16,816</w:t>
            </w: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15,709</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Heritage Aggregates Business</w:t>
            </w: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33,830</w:t>
            </w: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32,943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20"/>
                <w:szCs w:val="20"/>
                <w:color w:val="auto"/>
              </w:rPr>
              <w:t>Cement</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6,256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6,675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2,345</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2,366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Corporate</w:t>
            </w:r>
          </w:p>
        </w:tc>
        <w:tc>
          <w:tcPr>
            <w:tcW w:w="6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17,328</w:t>
            </w: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7,466</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Total Heritage Consolidated</w:t>
            </w:r>
          </w:p>
        </w:tc>
        <w:tc>
          <w:tcPr>
            <w:tcW w:w="6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59,759</w:t>
            </w:r>
          </w:p>
        </w:tc>
        <w:tc>
          <w:tcPr>
            <w:tcW w:w="3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8.2</w:t>
            </w:r>
          </w:p>
        </w:tc>
        <w:tc>
          <w:tcPr>
            <w:tcW w:w="2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49,450</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West Group</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00" w:type="dxa"/>
            <w:vAlign w:val="bottom"/>
            <w:gridSpan w:val="2"/>
          </w:tcPr>
          <w:p>
            <w:pPr>
              <w:spacing w:after="0"/>
              <w:rPr>
                <w:sz w:val="20"/>
                <w:szCs w:val="20"/>
                <w:color w:val="auto"/>
              </w:rPr>
            </w:pPr>
            <w:r>
              <w:rPr>
                <w:rFonts w:ascii="Arial" w:cs="Arial" w:eastAsia="Arial" w:hAnsi="Arial"/>
                <w:sz w:val="20"/>
                <w:szCs w:val="20"/>
                <w:color w:val="auto"/>
              </w:rPr>
              <w:t>Total</w:t>
            </w:r>
          </w:p>
        </w:tc>
        <w:tc>
          <w:tcPr>
            <w:tcW w:w="66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59,861</w:t>
            </w:r>
          </w:p>
        </w:tc>
        <w:tc>
          <w:tcPr>
            <w:tcW w:w="3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w:t>
            </w:r>
          </w:p>
        </w:tc>
        <w:tc>
          <w:tcPr>
            <w:tcW w:w="26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49,450</w:t>
            </w:r>
          </w:p>
        </w:tc>
        <w:tc>
          <w:tcPr>
            <w:tcW w:w="26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20"/>
                <w:szCs w:val="20"/>
                <w:color w:val="auto"/>
              </w:rPr>
              <w:t>Heritage:</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480"/>
              <w:spacing w:after="0"/>
              <w:rPr>
                <w:sz w:val="20"/>
                <w:szCs w:val="20"/>
                <w:color w:val="auto"/>
              </w:rPr>
            </w:pPr>
            <w:r>
              <w:rPr>
                <w:rFonts w:ascii="Arial" w:cs="Arial" w:eastAsia="Arial" w:hAnsi="Arial"/>
                <w:sz w:val="20"/>
                <w:szCs w:val="20"/>
                <w:color w:val="auto"/>
              </w:rPr>
              <w:t>Mid-America Group</w:t>
            </w:r>
          </w:p>
        </w:tc>
        <w:tc>
          <w:tcPr>
            <w:tcW w:w="9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14,424</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8.3</w:t>
            </w:r>
          </w:p>
        </w:tc>
        <w:tc>
          <w:tcPr>
            <w:tcW w:w="26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(4,203)</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Southeast Group</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6,971</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(1,548)</w:t>
            </w:r>
          </w:p>
        </w:tc>
        <w:tc>
          <w:tcPr>
            <w:tcW w:w="1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West Group</w:t>
            </w:r>
          </w:p>
        </w:tc>
        <w:tc>
          <w:tcPr>
            <w:tcW w:w="6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40,228</w:t>
            </w: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14,499</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Heritage Aggregates Business</w:t>
            </w: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61,623</w:t>
            </w: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8,748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20"/>
                <w:szCs w:val="20"/>
                <w:color w:val="auto"/>
              </w:rPr>
              <w:t>Cement</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26,316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12,229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20,563</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17,789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auto"/>
              </w:rPr>
              <w:t>(23,302)</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(13,195)</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Heritage Consolidated</w:t>
            </w:r>
          </w:p>
        </w:tc>
        <w:tc>
          <w:tcPr>
            <w:tcW w:w="6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85,200</w:t>
            </w:r>
          </w:p>
        </w:tc>
        <w:tc>
          <w:tcPr>
            <w:tcW w:w="3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11.7</w:t>
            </w:r>
          </w:p>
        </w:tc>
        <w:tc>
          <w:tcPr>
            <w:tcW w:w="26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25,571</w:t>
            </w:r>
          </w:p>
        </w:tc>
        <w:tc>
          <w:tcPr>
            <w:tcW w:w="26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West Group</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(1,431)</w:t>
            </w:r>
          </w:p>
        </w:tc>
        <w:tc>
          <w:tcPr>
            <w:tcW w:w="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spacing w:after="0"/>
              <w:rPr>
                <w:sz w:val="20"/>
                <w:szCs w:val="20"/>
                <w:color w:val="auto"/>
              </w:rPr>
            </w:pPr>
            <w:r>
              <w:rPr>
                <w:rFonts w:ascii="Arial" w:cs="Arial" w:eastAsia="Arial" w:hAnsi="Arial"/>
                <w:sz w:val="20"/>
                <w:szCs w:val="20"/>
                <w:color w:val="auto"/>
              </w:rPr>
              <w:t>Total</w:t>
            </w: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83,769</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11.4</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25,571</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three months ended March 31, 2015, net sales, gross loss, SG&amp;A and loss from operations for the California cement operations were $33,108,000, $4,071,000, $2,504,000 and $7,421,000, respectively.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Net sales by product line for the Aggregates business, which reflect the elimination of inter-product line sales,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gridSpan w:val="3"/>
          </w:tcPr>
          <w:p>
            <w:pPr>
              <w:jc w:val="center"/>
              <w:spacing w:after="0"/>
              <w:rPr>
                <w:sz w:val="20"/>
                <w:szCs w:val="20"/>
                <w:color w:val="auto"/>
              </w:rPr>
            </w:pPr>
            <w:r>
              <w:rPr>
                <w:rFonts w:ascii="Arial" w:cs="Arial" w:eastAsia="Arial" w:hAnsi="Arial"/>
                <w:sz w:val="20"/>
                <w:szCs w:val="20"/>
                <w:color w:val="auto"/>
                <w:w w:val="88"/>
              </w:rPr>
              <w:t>Three Months Ended</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34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2016</w:t>
            </w: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vMerge w:val="restart"/>
          </w:tcPr>
          <w:p>
            <w:pPr>
              <w:spacing w:after="0"/>
              <w:rPr>
                <w:sz w:val="20"/>
                <w:szCs w:val="20"/>
                <w:color w:val="auto"/>
              </w:rPr>
            </w:pPr>
            <w:r>
              <w:rPr>
                <w:rFonts w:ascii="Arial" w:cs="Arial" w:eastAsia="Arial" w:hAnsi="Arial"/>
                <w:sz w:val="20"/>
                <w:szCs w:val="20"/>
                <w:b w:val="1"/>
                <w:bCs w:val="1"/>
                <w:color w:val="auto"/>
              </w:rPr>
              <w:t>Net sales:</w:t>
            </w:r>
          </w:p>
        </w:tc>
        <w:tc>
          <w:tcPr>
            <w:tcW w:w="1440" w:type="dxa"/>
            <w:vAlign w:val="bottom"/>
          </w:tcPr>
          <w:p>
            <w:pPr>
              <w:spacing w:after="0"/>
              <w:rPr>
                <w:sz w:val="21"/>
                <w:szCs w:val="21"/>
                <w:color w:val="auto"/>
              </w:rPr>
            </w:pPr>
          </w:p>
        </w:tc>
        <w:tc>
          <w:tcPr>
            <w:tcW w:w="2060" w:type="dxa"/>
            <w:vAlign w:val="bottom"/>
            <w:gridSpan w:val="3"/>
          </w:tcPr>
          <w:p>
            <w:pPr>
              <w:jc w:val="center"/>
              <w:spacing w:after="0"/>
              <w:rPr>
                <w:sz w:val="20"/>
                <w:szCs w:val="20"/>
                <w:color w:val="auto"/>
              </w:rPr>
            </w:pPr>
            <w:r>
              <w:rPr>
                <w:rFonts w:ascii="Arial" w:cs="Arial" w:eastAsia="Arial" w:hAnsi="Arial"/>
                <w:sz w:val="20"/>
                <w:szCs w:val="20"/>
                <w:i w:val="1"/>
                <w:iCs w:val="1"/>
                <w:color w:val="auto"/>
                <w:w w:val="92"/>
              </w:rPr>
              <w:t>(Dollars in Thousands)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4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spacing w:after="0"/>
              <w:rPr>
                <w:sz w:val="20"/>
                <w:szCs w:val="20"/>
                <w:color w:val="auto"/>
              </w:rPr>
            </w:pPr>
            <w:r>
              <w:rPr>
                <w:rFonts w:ascii="Arial" w:cs="Arial" w:eastAsia="Arial" w:hAnsi="Arial"/>
                <w:sz w:val="20"/>
                <w:szCs w:val="20"/>
                <w:color w:val="auto"/>
              </w:rPr>
              <w:t>Heritage:</w:t>
            </w:r>
          </w:p>
        </w:tc>
        <w:tc>
          <w:tcPr>
            <w:tcW w:w="14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20"/>
                <w:szCs w:val="20"/>
                <w:color w:val="auto"/>
              </w:rPr>
              <w:t>Aggregates</w:t>
            </w:r>
          </w:p>
        </w:tc>
        <w:tc>
          <w:tcPr>
            <w:tcW w:w="1440" w:type="dxa"/>
            <w:vAlign w:val="bottom"/>
          </w:tcPr>
          <w:p>
            <w:pPr>
              <w:jc w:val="right"/>
              <w:ind w:right="1241"/>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404,052</w:t>
            </w:r>
          </w:p>
        </w:tc>
        <w:tc>
          <w:tcPr>
            <w:tcW w:w="360" w:type="dxa"/>
            <w:vAlign w:val="bottom"/>
          </w:tcPr>
          <w:p>
            <w:pPr>
              <w:spacing w:after="0"/>
              <w:rPr>
                <w:sz w:val="21"/>
                <w:szCs w:val="21"/>
                <w:color w:val="auto"/>
              </w:rPr>
            </w:pPr>
          </w:p>
        </w:tc>
        <w:tc>
          <w:tcPr>
            <w:tcW w:w="840" w:type="dxa"/>
            <w:vAlign w:val="bottom"/>
          </w:tcPr>
          <w:p>
            <w:pPr>
              <w:jc w:val="right"/>
              <w:ind w:right="641"/>
              <w:spacing w:after="0"/>
              <w:rPr>
                <w:sz w:val="20"/>
                <w:szCs w:val="20"/>
                <w:color w:val="auto"/>
              </w:rPr>
            </w:pPr>
            <w:r>
              <w:rPr>
                <w:rFonts w:ascii="Arial" w:cs="Arial" w:eastAsia="Arial" w:hAnsi="Arial"/>
                <w:sz w:val="20"/>
                <w:szCs w:val="20"/>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332,214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Asphalt</w:t>
            </w:r>
          </w:p>
        </w:tc>
        <w:tc>
          <w:tcPr>
            <w:tcW w:w="1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3,655</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9,645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20"/>
                <w:szCs w:val="20"/>
                <w:color w:val="auto"/>
              </w:rPr>
              <w:t>Ready Mixed Concrete</w:t>
            </w:r>
          </w:p>
        </w:tc>
        <w:tc>
          <w:tcPr>
            <w:tcW w:w="1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184,088</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127,572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Road Paving</w:t>
            </w:r>
          </w:p>
        </w:tc>
        <w:tc>
          <w:tcPr>
            <w:tcW w:w="1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7,482</w:t>
            </w:r>
          </w:p>
        </w:tc>
        <w:tc>
          <w:tcPr>
            <w:tcW w:w="360" w:type="dxa"/>
            <w:vAlign w:val="bottom"/>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20"/>
                <w:szCs w:val="20"/>
                <w:color w:val="auto"/>
              </w:rPr>
              <w:t>Total Heritage</w:t>
            </w:r>
          </w:p>
        </w:tc>
        <w:tc>
          <w:tcPr>
            <w:tcW w:w="1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599,277</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476,557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14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20"/>
                <w:szCs w:val="20"/>
                <w:color w:val="auto"/>
              </w:rPr>
              <w:t>Aggregates</w:t>
            </w:r>
          </w:p>
        </w:tc>
        <w:tc>
          <w:tcPr>
            <w:tcW w:w="1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2,387</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Asphalt</w:t>
            </w:r>
          </w:p>
        </w:tc>
        <w:tc>
          <w:tcPr>
            <w:tcW w:w="1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20"/>
                <w:szCs w:val="20"/>
                <w:color w:val="auto"/>
              </w:rPr>
              <w:t>Ready Mixed Concrete</w:t>
            </w:r>
          </w:p>
        </w:tc>
        <w:tc>
          <w:tcPr>
            <w:tcW w:w="1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2,698</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6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Acquisitions</w:t>
            </w:r>
          </w:p>
        </w:tc>
        <w:tc>
          <w:tcPr>
            <w:tcW w:w="14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5,305</w:t>
            </w:r>
          </w:p>
        </w:tc>
        <w:tc>
          <w:tcPr>
            <w:tcW w:w="36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20"/>
                <w:szCs w:val="20"/>
                <w:color w:val="auto"/>
              </w:rPr>
              <w:t>Total Aggregates Business</w:t>
            </w:r>
          </w:p>
        </w:tc>
        <w:tc>
          <w:tcPr>
            <w:tcW w:w="1440" w:type="dxa"/>
            <w:vAlign w:val="bottom"/>
            <w:tcBorders>
              <w:bottom w:val="single" w:sz="8" w:color="auto"/>
            </w:tcBorders>
          </w:tcPr>
          <w:p>
            <w:pPr>
              <w:jc w:val="right"/>
              <w:ind w:right="124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604,582</w:t>
            </w:r>
          </w:p>
        </w:tc>
        <w:tc>
          <w:tcPr>
            <w:tcW w:w="360" w:type="dxa"/>
            <w:vAlign w:val="bottom"/>
          </w:tcPr>
          <w:p>
            <w:pPr>
              <w:spacing w:after="0"/>
              <w:rPr>
                <w:sz w:val="20"/>
                <w:szCs w:val="20"/>
                <w:color w:val="auto"/>
              </w:rPr>
            </w:pPr>
          </w:p>
        </w:tc>
        <w:tc>
          <w:tcPr>
            <w:tcW w:w="84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476,557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volume and pricing data and shipments data for the aggregates product line.</w:t>
      </w:r>
    </w:p>
    <w:p>
      <w:pPr>
        <w:spacing w:after="0" w:line="243" w:lineRule="exact"/>
        <w:rPr>
          <w:sz w:val="20"/>
          <w:szCs w:val="20"/>
          <w:color w:val="auto"/>
        </w:rPr>
      </w:pPr>
    </w:p>
    <w:p>
      <w:pPr>
        <w:jc w:val="center"/>
        <w:ind w:left="754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7540"/>
        <w:spacing w:after="0"/>
        <w:rPr>
          <w:sz w:val="20"/>
          <w:szCs w:val="20"/>
          <w:color w:val="auto"/>
        </w:rPr>
      </w:pPr>
      <w:r>
        <w:rPr>
          <w:rFonts w:ascii="Arial" w:cs="Arial" w:eastAsia="Arial" w:hAnsi="Arial"/>
          <w:sz w:val="20"/>
          <w:szCs w:val="20"/>
          <w:color w:val="auto"/>
        </w:rPr>
        <w:t>March 31, 2016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40" w:type="dxa"/>
            <w:vAlign w:val="bottom"/>
            <w:tcBorders>
              <w:bottom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20"/>
                <w:szCs w:val="20"/>
                <w:color w:val="auto"/>
                <w:w w:val="97"/>
              </w:rPr>
              <w:t>Volume</w:t>
            </w:r>
          </w:p>
        </w:tc>
        <w:tc>
          <w:tcPr>
            <w:tcW w:w="4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CFF0FC"/>
            </w:tcBorders>
          </w:tcPr>
          <w:p>
            <w:pPr>
              <w:spacing w:after="0"/>
              <w:rPr>
                <w:sz w:val="20"/>
                <w:szCs w:val="20"/>
                <w:color w:val="auto"/>
              </w:rPr>
            </w:pPr>
          </w:p>
        </w:tc>
        <w:tc>
          <w:tcPr>
            <w:tcW w:w="15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77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8880" w:type="dxa"/>
            <w:vAlign w:val="bottom"/>
            <w:gridSpan w:val="2"/>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w w:val="98"/>
              </w:rPr>
              <w:t>27.8%</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4.3%</w:t>
            </w:r>
          </w:p>
        </w:tc>
      </w:tr>
      <w:tr>
        <w:trPr>
          <w:trHeight w:val="243"/>
        </w:trPr>
        <w:tc>
          <w:tcPr>
            <w:tcW w:w="888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780" w:type="dxa"/>
            <w:vAlign w:val="bottom"/>
            <w:gridSpan w:val="2"/>
          </w:tcPr>
          <w:p>
            <w:pPr>
              <w:jc w:val="right"/>
              <w:ind w:right="200"/>
              <w:spacing w:after="0"/>
              <w:rPr>
                <w:sz w:val="20"/>
                <w:szCs w:val="20"/>
                <w:color w:val="auto"/>
              </w:rPr>
            </w:pPr>
            <w:r>
              <w:rPr>
                <w:rFonts w:ascii="Arial" w:cs="Arial" w:eastAsia="Arial" w:hAnsi="Arial"/>
                <w:sz w:val="20"/>
                <w:szCs w:val="20"/>
                <w:color w:val="auto"/>
              </w:rPr>
              <w:t>5.6%</w:t>
            </w:r>
          </w:p>
        </w:tc>
        <w:tc>
          <w:tcPr>
            <w:tcW w:w="1760" w:type="dxa"/>
            <w:vAlign w:val="bottom"/>
            <w:gridSpan w:val="2"/>
          </w:tcPr>
          <w:p>
            <w:pPr>
              <w:jc w:val="right"/>
              <w:ind w:right="20"/>
              <w:spacing w:after="0"/>
              <w:rPr>
                <w:sz w:val="20"/>
                <w:szCs w:val="20"/>
                <w:color w:val="auto"/>
              </w:rPr>
            </w:pPr>
            <w:r>
              <w:rPr>
                <w:rFonts w:ascii="Arial" w:cs="Arial" w:eastAsia="Arial" w:hAnsi="Arial"/>
                <w:sz w:val="20"/>
                <w:szCs w:val="20"/>
                <w:color w:val="auto"/>
              </w:rPr>
              <w:t>7.3%</w:t>
            </w:r>
          </w:p>
        </w:tc>
      </w:tr>
      <w:tr>
        <w:trPr>
          <w:trHeight w:val="243"/>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4.4%</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11.3%</w:t>
            </w:r>
          </w:p>
        </w:tc>
      </w:tr>
      <w:tr>
        <w:trPr>
          <w:trHeight w:val="243"/>
        </w:trPr>
        <w:tc>
          <w:tcPr>
            <w:tcW w:w="8880" w:type="dxa"/>
            <w:vAlign w:val="bottom"/>
            <w:gridSpan w:val="2"/>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780" w:type="dxa"/>
            <w:vAlign w:val="bottom"/>
            <w:gridSpan w:val="2"/>
          </w:tcPr>
          <w:p>
            <w:pPr>
              <w:jc w:val="right"/>
              <w:ind w:right="200"/>
              <w:spacing w:after="0"/>
              <w:rPr>
                <w:sz w:val="20"/>
                <w:szCs w:val="20"/>
                <w:color w:val="auto"/>
              </w:rPr>
            </w:pPr>
            <w:r>
              <w:rPr>
                <w:rFonts w:ascii="Arial" w:cs="Arial" w:eastAsia="Arial" w:hAnsi="Arial"/>
                <w:sz w:val="20"/>
                <w:szCs w:val="20"/>
                <w:color w:val="auto"/>
                <w:w w:val="98"/>
              </w:rPr>
              <w:t>12.8%</w:t>
            </w:r>
          </w:p>
        </w:tc>
        <w:tc>
          <w:tcPr>
            <w:tcW w:w="1760" w:type="dxa"/>
            <w:vAlign w:val="bottom"/>
            <w:gridSpan w:val="2"/>
          </w:tcPr>
          <w:p>
            <w:pPr>
              <w:jc w:val="right"/>
              <w:ind w:right="20"/>
              <w:spacing w:after="0"/>
              <w:rPr>
                <w:sz w:val="20"/>
                <w:szCs w:val="20"/>
                <w:color w:val="auto"/>
              </w:rPr>
            </w:pPr>
            <w:r>
              <w:rPr>
                <w:rFonts w:ascii="Arial" w:cs="Arial" w:eastAsia="Arial" w:hAnsi="Arial"/>
                <w:sz w:val="20"/>
                <w:szCs w:val="20"/>
                <w:color w:val="auto"/>
              </w:rPr>
              <w:t>8.1%</w:t>
            </w:r>
          </w:p>
        </w:tc>
      </w:tr>
      <w:tr>
        <w:trPr>
          <w:trHeight w:val="243"/>
        </w:trPr>
        <w:tc>
          <w:tcPr>
            <w:tcW w:w="88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w w:val="98"/>
              </w:rPr>
              <w:t>13.3%</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8.1%</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gridSpan w:val="7"/>
          </w:tcPr>
          <w:p>
            <w:pPr>
              <w:jc w:val="center"/>
              <w:ind w:right="12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40" w:type="dxa"/>
            <w:vAlign w:val="bottom"/>
            <w:tcBorders>
              <w:bottom w:val="single" w:sz="8" w:color="auto"/>
            </w:tcBorders>
            <w:gridSpan w:val="5"/>
          </w:tcPr>
          <w:p>
            <w:pPr>
              <w:jc w:val="center"/>
              <w:ind w:left="981"/>
              <w:spacing w:after="0"/>
              <w:rPr>
                <w:sz w:val="20"/>
                <w:szCs w:val="20"/>
                <w:color w:val="auto"/>
              </w:rPr>
            </w:pPr>
            <w:r>
              <w:rPr>
                <w:rFonts w:ascii="Arial" w:cs="Arial" w:eastAsia="Arial" w:hAnsi="Arial"/>
                <w:sz w:val="20"/>
                <w:szCs w:val="20"/>
                <w:color w:val="auto"/>
                <w:w w:val="92"/>
              </w:rPr>
              <w:t>March 31,</w:t>
            </w:r>
          </w:p>
        </w:tc>
        <w:tc>
          <w:tcPr>
            <w:tcW w:w="1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2016</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8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3440" w:type="dxa"/>
            <w:vAlign w:val="bottom"/>
            <w:gridSpan w:val="6"/>
          </w:tcPr>
          <w:p>
            <w:pPr>
              <w:jc w:val="center"/>
              <w:spacing w:after="0"/>
              <w:rPr>
                <w:sz w:val="20"/>
                <w:szCs w:val="20"/>
                <w:color w:val="auto"/>
              </w:rPr>
            </w:pPr>
            <w:r>
              <w:rPr>
                <w:rFonts w:ascii="Arial" w:cs="Arial" w:eastAsia="Arial" w:hAnsi="Arial"/>
                <w:sz w:val="20"/>
                <w:szCs w:val="20"/>
                <w:i w:val="1"/>
                <w:iCs w:val="1"/>
                <w:color w:val="auto"/>
                <w:w w:val="87"/>
              </w:rPr>
              <w:t>(Tons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860" w:type="dxa"/>
            <w:vAlign w:val="bottom"/>
            <w:gridSpan w:val="3"/>
            <w:vMerge w:val="continue"/>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1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40"/>
              <w:spacing w:after="0"/>
              <w:rPr>
                <w:sz w:val="20"/>
                <w:szCs w:val="20"/>
                <w:color w:val="auto"/>
              </w:rPr>
            </w:pPr>
            <w:r>
              <w:rPr>
                <w:rFonts w:ascii="Arial" w:cs="Arial" w:eastAsia="Arial" w:hAnsi="Arial"/>
                <w:sz w:val="20"/>
                <w:szCs w:val="20"/>
                <w:color w:val="auto"/>
              </w:rPr>
              <w:t>Mid-America Group</w:t>
            </w:r>
          </w:p>
        </w:tc>
        <w:tc>
          <w:tcPr>
            <w:tcW w:w="1580" w:type="dxa"/>
            <w:vAlign w:val="bottom"/>
            <w:gridSpan w:val="2"/>
          </w:tcPr>
          <w:p>
            <w:pPr>
              <w:jc w:val="right"/>
              <w:ind w:right="20"/>
              <w:spacing w:after="0"/>
              <w:rPr>
                <w:sz w:val="20"/>
                <w:szCs w:val="20"/>
                <w:color w:val="auto"/>
              </w:rPr>
            </w:pPr>
            <w:r>
              <w:rPr>
                <w:rFonts w:ascii="Arial" w:cs="Arial" w:eastAsia="Arial" w:hAnsi="Arial"/>
                <w:sz w:val="20"/>
                <w:szCs w:val="20"/>
                <w:color w:val="auto"/>
              </w:rPr>
              <w:t>12,922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10,110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4,318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West Group</w:t>
            </w: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15,279</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14,636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32,519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28,836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1580" w:type="dxa"/>
            <w:vAlign w:val="bottom"/>
            <w:gridSpan w:val="2"/>
          </w:tcPr>
          <w:p>
            <w:pPr>
              <w:jc w:val="right"/>
              <w:ind w:right="20"/>
              <w:spacing w:after="0"/>
              <w:rPr>
                <w:sz w:val="20"/>
                <w:szCs w:val="20"/>
                <w:color w:val="auto"/>
              </w:rPr>
            </w:pPr>
            <w:r>
              <w:rPr>
                <w:rFonts w:ascii="Arial" w:cs="Arial" w:eastAsia="Arial" w:hAnsi="Arial"/>
                <w:sz w:val="20"/>
                <w:szCs w:val="20"/>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32,665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28,836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60" w:type="dxa"/>
            <w:vAlign w:val="bottom"/>
            <w:gridSpan w:val="7"/>
          </w:tcPr>
          <w:p>
            <w:pPr>
              <w:jc w:val="center"/>
              <w:ind w:right="500"/>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jc w:val="center"/>
              <w:ind w:left="621"/>
              <w:spacing w:after="0"/>
              <w:rPr>
                <w:sz w:val="20"/>
                <w:szCs w:val="20"/>
                <w:color w:val="auto"/>
              </w:rPr>
            </w:pPr>
            <w:r>
              <w:rPr>
                <w:rFonts w:ascii="Arial" w:cs="Arial" w:eastAsia="Arial" w:hAnsi="Arial"/>
                <w:sz w:val="20"/>
                <w:szCs w:val="20"/>
                <w:color w:val="auto"/>
                <w:w w:val="92"/>
              </w:rPr>
              <w:t>March 31,</w:t>
            </w:r>
          </w:p>
        </w:tc>
        <w:tc>
          <w:tcPr>
            <w:tcW w:w="1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2016</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8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2340" w:type="dxa"/>
            <w:vAlign w:val="bottom"/>
            <w:gridSpan w:val="5"/>
          </w:tcPr>
          <w:p>
            <w:pPr>
              <w:jc w:val="center"/>
              <w:ind w:left="621"/>
              <w:spacing w:after="0"/>
              <w:rPr>
                <w:sz w:val="20"/>
                <w:szCs w:val="20"/>
                <w:color w:val="auto"/>
              </w:rPr>
            </w:pPr>
            <w:r>
              <w:rPr>
                <w:rFonts w:ascii="Arial" w:cs="Arial" w:eastAsia="Arial" w:hAnsi="Arial"/>
                <w:sz w:val="20"/>
                <w:szCs w:val="20"/>
                <w:i w:val="1"/>
                <w:iCs w:val="1"/>
                <w:color w:val="auto"/>
                <w:w w:val="88"/>
              </w:rPr>
              <w:t>(Tons in Thousands)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860" w:type="dxa"/>
            <w:vAlign w:val="bottom"/>
            <w:gridSpan w:val="3"/>
            <w:vMerge w:val="continue"/>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1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1380" w:type="dxa"/>
            <w:vAlign w:val="bottom"/>
          </w:tcPr>
          <w:p>
            <w:pPr>
              <w:jc w:val="right"/>
              <w:spacing w:after="0"/>
              <w:rPr>
                <w:sz w:val="20"/>
                <w:szCs w:val="20"/>
                <w:color w:val="auto"/>
              </w:rPr>
            </w:pPr>
            <w:r>
              <w:rPr>
                <w:rFonts w:ascii="Arial" w:cs="Arial" w:eastAsia="Arial" w:hAnsi="Arial"/>
                <w:sz w:val="20"/>
                <w:szCs w:val="20"/>
                <w:color w:val="auto"/>
              </w:rPr>
              <w:t>30,603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27,132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1,916</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480" w:type="dxa"/>
            <w:vAlign w:val="bottom"/>
            <w:gridSpan w:val="2"/>
          </w:tcPr>
          <w:p>
            <w:pPr>
              <w:spacing w:after="0"/>
              <w:rPr>
                <w:sz w:val="20"/>
                <w:szCs w:val="20"/>
                <w:color w:val="auto"/>
              </w:rPr>
            </w:pPr>
            <w:r>
              <w:rPr>
                <w:rFonts w:ascii="Arial" w:cs="Arial" w:eastAsia="Arial" w:hAnsi="Arial"/>
                <w:sz w:val="20"/>
                <w:szCs w:val="20"/>
                <w:color w:val="auto"/>
              </w:rPr>
              <w:t>Total heritage aggregates tons</w:t>
            </w:r>
          </w:p>
        </w:tc>
        <w:tc>
          <w:tcPr>
            <w:tcW w:w="3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32,519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28,836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4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141</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38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acquisition aggregates tons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146</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60" w:hanging="252"/>
        <w:spacing w:after="0" w:line="250" w:lineRule="auto"/>
        <w:tabs>
          <w:tab w:leader="none" w:pos="260" w:val="left"/>
        </w:tabs>
        <w:numPr>
          <w:ilvl w:val="0"/>
          <w:numId w:val="21"/>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Product Line and Heritage Aggregates Operations exclude volume and pricing data for acquisitions that have not been included in operations for a full year.</w:t>
      </w:r>
    </w:p>
    <w:p>
      <w:pPr>
        <w:ind w:left="260" w:hanging="252"/>
        <w:spacing w:after="0"/>
        <w:tabs>
          <w:tab w:leader="none" w:pos="260" w:val="left"/>
        </w:tabs>
        <w:numPr>
          <w:ilvl w:val="0"/>
          <w:numId w:val="21"/>
        </w:numPr>
        <w:rPr>
          <w:rFonts w:ascii="Arial" w:cs="Arial" w:eastAsia="Arial" w:hAnsi="Arial"/>
          <w:sz w:val="15"/>
          <w:szCs w:val="15"/>
          <w:i w:val="1"/>
          <w:iCs w:val="1"/>
          <w:color w:val="auto"/>
        </w:rPr>
      </w:pPr>
      <w:r>
        <w:rPr>
          <w:rFonts w:ascii="Arial" w:cs="Arial" w:eastAsia="Arial" w:hAnsi="Arial"/>
          <w:sz w:val="18"/>
          <w:szCs w:val="18"/>
          <w:i w:val="1"/>
          <w:iCs w:val="1"/>
          <w:color w:val="auto"/>
        </w:rPr>
        <w:t>Aggregates Product Line includes all acquisitions from the date of acquisition and divestitures through the date of disposal.</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product line shipments reflect growth in all end-use markets. Shipments to the infrastructure market comprised 39% of quarterly volumes and increased 13%. Growth was driven by large projects in North Carolina and Georgia, two states that passed legislation in 2015 increasing near and long-term state infrastructure spending.</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nonresidential market represented 33% of quarterly aggregates product line shipments and increased 14%. The Mid-America Group led with a 50% increase in heavy nonresidential and 25% in light nonresidential. Notably, an improving economy is driving business investment in, for example, industrial warehouse and distribution facilities, which have been dormant in much of the Mid-America Group’s markets over the past several years. The West Group saw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slight increase in nonresidential activity as the diversified Texas economy generated a broad range of projects replacing energy-related shale shipments currently displaced by volatile oil prices.</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residential end-use market accounted for 18% of quarterly aggregates product line shipments. Volumes within this market increased 20% as the housing recovery continues and expands, particularly in the Corporation’s markets in the southeastern United States. Housing activity in the United States generally remains well below historic averages. That said, housing permits, starts and completions are all up more than ten percent for the trailing-twelve months ended March 2016. Notably, during the first quarter, North Carolina, Iowa, Florida and South Carolina all reported double-digit growth in housing starts. The ChemRock/Rail market accounted for the remaining 10% of aggregates product line volumes and increased slightly.</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Overall, aggregates product line shipments increased 13.1%. Geographically, growth was led by the Mid-America Group, which increased 27.8%. The Southeast and West Groups achieved an increase of 5.6% and 4.4%, respectively.</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average per-ton selling price for the heritage aggregates product line was $13.04 and $12.06 for the three months ended March 31, 2016 and 2015, respectively. Aggregates product line pricing improvement of 8.1% reflects growth in all reportable groups, led by the 11.3% increase in the West Group. The most significant improvement was achieved in Colorado, followed by Central and South Texas. The Southeast Group and Mid-America Group reported increases of 7.3% and 4.3%, respectively. The average per-ton selling price for the acquired aggregates product line was $12.50 for the three months ended March 31, 2016.</w:t>
      </w:r>
    </w:p>
    <w:p>
      <w:pPr>
        <w:spacing w:after="0" w:line="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Corporation’s aggregates-related downstream product lines include asphalt, ready mixed concrete and road paving businesses in Arkansas, Colorado, Texas and Wyoming. Average selling prices by product line for the Corporation’s aggregates-related downstream product lines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20" w:type="dxa"/>
            <w:vAlign w:val="bottom"/>
          </w:tcPr>
          <w:p>
            <w:pPr>
              <w:spacing w:after="0"/>
              <w:rPr>
                <w:sz w:val="20"/>
                <w:szCs w:val="20"/>
                <w:color w:val="auto"/>
              </w:rPr>
            </w:pPr>
          </w:p>
        </w:tc>
        <w:tc>
          <w:tcPr>
            <w:tcW w:w="4600" w:type="dxa"/>
            <w:vAlign w:val="bottom"/>
            <w:gridSpan w:val="5"/>
          </w:tcPr>
          <w:p>
            <w:pPr>
              <w:jc w:val="center"/>
              <w:ind w:right="120"/>
              <w:spacing w:after="0"/>
              <w:rPr>
                <w:sz w:val="20"/>
                <w:szCs w:val="20"/>
                <w:color w:val="auto"/>
              </w:rPr>
            </w:pPr>
            <w:r>
              <w:rPr>
                <w:rFonts w:ascii="Arial" w:cs="Arial" w:eastAsia="Arial" w:hAnsi="Arial"/>
                <w:sz w:val="20"/>
                <w:szCs w:val="20"/>
                <w:color w:val="auto"/>
                <w:w w:val="89"/>
              </w:rPr>
              <w:t>Three Months Ended</w:t>
            </w:r>
          </w:p>
        </w:tc>
      </w:tr>
      <w:tr>
        <w:trPr>
          <w:trHeight w:val="246"/>
        </w:trPr>
        <w:tc>
          <w:tcPr>
            <w:tcW w:w="68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900" w:type="dxa"/>
            <w:vAlign w:val="bottom"/>
            <w:gridSpan w:val="4"/>
          </w:tcPr>
          <w:p>
            <w:pPr>
              <w:jc w:val="center"/>
              <w:ind w:right="1840"/>
              <w:spacing w:after="0"/>
              <w:rPr>
                <w:sz w:val="20"/>
                <w:szCs w:val="20"/>
                <w:color w:val="auto"/>
              </w:rPr>
            </w:pPr>
            <w:r>
              <w:rPr>
                <w:rFonts w:ascii="Arial" w:cs="Arial" w:eastAsia="Arial" w:hAnsi="Arial"/>
                <w:sz w:val="20"/>
                <w:szCs w:val="20"/>
                <w:color w:val="auto"/>
                <w:w w:val="92"/>
              </w:rPr>
              <w:t>March 31,</w:t>
            </w:r>
          </w:p>
        </w:tc>
      </w:tr>
      <w:tr>
        <w:trPr>
          <w:trHeight w:val="237"/>
        </w:trPr>
        <w:tc>
          <w:tcPr>
            <w:tcW w:w="6820" w:type="dxa"/>
            <w:vAlign w:val="bottom"/>
          </w:tcPr>
          <w:p>
            <w:pPr>
              <w:spacing w:after="0"/>
              <w:rPr>
                <w:sz w:val="20"/>
                <w:szCs w:val="20"/>
                <w:color w:val="auto"/>
              </w:rPr>
            </w:pPr>
          </w:p>
        </w:tc>
        <w:tc>
          <w:tcPr>
            <w:tcW w:w="1700" w:type="dxa"/>
            <w:vAlign w:val="bottom"/>
            <w:tcBorders>
              <w:top w:val="single" w:sz="8" w:color="auto"/>
            </w:tcBorders>
          </w:tcPr>
          <w:p>
            <w:pPr>
              <w:jc w:val="center"/>
              <w:ind w:left="361"/>
              <w:spacing w:after="0"/>
              <w:rPr>
                <w:sz w:val="20"/>
                <w:szCs w:val="20"/>
                <w:color w:val="auto"/>
              </w:rPr>
            </w:pPr>
            <w:r>
              <w:rPr>
                <w:rFonts w:ascii="Arial" w:cs="Arial" w:eastAsia="Arial" w:hAnsi="Arial"/>
                <w:sz w:val="20"/>
                <w:szCs w:val="20"/>
                <w:color w:val="auto"/>
                <w:w w:val="89"/>
              </w:rPr>
              <w:t>2016</w:t>
            </w:r>
          </w:p>
        </w:tc>
        <w:tc>
          <w:tcPr>
            <w:tcW w:w="2800" w:type="dxa"/>
            <w:vAlign w:val="bottom"/>
            <w:tcBorders>
              <w:top w:val="single" w:sz="8" w:color="auto"/>
            </w:tcBorders>
            <w:gridSpan w:val="3"/>
          </w:tcPr>
          <w:p>
            <w:pPr>
              <w:jc w:val="center"/>
              <w:ind w:left="581"/>
              <w:spacing w:after="0"/>
              <w:rPr>
                <w:sz w:val="20"/>
                <w:szCs w:val="20"/>
                <w:color w:val="auto"/>
              </w:rPr>
            </w:pPr>
            <w:r>
              <w:rPr>
                <w:rFonts w:ascii="Arial" w:cs="Arial" w:eastAsia="Arial" w:hAnsi="Arial"/>
                <w:sz w:val="20"/>
                <w:szCs w:val="20"/>
                <w:color w:val="auto"/>
                <w:w w:val="89"/>
              </w:rPr>
              <w:t>2015</w:t>
            </w:r>
          </w:p>
        </w:tc>
        <w:tc>
          <w:tcPr>
            <w:tcW w:w="100" w:type="dxa"/>
            <w:vAlign w:val="bottom"/>
          </w:tcPr>
          <w:p>
            <w:pPr>
              <w:spacing w:after="0"/>
              <w:rPr>
                <w:sz w:val="20"/>
                <w:szCs w:val="20"/>
                <w:color w:val="auto"/>
              </w:rPr>
            </w:pPr>
          </w:p>
        </w:tc>
      </w:tr>
      <w:tr>
        <w:trPr>
          <w:trHeight w:val="237"/>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Heritage:</w:t>
            </w:r>
          </w:p>
        </w:tc>
        <w:tc>
          <w:tcPr>
            <w:tcW w:w="17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6820" w:type="dxa"/>
            <w:vAlign w:val="bottom"/>
          </w:tcPr>
          <w:p>
            <w:pPr>
              <w:ind w:left="140"/>
              <w:spacing w:after="0"/>
              <w:rPr>
                <w:sz w:val="20"/>
                <w:szCs w:val="20"/>
                <w:color w:val="auto"/>
              </w:rPr>
            </w:pPr>
            <w:r>
              <w:rPr>
                <w:rFonts w:ascii="Arial" w:cs="Arial" w:eastAsia="Arial" w:hAnsi="Arial"/>
                <w:sz w:val="20"/>
                <w:szCs w:val="20"/>
                <w:color w:val="auto"/>
              </w:rPr>
              <w:t>Asphalt</w:t>
            </w:r>
          </w:p>
        </w:tc>
        <w:tc>
          <w:tcPr>
            <w:tcW w:w="1700" w:type="dxa"/>
            <w:vAlign w:val="bottom"/>
          </w:tcPr>
          <w:p>
            <w:pPr>
              <w:jc w:val="center"/>
              <w:ind w:left="361"/>
              <w:spacing w:after="0"/>
              <w:rPr>
                <w:sz w:val="20"/>
                <w:szCs w:val="20"/>
                <w:color w:val="auto"/>
              </w:rPr>
            </w:pPr>
            <w:r>
              <w:rPr>
                <w:rFonts w:ascii="Arial" w:cs="Arial" w:eastAsia="Arial" w:hAnsi="Arial"/>
                <w:sz w:val="20"/>
                <w:szCs w:val="20"/>
                <w:color w:val="auto"/>
                <w:w w:val="88"/>
              </w:rPr>
              <w:t>$42.85/ton</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$43.65/ton</w:t>
            </w:r>
          </w:p>
        </w:tc>
      </w:tr>
      <w:tr>
        <w:trPr>
          <w:trHeight w:val="243"/>
        </w:trPr>
        <w:tc>
          <w:tcPr>
            <w:tcW w:w="68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Ready Mixed Concrete</w:t>
            </w:r>
          </w:p>
        </w:tc>
        <w:tc>
          <w:tcPr>
            <w:tcW w:w="1700" w:type="dxa"/>
            <w:vAlign w:val="bottom"/>
            <w:shd w:val="clear" w:color="auto" w:fill="CFF0FC"/>
          </w:tcPr>
          <w:p>
            <w:pPr>
              <w:jc w:val="center"/>
              <w:ind w:left="361"/>
              <w:spacing w:after="0"/>
              <w:rPr>
                <w:sz w:val="20"/>
                <w:szCs w:val="20"/>
                <w:color w:val="auto"/>
              </w:rPr>
            </w:pPr>
            <w:r>
              <w:rPr>
                <w:rFonts w:ascii="Arial" w:cs="Arial" w:eastAsia="Arial" w:hAnsi="Arial"/>
                <w:sz w:val="20"/>
                <w:szCs w:val="20"/>
                <w:color w:val="auto"/>
                <w:w w:val="90"/>
              </w:rPr>
              <w:t>$102.28/yd³</w:t>
            </w: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20"/>
                <w:szCs w:val="20"/>
                <w:color w:val="auto"/>
                <w:w w:val="90"/>
              </w:rPr>
              <w:t>$91.72/yd³</w:t>
            </w:r>
          </w:p>
        </w:tc>
      </w:tr>
      <w:tr>
        <w:trPr>
          <w:trHeight w:val="243"/>
        </w:trPr>
        <w:tc>
          <w:tcPr>
            <w:tcW w:w="6820" w:type="dxa"/>
            <w:vAlign w:val="bottom"/>
          </w:tcPr>
          <w:p>
            <w:pPr>
              <w:spacing w:after="0"/>
              <w:rPr>
                <w:sz w:val="20"/>
                <w:szCs w:val="20"/>
                <w:color w:val="auto"/>
              </w:rPr>
            </w:pPr>
            <w:r>
              <w:rPr>
                <w:rFonts w:ascii="Arial" w:cs="Arial" w:eastAsia="Arial" w:hAnsi="Arial"/>
                <w:sz w:val="20"/>
                <w:szCs w:val="20"/>
                <w:color w:val="auto"/>
              </w:rPr>
              <w:t>Acquisitions:</w:t>
            </w:r>
          </w:p>
        </w:tc>
        <w:tc>
          <w:tcPr>
            <w:tcW w:w="1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8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Asphalt</w:t>
            </w:r>
          </w:p>
        </w:tc>
        <w:tc>
          <w:tcPr>
            <w:tcW w:w="1700" w:type="dxa"/>
            <w:vAlign w:val="bottom"/>
            <w:shd w:val="clear" w:color="auto" w:fill="CFF0FC"/>
          </w:tcPr>
          <w:p>
            <w:pPr>
              <w:jc w:val="center"/>
              <w:ind w:left="361"/>
              <w:spacing w:after="0"/>
              <w:rPr>
                <w:sz w:val="20"/>
                <w:szCs w:val="20"/>
                <w:color w:val="auto"/>
              </w:rPr>
            </w:pPr>
            <w:r>
              <w:rPr>
                <w:rFonts w:ascii="Arial" w:cs="Arial" w:eastAsia="Arial" w:hAnsi="Arial"/>
                <w:sz w:val="20"/>
                <w:szCs w:val="20"/>
                <w:color w:val="auto"/>
                <w:w w:val="88"/>
              </w:rPr>
              <w:t>$39.95/ton</w:t>
            </w: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ind w:left="980"/>
              <w:spacing w:after="0"/>
              <w:rPr>
                <w:sz w:val="20"/>
                <w:szCs w:val="20"/>
                <w:color w:val="auto"/>
              </w:rPr>
            </w:pPr>
            <w:r>
              <w:rPr>
                <w:rFonts w:ascii="Arial" w:cs="Arial" w:eastAsia="Arial" w:hAnsi="Arial"/>
                <w:sz w:val="20"/>
                <w:szCs w:val="20"/>
                <w:color w:val="auto"/>
              </w:rPr>
              <w:t>—</w:t>
            </w:r>
          </w:p>
        </w:tc>
      </w:tr>
      <w:tr>
        <w:trPr>
          <w:trHeight w:val="250"/>
        </w:trPr>
        <w:tc>
          <w:tcPr>
            <w:tcW w:w="6820" w:type="dxa"/>
            <w:vAlign w:val="bottom"/>
          </w:tcPr>
          <w:p>
            <w:pPr>
              <w:ind w:left="140"/>
              <w:spacing w:after="0"/>
              <w:rPr>
                <w:sz w:val="20"/>
                <w:szCs w:val="20"/>
                <w:color w:val="auto"/>
              </w:rPr>
            </w:pPr>
            <w:r>
              <w:rPr>
                <w:rFonts w:ascii="Arial" w:cs="Arial" w:eastAsia="Arial" w:hAnsi="Arial"/>
                <w:sz w:val="20"/>
                <w:szCs w:val="20"/>
                <w:color w:val="auto"/>
              </w:rPr>
              <w:t>Ready Mixed Concrete</w:t>
            </w:r>
          </w:p>
        </w:tc>
        <w:tc>
          <w:tcPr>
            <w:tcW w:w="1700" w:type="dxa"/>
            <w:vAlign w:val="bottom"/>
          </w:tcPr>
          <w:p>
            <w:pPr>
              <w:jc w:val="center"/>
              <w:ind w:left="361"/>
              <w:spacing w:after="0"/>
              <w:rPr>
                <w:sz w:val="20"/>
                <w:szCs w:val="20"/>
                <w:color w:val="auto"/>
              </w:rPr>
            </w:pPr>
            <w:r>
              <w:rPr>
                <w:rFonts w:ascii="Arial" w:cs="Arial" w:eastAsia="Arial" w:hAnsi="Arial"/>
                <w:sz w:val="20"/>
                <w:szCs w:val="20"/>
                <w:color w:val="auto"/>
                <w:w w:val="90"/>
              </w:rPr>
              <w:t>$115.84/yd³</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2"/>
          </w:tcPr>
          <w:p>
            <w:pPr>
              <w:ind w:left="98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Unit shipments by product line for the Corporation’s aggregates-related downstream product lines are as follows:</w:t>
      </w:r>
    </w:p>
    <w:p>
      <w:pPr>
        <w:spacing w:after="0" w:line="243" w:lineRule="exact"/>
        <w:rPr>
          <w:sz w:val="20"/>
          <w:szCs w:val="20"/>
          <w:color w:val="auto"/>
        </w:rPr>
      </w:pPr>
    </w:p>
    <w:p>
      <w:pPr>
        <w:jc w:val="center"/>
        <w:ind w:left="732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7320"/>
        <w:spacing w:after="0"/>
        <w:rPr>
          <w:sz w:val="20"/>
          <w:szCs w:val="20"/>
          <w:color w:val="auto"/>
        </w:rPr>
      </w:pPr>
      <w:r>
        <w:rPr>
          <w:rFonts w:ascii="Arial" w:cs="Arial" w:eastAsia="Arial" w:hAnsi="Arial"/>
          <w:sz w:val="20"/>
          <w:szCs w:val="20"/>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gridSpan w:val="2"/>
          </w:tcPr>
          <w:p>
            <w:pPr>
              <w:spacing w:after="0"/>
              <w:rPr>
                <w:sz w:val="20"/>
                <w:szCs w:val="20"/>
                <w:color w:val="auto"/>
              </w:rPr>
            </w:pP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2016</w:t>
            </w: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Asphalt Product Line (in thousands):</w:t>
            </w:r>
          </w:p>
        </w:tc>
        <w:tc>
          <w:tcPr>
            <w:tcW w:w="12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rPr>
              <w:t>69</w:t>
            </w: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road paving business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440" w:type="dxa"/>
            <w:vAlign w:val="bottom"/>
            <w:gridSpan w:val="2"/>
          </w:tcPr>
          <w:p>
            <w:pPr>
              <w:spacing w:after="0"/>
              <w:rPr>
                <w:sz w:val="20"/>
                <w:szCs w:val="20"/>
                <w:color w:val="auto"/>
              </w:rPr>
            </w:pPr>
            <w:r>
              <w:rPr>
                <w:rFonts w:ascii="Arial" w:cs="Arial" w:eastAsia="Arial" w:hAnsi="Arial"/>
                <w:sz w:val="20"/>
                <w:szCs w:val="20"/>
                <w:color w:val="auto"/>
              </w:rPr>
              <w:t>Total heritage asphalt tons</w:t>
            </w:r>
          </w:p>
        </w:tc>
        <w:tc>
          <w:tcPr>
            <w:tcW w:w="12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300" w:type="dxa"/>
            <w:vAlign w:val="bottom"/>
          </w:tcPr>
          <w:p>
            <w:pPr>
              <w:spacing w:after="0"/>
              <w:rPr>
                <w:sz w:val="24"/>
                <w:szCs w:val="2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4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4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3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7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thousands of cubic yards):</w:t>
            </w: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gridSpan w:val="2"/>
          </w:tcPr>
          <w:p>
            <w:pPr>
              <w:ind w:left="240"/>
              <w:spacing w:after="0"/>
              <w:rPr>
                <w:sz w:val="20"/>
                <w:szCs w:val="20"/>
                <w:color w:val="auto"/>
              </w:rPr>
            </w:pPr>
            <w:r>
              <w:rPr>
                <w:rFonts w:ascii="Arial" w:cs="Arial" w:eastAsia="Arial" w:hAnsi="Arial"/>
                <w:sz w:val="20"/>
                <w:szCs w:val="20"/>
                <w:color w:val="auto"/>
              </w:rPr>
              <w:t>Heritage</w:t>
            </w:r>
          </w:p>
        </w:tc>
        <w:tc>
          <w:tcPr>
            <w:tcW w:w="580" w:type="dxa"/>
            <w:vAlign w:val="bottom"/>
          </w:tcPr>
          <w:p>
            <w:pPr>
              <w:jc w:val="right"/>
              <w:spacing w:after="0"/>
              <w:rPr>
                <w:sz w:val="20"/>
                <w:szCs w:val="20"/>
                <w:color w:val="auto"/>
              </w:rPr>
            </w:pPr>
            <w:r>
              <w:rPr>
                <w:rFonts w:ascii="Arial" w:cs="Arial" w:eastAsia="Arial" w:hAnsi="Arial"/>
                <w:sz w:val="20"/>
                <w:szCs w:val="20"/>
                <w:color w:val="auto"/>
              </w:rPr>
              <w:t>1,763</w:t>
            </w: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1,363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Acquisitions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3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20"/>
                <w:szCs w:val="20"/>
                <w:color w:val="auto"/>
              </w:rPr>
              <w:t>Total cubic yards</w:t>
            </w:r>
          </w:p>
        </w:tc>
        <w:tc>
          <w:tcPr>
            <w:tcW w:w="1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1,786</w:t>
            </w:r>
          </w:p>
        </w:tc>
        <w:tc>
          <w:tcPr>
            <w:tcW w:w="300" w:type="dxa"/>
            <w:vAlign w:val="bottom"/>
          </w:tcPr>
          <w:p>
            <w:pPr>
              <w:spacing w:after="0"/>
              <w:rPr>
                <w:sz w:val="20"/>
                <w:szCs w:val="20"/>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decline in asphalt product line shipments is primarily attributable to the divestiture of San Antonio Asphalt operations, sold in third quarter 2015, which contributed 123,000 tons during the three months ended March 31, 2015.</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ready mixed concrete product line benefitted from strong demand and much improved operating conditions, driving a reported 31.0% increase in shipments and an 11.7% increase in average selling price, resulting in a 46.4% increase in net sales and an 810-basis-point improvement in gross margin (excluding freight and delivery revenues).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Aggregates business is significantly affected by erratic weather patterns, seasonal changes and other weather-related conditions. Production and shipment levels for aggregates, asphalt, ready mixed concrete and road paving materials correlate with general construction activity levels, most of which occurs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Corporation. Because of the potentially significant impact of weather on the Corporation’s operations, current period and year to date results are not indicative of expected performance for other interim periods or the full year.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Cement Business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Cement business benefitted from strong demand and better weather in Texas and for the quarter generated $69.9 million of net sales and $32.6 million of gross profit. Cement shipments increased 13.8% coupled with a 3.6% improvement in pricing (excluding the impact of the California cement operations sold in 2015). The Corporation’s reported quarterly gross margin (excluding freight and delivery revenues) of 46.6% compared very favorably to the prior year quarter’s 35.9% (excluding the impact of the California cement operations sold in 2015), which was partly aided by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favorable energy costs. The business announced price increases effective April 1, 2016. However, there is a lag time before the full impact of the price increases are realized.</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Cement business is benefitting from broad based strength in Texas markets, where demand exceeds local supply. During the first quarter 2016, the business incurred $5.6 million in planned cement kiln maintenance costs, and expects to incur $2.7 million, $12.6 million and $1.5 million in the second, third and fourth quarters,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Cement shipments for the three months ended March 31 were (tons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60" w:type="dxa"/>
            <w:vAlign w:val="bottom"/>
            <w:gridSpan w:val="2"/>
          </w:tcPr>
          <w:p>
            <w:pPr>
              <w:jc w:val="right"/>
              <w:ind w:right="240"/>
              <w:spacing w:after="0"/>
              <w:rPr>
                <w:sz w:val="20"/>
                <w:szCs w:val="20"/>
                <w:color w:val="auto"/>
              </w:rPr>
            </w:pPr>
            <w:r>
              <w:rPr>
                <w:rFonts w:ascii="Arial" w:cs="Arial" w:eastAsia="Arial" w:hAnsi="Arial"/>
                <w:sz w:val="20"/>
                <w:szCs w:val="20"/>
                <w:color w:val="auto"/>
              </w:rPr>
              <w:t>2016</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tcPr>
          <w:p>
            <w:pPr>
              <w:jc w:val="right"/>
              <w:ind w:right="721"/>
              <w:spacing w:after="0"/>
              <w:rPr>
                <w:sz w:val="20"/>
                <w:szCs w:val="20"/>
                <w:color w:val="auto"/>
              </w:rPr>
            </w:pPr>
            <w:r>
              <w:rPr>
                <w:rFonts w:ascii="Arial" w:cs="Arial" w:eastAsia="Arial" w:hAnsi="Arial"/>
                <w:sz w:val="20"/>
                <w:szCs w:val="20"/>
                <w:color w:val="auto"/>
              </w:rPr>
              <w:t>2015</w:t>
            </w:r>
          </w:p>
        </w:tc>
        <w:tc>
          <w:tcPr>
            <w:tcW w:w="120" w:type="dxa"/>
            <w:vAlign w:val="bottom"/>
          </w:tcPr>
          <w:p>
            <w:pPr>
              <w:spacing w:after="0"/>
              <w:rPr>
                <w:sz w:val="21"/>
                <w:szCs w:val="21"/>
                <w:color w:val="auto"/>
              </w:rPr>
            </w:pPr>
          </w:p>
        </w:tc>
      </w:tr>
      <w:tr>
        <w:trPr>
          <w:trHeight w:val="237"/>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Tons to external customers</w:t>
            </w:r>
          </w:p>
        </w:tc>
        <w:tc>
          <w:tcPr>
            <w:tcW w:w="14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685</w:t>
            </w:r>
          </w:p>
        </w:tc>
        <w:tc>
          <w:tcPr>
            <w:tcW w:w="340" w:type="dxa"/>
            <w:vAlign w:val="bottom"/>
            <w:tcBorders>
              <w:top w:val="single" w:sz="8" w:color="CFF0FC"/>
            </w:tcBorders>
            <w:shd w:val="clear" w:color="auto" w:fill="CFF0FC"/>
          </w:tcPr>
          <w:p>
            <w:pPr>
              <w:spacing w:after="0"/>
              <w:rPr>
                <w:sz w:val="20"/>
                <w:szCs w:val="20"/>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1,025</w:t>
            </w: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8360" w:type="dxa"/>
            <w:vAlign w:val="bottom"/>
            <w:gridSpan w:val="2"/>
          </w:tcPr>
          <w:p>
            <w:pPr>
              <w:spacing w:after="0"/>
              <w:rPr>
                <w:sz w:val="20"/>
                <w:szCs w:val="20"/>
                <w:color w:val="auto"/>
              </w:rPr>
            </w:pPr>
            <w:r>
              <w:rPr>
                <w:rFonts w:ascii="Arial" w:cs="Arial" w:eastAsia="Arial" w:hAnsi="Arial"/>
                <w:sz w:val="20"/>
                <w:szCs w:val="20"/>
                <w:color w:val="auto"/>
              </w:rPr>
              <w:t>Internal tons used in other product lines</w:t>
            </w:r>
          </w:p>
        </w:tc>
        <w:tc>
          <w:tcPr>
            <w:tcW w:w="580" w:type="dxa"/>
            <w:vAlign w:val="bottom"/>
          </w:tcPr>
          <w:p>
            <w:pPr>
              <w:jc w:val="right"/>
              <w:spacing w:after="0"/>
              <w:rPr>
                <w:sz w:val="20"/>
                <w:szCs w:val="20"/>
                <w:color w:val="auto"/>
              </w:rPr>
            </w:pPr>
            <w:r>
              <w:rPr>
                <w:rFonts w:ascii="Arial" w:cs="Arial" w:eastAsia="Arial" w:hAnsi="Arial"/>
                <w:sz w:val="20"/>
                <w:szCs w:val="20"/>
                <w:color w:val="auto"/>
              </w:rPr>
              <w:t>272</w:t>
            </w:r>
          </w:p>
        </w:tc>
        <w:tc>
          <w:tcPr>
            <w:tcW w:w="3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192</w:t>
            </w:r>
          </w:p>
        </w:tc>
        <w:tc>
          <w:tcPr>
            <w:tcW w:w="120" w:type="dxa"/>
            <w:vAlign w:val="bottom"/>
          </w:tcPr>
          <w:p>
            <w:pPr>
              <w:spacing w:after="0"/>
              <w:rPr>
                <w:sz w:val="21"/>
                <w:szCs w:val="21"/>
                <w:color w:val="auto"/>
              </w:rPr>
            </w:pPr>
          </w:p>
        </w:tc>
      </w:tr>
      <w:tr>
        <w:trPr>
          <w:trHeight w:val="237"/>
        </w:trPr>
        <w:tc>
          <w:tcPr>
            <w:tcW w:w="69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Total cement tons</w:t>
            </w:r>
          </w:p>
        </w:tc>
        <w:tc>
          <w:tcPr>
            <w:tcW w:w="146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957</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decline in 2016 shipments is attributable to the prior-year divestiture of the California operations, which accounted for 376,000 tons in the first-quarter of 2015.</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Portland Cement Association, or PCA, forecasts continued favorable supply/demand imbalance in Texas over the next several years. Further, the PCA currently forecasts growth each year through 2019.</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Magnesia Specialties continued to deliver strong performance and generated first-quarter net sales of $59.5 million. Gross margin (excluding freight and delivery revenues) in the quarter expanded 430 basis points to a record 38.6%. First-quarter earnings from operations were $20.6 million compared with $17.8 million.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gross profit, quarter ended March 31, 2015</w:t>
            </w:r>
          </w:p>
        </w:tc>
        <w:tc>
          <w:tcPr>
            <w:tcW w:w="6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74,261</w:t>
            </w:r>
          </w:p>
        </w:tc>
        <w:tc>
          <w:tcPr>
            <w:tcW w:w="100" w:type="dxa"/>
            <w:vAlign w:val="bottom"/>
            <w:tcBorders>
              <w:bottom w:val="single" w:sz="8" w:color="CFF0FC"/>
            </w:tcBorders>
          </w:tcPr>
          <w:p>
            <w:pPr>
              <w:spacing w:after="0"/>
              <w:rPr>
                <w:sz w:val="21"/>
                <w:szCs w:val="21"/>
                <w:color w:val="auto"/>
              </w:rPr>
            </w:pPr>
          </w:p>
        </w:tc>
      </w:tr>
      <w:tr>
        <w:trPr>
          <w:trHeight w:val="237"/>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Heritage aggregates product line:</w:t>
            </w:r>
          </w:p>
        </w:tc>
        <w:tc>
          <w:tcPr>
            <w:tcW w:w="6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Volume strength</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45,158</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 strength</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31,815</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Cost increases, net</w:t>
            </w: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(36,125)</w:t>
            </w:r>
          </w:p>
        </w:tc>
      </w:tr>
      <w:tr>
        <w:trPr>
          <w:trHeight w:val="237"/>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Increase in heritage aggregates product line gross profit</w:t>
            </w:r>
          </w:p>
        </w:tc>
        <w:tc>
          <w:tcPr>
            <w:tcW w:w="6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40,848</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Heritage aggregates-related downstream product lines</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14,756</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Acquired Aggregates business operations</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(1,325)</w:t>
            </w: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Increase in Cement</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13,571</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Increase in Magnesia Specialties</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2,792</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Decrease in Corporate</w:t>
            </w: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(269)</w:t>
            </w:r>
          </w:p>
        </w:tc>
      </w:tr>
      <w:tr>
        <w:trPr>
          <w:trHeight w:val="237"/>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Increase in consolidated gross profit</w:t>
            </w: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70,373</w:t>
            </w:r>
          </w:p>
        </w:tc>
        <w:tc>
          <w:tcPr>
            <w:tcW w:w="100" w:type="dxa"/>
            <w:vAlign w:val="bottom"/>
            <w:tcBorders>
              <w:top w:val="single" w:sz="8" w:color="CFF0FC"/>
            </w:tcBorders>
            <w:shd w:val="clear" w:color="auto" w:fill="CFF0FC"/>
          </w:tcPr>
          <w:p>
            <w:pPr>
              <w:spacing w:after="0"/>
              <w:rPr>
                <w:sz w:val="20"/>
                <w:szCs w:val="20"/>
                <w:color w:val="auto"/>
              </w:rPr>
            </w:pPr>
          </w:p>
        </w:tc>
      </w:tr>
      <w:tr>
        <w:trPr>
          <w:trHeight w:val="237"/>
        </w:trPr>
        <w:tc>
          <w:tcPr>
            <w:tcW w:w="9400" w:type="dxa"/>
            <w:vAlign w:val="bottom"/>
          </w:tcPr>
          <w:p>
            <w:pPr>
              <w:spacing w:after="0"/>
              <w:rPr>
                <w:sz w:val="20"/>
                <w:szCs w:val="20"/>
                <w:color w:val="auto"/>
              </w:rPr>
            </w:pPr>
            <w:r>
              <w:rPr>
                <w:rFonts w:ascii="Arial" w:cs="Arial" w:eastAsia="Arial" w:hAnsi="Arial"/>
                <w:sz w:val="20"/>
                <w:szCs w:val="20"/>
                <w:color w:val="auto"/>
              </w:rPr>
              <w:t>Consolidated gross profit, quarter ended March 31, 2016</w:t>
            </w:r>
          </w:p>
        </w:tc>
        <w:tc>
          <w:tcPr>
            <w:tcW w:w="6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144,634</w:t>
            </w:r>
          </w:p>
        </w:tc>
        <w:tc>
          <w:tcPr>
            <w:tcW w:w="100" w:type="dxa"/>
            <w:vAlign w:val="bottom"/>
          </w:tcPr>
          <w:p>
            <w:pPr>
              <w:spacing w:after="0"/>
              <w:rPr>
                <w:sz w:val="20"/>
                <w:szCs w:val="20"/>
                <w:color w:val="auto"/>
              </w:rPr>
            </w:pPr>
          </w:p>
        </w:tc>
      </w:tr>
      <w:tr>
        <w:trPr>
          <w:trHeight w:val="20"/>
        </w:trPr>
        <w:tc>
          <w:tcPr>
            <w:tcW w:w="9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60" w:type="dxa"/>
            <w:vAlign w:val="bottom"/>
            <w:gridSpan w:val="3"/>
          </w:tcPr>
          <w:p>
            <w:pPr>
              <w:spacing w:after="0"/>
              <w:rPr>
                <w:sz w:val="20"/>
                <w:szCs w:val="20"/>
                <w:color w:val="auto"/>
              </w:rPr>
            </w:pPr>
            <w:r>
              <w:rPr>
                <w:rFonts w:ascii="Arial" w:cs="Arial" w:eastAsia="Arial" w:hAnsi="Arial"/>
                <w:sz w:val="20"/>
                <w:szCs w:val="20"/>
                <w:color w:val="auto"/>
              </w:rPr>
              <w:t>Gross profit (loss) by business is as follows:</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60" w:type="dxa"/>
            <w:vAlign w:val="bottom"/>
            <w:gridSpan w:val="4"/>
          </w:tcPr>
          <w:p>
            <w:pPr>
              <w:jc w:val="center"/>
              <w:spacing w:after="0"/>
              <w:rPr>
                <w:sz w:val="20"/>
                <w:szCs w:val="20"/>
                <w:color w:val="auto"/>
              </w:rPr>
            </w:pPr>
            <w:r>
              <w:rPr>
                <w:rFonts w:ascii="Arial" w:cs="Arial" w:eastAsia="Arial" w:hAnsi="Arial"/>
                <w:sz w:val="20"/>
                <w:szCs w:val="20"/>
                <w:color w:val="auto"/>
                <w:w w:val="89"/>
              </w:rPr>
              <w:t>Three Months Ended</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9"/>
              </w:rPr>
              <w:t>March 31,</w:t>
            </w: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2016</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6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160" w:type="dxa"/>
            <w:vAlign w:val="bottom"/>
            <w:gridSpan w:val="4"/>
          </w:tcPr>
          <w:p>
            <w:pPr>
              <w:jc w:val="center"/>
              <w:spacing w:after="0"/>
              <w:rPr>
                <w:sz w:val="20"/>
                <w:szCs w:val="20"/>
                <w:color w:val="auto"/>
              </w:rPr>
            </w:pPr>
            <w:r>
              <w:rPr>
                <w:rFonts w:ascii="Arial" w:cs="Arial" w:eastAsia="Arial" w:hAnsi="Arial"/>
                <w:sz w:val="20"/>
                <w:szCs w:val="20"/>
                <w:i w:val="1"/>
                <w:iCs w:val="1"/>
                <w:color w:val="auto"/>
                <w:w w:val="91"/>
              </w:rPr>
              <w:t>(Dollars in Thousands)</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76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Heritage:</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480"/>
              <w:spacing w:after="0"/>
              <w:rPr>
                <w:sz w:val="20"/>
                <w:szCs w:val="20"/>
                <w:color w:val="auto"/>
              </w:rPr>
            </w:pPr>
            <w:r>
              <w:rPr>
                <w:rFonts w:ascii="Arial" w:cs="Arial" w:eastAsia="Arial" w:hAnsi="Arial"/>
                <w:sz w:val="20"/>
                <w:szCs w:val="20"/>
                <w:color w:val="auto"/>
              </w:rPr>
              <w:t>Aggregates</w:t>
            </w:r>
          </w:p>
        </w:tc>
        <w:tc>
          <w:tcPr>
            <w:tcW w:w="2820" w:type="dxa"/>
            <w:vAlign w:val="bottom"/>
            <w:gridSpan w:val="2"/>
          </w:tcPr>
          <w:p>
            <w:pPr>
              <w:jc w:val="right"/>
              <w:ind w:right="136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82,265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681"/>
              <w:spacing w:after="0"/>
              <w:rPr>
                <w:sz w:val="20"/>
                <w:szCs w:val="20"/>
                <w:color w:val="auto"/>
              </w:rPr>
            </w:pPr>
            <w:r>
              <w:rPr>
                <w:rFonts w:ascii="Arial" w:cs="Arial" w:eastAsia="Arial" w:hAnsi="Arial"/>
                <w:sz w:val="20"/>
                <w:szCs w:val="20"/>
                <w:color w:val="auto"/>
                <w:w w:val="71"/>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41,417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ind w:left="480"/>
              <w:spacing w:after="0"/>
              <w:rPr>
                <w:sz w:val="20"/>
                <w:szCs w:val="20"/>
                <w:color w:val="auto"/>
              </w:rPr>
            </w:pPr>
            <w:r>
              <w:rPr>
                <w:rFonts w:ascii="Arial" w:cs="Arial" w:eastAsia="Arial" w:hAnsi="Arial"/>
                <w:sz w:val="20"/>
                <w:szCs w:val="20"/>
                <w:color w:val="auto"/>
              </w:rPr>
              <w:t>Asphalt</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(2,067)</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(1,463)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480"/>
              <w:spacing w:after="0"/>
              <w:rPr>
                <w:sz w:val="20"/>
                <w:szCs w:val="20"/>
                <w:color w:val="auto"/>
              </w:rPr>
            </w:pPr>
            <w:r>
              <w:rPr>
                <w:rFonts w:ascii="Arial" w:cs="Arial" w:eastAsia="Arial" w:hAnsi="Arial"/>
                <w:sz w:val="20"/>
                <w:szCs w:val="20"/>
                <w:color w:val="auto"/>
              </w:rPr>
              <w:t>Ready Mixed Concrete</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2,084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ind w:left="480"/>
              <w:spacing w:after="0"/>
              <w:rPr>
                <w:sz w:val="20"/>
                <w:szCs w:val="20"/>
                <w:color w:val="auto"/>
              </w:rPr>
            </w:pPr>
            <w:r>
              <w:rPr>
                <w:rFonts w:ascii="Arial" w:cs="Arial" w:eastAsia="Arial" w:hAnsi="Arial"/>
                <w:sz w:val="20"/>
                <w:szCs w:val="20"/>
                <w:color w:val="auto"/>
              </w:rPr>
              <w:t>Road Paving</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(3,867)</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(3,311)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480"/>
              <w:spacing w:after="0"/>
              <w:rPr>
                <w:sz w:val="20"/>
                <w:szCs w:val="20"/>
                <w:color w:val="auto"/>
              </w:rPr>
            </w:pPr>
            <w:r>
              <w:rPr>
                <w:rFonts w:ascii="Arial" w:cs="Arial" w:eastAsia="Arial" w:hAnsi="Arial"/>
                <w:sz w:val="20"/>
                <w:szCs w:val="20"/>
                <w:color w:val="auto"/>
              </w:rPr>
              <w:t>Total Aggregates Business</w:t>
            </w:r>
          </w:p>
        </w:tc>
        <w:tc>
          <w:tcPr>
            <w:tcW w:w="126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94,331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32,556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20"/>
                <w:szCs w:val="20"/>
                <w:color w:val="auto"/>
              </w:rPr>
              <w:t>Magnesia Specialties</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20,178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(3,898)</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(3,629)</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20"/>
                <w:szCs w:val="20"/>
                <w:color w:val="auto"/>
              </w:rPr>
              <w:t>Total Heritage</w:t>
            </w:r>
          </w:p>
        </w:tc>
        <w:tc>
          <w:tcPr>
            <w:tcW w:w="126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145,959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74,261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Acquisitions:</w:t>
            </w:r>
          </w:p>
        </w:tc>
        <w:tc>
          <w:tcPr>
            <w:tcW w:w="1260" w:type="dxa"/>
            <w:vAlign w:val="bottom"/>
            <w:tcBorders>
              <w:top w:val="single" w:sz="8" w:color="CFF0FC"/>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20"/>
                <w:szCs w:val="20"/>
                <w:color w:val="auto"/>
              </w:rPr>
              <w:t>Aggregates</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(1,182)</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Asphalt</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(202)</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20"/>
                <w:szCs w:val="20"/>
                <w:color w:val="auto"/>
              </w:rPr>
              <w:t>Ready Mixed Concrete</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Road Paving</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(27)</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20"/>
                <w:szCs w:val="20"/>
                <w:color w:val="auto"/>
              </w:rPr>
              <w:t>Total Acquisitions</w:t>
            </w:r>
          </w:p>
        </w:tc>
        <w:tc>
          <w:tcPr>
            <w:tcW w:w="126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126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ind w:right="136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144,634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81"/>
              <w:spacing w:after="0"/>
              <w:rPr>
                <w:sz w:val="20"/>
                <w:szCs w:val="20"/>
                <w:color w:val="auto"/>
              </w:rPr>
            </w:pPr>
            <w:r>
              <w:rPr>
                <w:rFonts w:ascii="Arial" w:cs="Arial" w:eastAsia="Arial" w:hAnsi="Arial"/>
                <w:sz w:val="20"/>
                <w:szCs w:val="20"/>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74,261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consolidated heritage gross margin (excluding freight and delivery revenues) for the quarter was 20%, an 830-basis-point improvement compared with the prior-year quarter. The increase reflects better weather, which lead to increased shipments, pricing growth, management’s cost-disciplined approach and divesting the low-margin California cement operations in the third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Consolidated SG&amp;A was 8.2% of net sales compared with 7.8% in the prior-year quarter. The increase of 40 basis points reflects increased incentive compensation costs and continued investment in information systems improvements. Earnings from operations for the quarter were $83.8 million compared with $25.6 million in the prior-year quarter.</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first quarter, consolidated other operating income and expenses, net, was an expense of $0.6 million in 2016 and income of $2.4 million in 2015.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nonoperating income and expenses, net, includes foreign currency transaction gains and losses, interest and other miscellaneous income and equity adjustments for nonconsolidated affiliates.</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estimated effective income tax rate for the quarter was 30%, in line with annual guidance. For the year, the Company expects to fully utilize the remaining allowable net operating loss carryforwards of $33 million acquired with TXI.</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Cash provided by operating activities for the first quarter was $67.1 million compared with $35.1 million for the same period in 2015. The increase was primarily attributable to higher earnings before depreciation, depletion and amortization expense. Operating cash flow is primarily derived from consolidated net earnings before deducting depreciation, depletion and amortization, and the impact of changes in working capital. Depreciation, depletion and amortization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40" w:type="dxa"/>
            <w:vAlign w:val="bottom"/>
          </w:tcPr>
          <w:p>
            <w:pPr>
              <w:spacing w:after="0"/>
              <w:rPr>
                <w:sz w:val="21"/>
                <w:szCs w:val="21"/>
                <w:color w:val="auto"/>
              </w:rPr>
            </w:pPr>
          </w:p>
        </w:tc>
        <w:tc>
          <w:tcPr>
            <w:tcW w:w="2880" w:type="dxa"/>
            <w:vAlign w:val="bottom"/>
            <w:gridSpan w:val="4"/>
          </w:tcPr>
          <w:p>
            <w:pPr>
              <w:jc w:val="center"/>
              <w:ind w:left="461"/>
              <w:spacing w:after="0"/>
              <w:rPr>
                <w:sz w:val="20"/>
                <w:szCs w:val="20"/>
                <w:color w:val="auto"/>
              </w:rPr>
            </w:pPr>
            <w:r>
              <w:rPr>
                <w:rFonts w:ascii="Arial" w:cs="Arial" w:eastAsia="Arial" w:hAnsi="Arial"/>
                <w:sz w:val="20"/>
                <w:szCs w:val="20"/>
                <w:color w:val="auto"/>
                <w:w w:val="89"/>
              </w:rPr>
              <w:t>Three Months Ended</w:t>
            </w:r>
          </w:p>
        </w:tc>
        <w:tc>
          <w:tcPr>
            <w:tcW w:w="700" w:type="dxa"/>
            <w:vAlign w:val="bottom"/>
          </w:tcPr>
          <w:p>
            <w:pPr>
              <w:spacing w:after="0"/>
              <w:rPr>
                <w:sz w:val="21"/>
                <w:szCs w:val="21"/>
                <w:color w:val="auto"/>
              </w:rPr>
            </w:pPr>
          </w:p>
        </w:tc>
      </w:tr>
      <w:tr>
        <w:trPr>
          <w:trHeight w:val="246"/>
        </w:trPr>
        <w:tc>
          <w:tcPr>
            <w:tcW w:w="78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right="341"/>
              <w:spacing w:after="0"/>
              <w:rPr>
                <w:sz w:val="20"/>
                <w:szCs w:val="20"/>
                <w:color w:val="auto"/>
              </w:rPr>
            </w:pPr>
            <w:r>
              <w:rPr>
                <w:rFonts w:ascii="Arial" w:cs="Arial" w:eastAsia="Arial" w:hAnsi="Arial"/>
                <w:sz w:val="20"/>
                <w:szCs w:val="20"/>
                <w:color w:val="auto"/>
                <w:w w:val="89"/>
              </w:rPr>
              <w:t>March 31,</w:t>
            </w:r>
          </w:p>
        </w:tc>
        <w:tc>
          <w:tcPr>
            <w:tcW w:w="700" w:type="dxa"/>
            <w:vAlign w:val="bottom"/>
            <w:tcBorders>
              <w:bottom w:val="single" w:sz="8" w:color="auto"/>
            </w:tcBorders>
          </w:tcPr>
          <w:p>
            <w:pPr>
              <w:spacing w:after="0"/>
              <w:rPr>
                <w:sz w:val="21"/>
                <w:szCs w:val="21"/>
                <w:color w:val="auto"/>
              </w:rPr>
            </w:pPr>
          </w:p>
        </w:tc>
      </w:tr>
      <w:tr>
        <w:trPr>
          <w:trHeight w:val="237"/>
        </w:trPr>
        <w:tc>
          <w:tcPr>
            <w:tcW w:w="78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2016</w:t>
            </w: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2015</w:t>
            </w:r>
          </w:p>
        </w:tc>
        <w:tc>
          <w:tcPr>
            <w:tcW w:w="700" w:type="dxa"/>
            <w:vAlign w:val="bottom"/>
            <w:tcBorders>
              <w:bottom w:val="single" w:sz="8" w:color="auto"/>
            </w:tcBorders>
          </w:tcPr>
          <w:p>
            <w:pPr>
              <w:spacing w:after="0"/>
              <w:rPr>
                <w:sz w:val="20"/>
                <w:szCs w:val="20"/>
                <w:color w:val="auto"/>
              </w:rPr>
            </w:pPr>
          </w:p>
        </w:tc>
      </w:tr>
      <w:tr>
        <w:trPr>
          <w:trHeight w:val="233"/>
        </w:trPr>
        <w:tc>
          <w:tcPr>
            <w:tcW w:w="7840" w:type="dxa"/>
            <w:vAlign w:val="bottom"/>
          </w:tcPr>
          <w:p>
            <w:pPr>
              <w:spacing w:after="0"/>
              <w:rPr>
                <w:sz w:val="20"/>
                <w:szCs w:val="20"/>
                <w:color w:val="auto"/>
              </w:rPr>
            </w:pPr>
          </w:p>
        </w:tc>
        <w:tc>
          <w:tcPr>
            <w:tcW w:w="2880" w:type="dxa"/>
            <w:vAlign w:val="bottom"/>
            <w:gridSpan w:val="4"/>
          </w:tcPr>
          <w:p>
            <w:pPr>
              <w:jc w:val="center"/>
              <w:ind w:left="461"/>
              <w:spacing w:after="0"/>
              <w:rPr>
                <w:sz w:val="20"/>
                <w:szCs w:val="20"/>
                <w:color w:val="auto"/>
              </w:rPr>
            </w:pPr>
            <w:r>
              <w:rPr>
                <w:rFonts w:ascii="Arial" w:cs="Arial" w:eastAsia="Arial" w:hAnsi="Arial"/>
                <w:sz w:val="20"/>
                <w:szCs w:val="20"/>
                <w:i w:val="1"/>
                <w:iCs w:val="1"/>
                <w:color w:val="auto"/>
                <w:w w:val="91"/>
              </w:rPr>
              <w:t>(Dollars in Thousands)</w:t>
            </w:r>
          </w:p>
        </w:tc>
        <w:tc>
          <w:tcPr>
            <w:tcW w:w="700" w:type="dxa"/>
            <w:vAlign w:val="bottom"/>
          </w:tcPr>
          <w:p>
            <w:pPr>
              <w:spacing w:after="0"/>
              <w:rPr>
                <w:sz w:val="20"/>
                <w:szCs w:val="20"/>
                <w:color w:val="auto"/>
              </w:rPr>
            </w:pPr>
          </w:p>
        </w:tc>
      </w:tr>
      <w:tr>
        <w:trPr>
          <w:trHeight w:val="246"/>
        </w:trPr>
        <w:tc>
          <w:tcPr>
            <w:tcW w:w="7840" w:type="dxa"/>
            <w:vAlign w:val="bottom"/>
          </w:tcPr>
          <w:p>
            <w:pPr>
              <w:spacing w:after="0"/>
              <w:rPr>
                <w:sz w:val="20"/>
                <w:szCs w:val="20"/>
                <w:color w:val="auto"/>
              </w:rPr>
            </w:pPr>
            <w:r>
              <w:rPr>
                <w:rFonts w:ascii="Arial" w:cs="Arial" w:eastAsia="Arial" w:hAnsi="Arial"/>
                <w:sz w:val="20"/>
                <w:szCs w:val="20"/>
                <w:color w:val="auto"/>
              </w:rPr>
              <w:t>Depreciation</w:t>
            </w:r>
          </w:p>
        </w:tc>
        <w:tc>
          <w:tcPr>
            <w:tcW w:w="1000" w:type="dxa"/>
            <w:vAlign w:val="bottom"/>
          </w:tcPr>
          <w:p>
            <w:pPr>
              <w:jc w:val="right"/>
              <w:ind w:right="801"/>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ind w:right="21"/>
              <w:spacing w:after="0"/>
              <w:rPr>
                <w:sz w:val="20"/>
                <w:szCs w:val="20"/>
                <w:color w:val="auto"/>
              </w:rPr>
            </w:pPr>
            <w:r>
              <w:rPr>
                <w:rFonts w:ascii="Arial" w:cs="Arial" w:eastAsia="Arial" w:hAnsi="Arial"/>
                <w:sz w:val="20"/>
                <w:szCs w:val="20"/>
                <w:color w:val="auto"/>
                <w:w w:val="88"/>
              </w:rPr>
              <w:t>61,353</w:t>
            </w:r>
          </w:p>
        </w:tc>
        <w:tc>
          <w:tcPr>
            <w:tcW w:w="180" w:type="dxa"/>
            <w:vAlign w:val="bottom"/>
          </w:tcPr>
          <w:p>
            <w:pPr>
              <w:spacing w:after="0"/>
              <w:rPr>
                <w:sz w:val="21"/>
                <w:szCs w:val="21"/>
                <w:color w:val="auto"/>
              </w:rPr>
            </w:pPr>
          </w:p>
        </w:tc>
        <w:tc>
          <w:tcPr>
            <w:tcW w:w="1020" w:type="dxa"/>
            <w:vAlign w:val="bottom"/>
          </w:tcPr>
          <w:p>
            <w:pPr>
              <w:jc w:val="right"/>
              <w:ind w:right="801"/>
              <w:spacing w:after="0"/>
              <w:rPr>
                <w:sz w:val="20"/>
                <w:szCs w:val="20"/>
                <w:color w:val="auto"/>
              </w:rPr>
            </w:pPr>
            <w:r>
              <w:rPr>
                <w:rFonts w:ascii="Arial" w:cs="Arial" w:eastAsia="Arial" w:hAnsi="Arial"/>
                <w:sz w:val="20"/>
                <w:szCs w:val="20"/>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20"/>
                <w:szCs w:val="20"/>
                <w:color w:val="auto"/>
                <w:w w:val="88"/>
              </w:rPr>
              <w:t>59,796</w:t>
            </w:r>
          </w:p>
        </w:tc>
      </w:tr>
      <w:tr>
        <w:trPr>
          <w:trHeight w:val="243"/>
        </w:trPr>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Depletion</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3,236</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3,078</w:t>
            </w:r>
          </w:p>
        </w:tc>
      </w:tr>
      <w:tr>
        <w:trPr>
          <w:trHeight w:val="243"/>
        </w:trPr>
        <w:tc>
          <w:tcPr>
            <w:tcW w:w="78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Amortization</w:t>
            </w:r>
          </w:p>
        </w:tc>
        <w:tc>
          <w:tcPr>
            <w:tcW w:w="10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3,821</w:t>
            </w:r>
          </w:p>
        </w:tc>
        <w:tc>
          <w:tcPr>
            <w:tcW w:w="18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4,394</w:t>
            </w:r>
          </w:p>
        </w:tc>
      </w:tr>
      <w:tr>
        <w:trPr>
          <w:trHeight w:val="237"/>
        </w:trPr>
        <w:tc>
          <w:tcPr>
            <w:tcW w:w="78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8"/>
              </w:rPr>
              <w:t>68,410</w:t>
            </w: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89"/>
              </w:rPr>
              <w:t>$</w:t>
            </w:r>
          </w:p>
        </w:tc>
        <w:tc>
          <w:tcPr>
            <w:tcW w:w="7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88"/>
              </w:rPr>
              <w:t>67,268</w:t>
            </w:r>
          </w:p>
        </w:tc>
      </w:tr>
      <w:tr>
        <w:trPr>
          <w:trHeight w:val="20"/>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seasonal nature of the construction aggregates business impacts quarterly operating cash flow when compared with the full year. Full-year 2015 net cash provided by operating activities was $573.2 million compared with $35.1 million for the first three months of 2015.</w:t>
      </w:r>
    </w:p>
    <w:p>
      <w:pPr>
        <w:spacing w:after="0" w:line="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first three months ended March 31, 2016, the Corporation invested $94.2 million of capital into its business. Full-year capital spending is expected to approximate $350 million.</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quarter ended March 31, 2016, the Corporation acquired the outstanding stock of Rocky Mountain Materials and Asphalt, Inc., and Rocky Mountain Premix Inc. The acquisition included four aggregates plants, two asphalt plants and two ready mixed concrete operations, and provides more than 500 million tons of mineral reserves and expands the Corporation’s presence along the Front Range of the Rocky Mountains, home to 80% of Colorado’s population.</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Corporation can repurchase its common stock through open-market purchases pursuant to authority granted by its Board of Directors or through private transactions at such prices and upon such terms as the Chief Executive Officer deems appropriate. During the first quarter, the Corporation repurchased 1,028,000 shares of common stock for $150 million. At March 31, 2016, 15,686,000 shares of common stock were remaining under the Corporation’s repurchase authorization.</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Credit Agreement (which consists of a $250 million Term Loan Facility and a $350 million Revolving Facility) requires the Corporation’s ratio of consolidated debt to consolidated earnings before interest, taxes, depreciation, depletion and amortization (“EBITDA”), as defined, for the trailing twelve month period (the Ratio) to not exceed 3.50x as of the end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any fiscal quarter, provided that the Corporation may exclude from the Ratio debt incurred in connection with certain acquisitions for a period of 180 days so long as the Corporation, as a consequence of such specified acquisition, does not have its ratings on long-term unsecured debt fall below BBB by Standard &amp; Poor’s or Baa2 by Moody’s and the Ratio calculated without such exclusion does not exceed 3.75x. Additionally, if there are no amounts outstanding under the Revolving Facility, consolidated debt, including debt for which the Corporation is a co-borrower, will be reduced for purposes of the covenant calculation by the Corporation’s unrestricted cash and cash equivalents in excess of $50 million, such reduction not to exceed $200 million.</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Ratio is calculated as debt, including debt for which the Corporation is a co-borrower, divided by consolidated EBITDA, as defined by the Credit Agreement, for the trailing 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noncash items, if they occur, can affect the calculation of consolidated EBITDA.</w:t>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accordance with the amended Credit Agreement, the Corporation adjusted consolidated EBITDA to add back any integration or similar costs or expenses related to the TXI business combination incurred in any period prior to the second anniversary of the closing of the TXI business combination, not to exceed $70,000,000.</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March 31, 2016, the Corporation’s ratio of consolidated debt to consolidated EBITDA, as defined, for the trailing-twelve months EBITDA was 2.09 times and was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April 1, 2015 to</w:t>
            </w:r>
          </w:p>
        </w:tc>
        <w:tc>
          <w:tcPr>
            <w:tcW w:w="0" w:type="dxa"/>
            <w:vAlign w:val="bottom"/>
          </w:tcPr>
          <w:p>
            <w:pPr>
              <w:spacing w:after="0"/>
              <w:rPr>
                <w:sz w:val="1"/>
                <w:szCs w:val="1"/>
                <w:color w:val="auto"/>
              </w:rPr>
            </w:pPr>
          </w:p>
        </w:tc>
      </w:tr>
      <w:tr>
        <w:trPr>
          <w:trHeight w:val="246"/>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March 31, 2016</w:t>
            </w:r>
          </w:p>
        </w:tc>
        <w:tc>
          <w:tcPr>
            <w:tcW w:w="0" w:type="dxa"/>
            <w:vAlign w:val="bottom"/>
          </w:tcPr>
          <w:p>
            <w:pPr>
              <w:spacing w:after="0"/>
              <w:rPr>
                <w:sz w:val="1"/>
                <w:szCs w:val="1"/>
                <w:color w:val="auto"/>
              </w:rPr>
            </w:pPr>
          </w:p>
        </w:tc>
      </w:tr>
      <w:tr>
        <w:trPr>
          <w:trHeight w:val="233"/>
        </w:trPr>
        <w:tc>
          <w:tcPr>
            <w:tcW w:w="9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i w:val="1"/>
                <w:iCs w:val="1"/>
                <w:color w:val="auto"/>
                <w:w w:val="92"/>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9000" w:type="dxa"/>
            <w:vAlign w:val="bottom"/>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327,661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spacing w:after="0"/>
              <w:rPr>
                <w:sz w:val="20"/>
                <w:szCs w:val="20"/>
                <w:color w:val="auto"/>
              </w:rPr>
            </w:pPr>
            <w:r>
              <w:rPr>
                <w:rFonts w:ascii="Arial" w:cs="Arial" w:eastAsia="Arial" w:hAnsi="Arial"/>
                <w:sz w:val="20"/>
                <w:szCs w:val="20"/>
                <w:color w:val="auto"/>
              </w:rPr>
              <w:t>Add back:</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76,991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145,286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262,485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Stock-based compensation expense</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17,910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Acquisition-related expenses, net, related to the TXI acquisition</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20,616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spacing w:after="0"/>
              <w:rPr>
                <w:sz w:val="20"/>
                <w:szCs w:val="20"/>
                <w:color w:val="auto"/>
              </w:rPr>
            </w:pPr>
            <w:r>
              <w:rPr>
                <w:rFonts w:ascii="Arial" w:cs="Arial" w:eastAsia="Arial" w:hAnsi="Arial"/>
                <w:sz w:val="20"/>
                <w:szCs w:val="20"/>
                <w:color w:val="auto"/>
              </w:rPr>
              <w:t>Deduct:</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Interest income</w:t>
            </w:r>
          </w:p>
        </w:tc>
        <w:tc>
          <w:tcPr>
            <w:tcW w:w="180" w:type="dxa"/>
            <w:vAlign w:val="bottom"/>
          </w:tcPr>
          <w:p>
            <w:pPr>
              <w:spacing w:after="0"/>
              <w:rPr>
                <w:sz w:val="21"/>
                <w:szCs w:val="21"/>
                <w:color w:val="auto"/>
              </w:rPr>
            </w:pPr>
          </w:p>
        </w:tc>
        <w:tc>
          <w:tcPr>
            <w:tcW w:w="2240" w:type="dxa"/>
            <w:vAlign w:val="bottom"/>
            <w:gridSpan w:val="2"/>
          </w:tcPr>
          <w:p>
            <w:pPr>
              <w:jc w:val="right"/>
              <w:ind w:right="60"/>
              <w:spacing w:after="0"/>
              <w:rPr>
                <w:sz w:val="20"/>
                <w:szCs w:val="20"/>
                <w:color w:val="auto"/>
              </w:rPr>
            </w:pPr>
            <w:r>
              <w:rPr>
                <w:rFonts w:ascii="Arial" w:cs="Arial" w:eastAsia="Arial" w:hAnsi="Arial"/>
                <w:sz w:val="20"/>
                <w:szCs w:val="20"/>
                <w:color w:val="auto"/>
              </w:rPr>
              <w:t>(549)</w:t>
            </w:r>
          </w:p>
        </w:tc>
        <w:tc>
          <w:tcPr>
            <w:tcW w:w="0" w:type="dxa"/>
            <w:vAlign w:val="bottom"/>
          </w:tcPr>
          <w:p>
            <w:pPr>
              <w:spacing w:after="0"/>
              <w:rPr>
                <w:sz w:val="1"/>
                <w:szCs w:val="1"/>
                <w:color w:val="auto"/>
              </w:rPr>
            </w:pPr>
          </w:p>
        </w:tc>
      </w:tr>
      <w:tr>
        <w:trPr>
          <w:trHeight w:val="237"/>
        </w:trPr>
        <w:tc>
          <w:tcPr>
            <w:tcW w:w="9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EBITDA, as defined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850,400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20"/>
                <w:szCs w:val="20"/>
                <w:color w:val="auto"/>
              </w:rPr>
              <w:t>Consolidated debt, including debt for which the Corporation is a co-borrower,</w:t>
            </w: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9000" w:type="dxa"/>
            <w:vAlign w:val="bottom"/>
            <w:tcBorders>
              <w:bottom w:val="single" w:sz="8" w:color="CFF0FC"/>
            </w:tcBorders>
          </w:tcPr>
          <w:p>
            <w:pPr>
              <w:ind w:left="200"/>
              <w:spacing w:after="0"/>
              <w:rPr>
                <w:sz w:val="20"/>
                <w:szCs w:val="20"/>
                <w:color w:val="auto"/>
              </w:rPr>
            </w:pPr>
            <w:r>
              <w:rPr>
                <w:rFonts w:ascii="Arial" w:cs="Arial" w:eastAsia="Arial" w:hAnsi="Arial"/>
                <w:sz w:val="20"/>
                <w:szCs w:val="20"/>
                <w:color w:val="auto"/>
              </w:rPr>
              <w:t>at March 31,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1,777,064</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0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debt to consolidated EBITDA, as defined, at March 31, 2016</w:t>
            </w:r>
          </w:p>
        </w:tc>
        <w:tc>
          <w:tcPr>
            <w:tcW w:w="18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90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for the trailing-twelve months EBITDA</w:t>
            </w:r>
          </w:p>
        </w:tc>
        <w:tc>
          <w:tcPr>
            <w:tcW w:w="1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2.09x</w:t>
            </w:r>
          </w:p>
        </w:tc>
        <w:tc>
          <w:tcPr>
            <w:tcW w:w="0" w:type="dxa"/>
            <w:vAlign w:val="bottom"/>
          </w:tcPr>
          <w:p>
            <w:pPr>
              <w:spacing w:after="0"/>
              <w:rPr>
                <w:sz w:val="1"/>
                <w:szCs w:val="1"/>
                <w:color w:val="auto"/>
              </w:rPr>
            </w:pPr>
          </w:p>
        </w:tc>
      </w:tr>
      <w:tr>
        <w:trPr>
          <w:trHeight w:val="20"/>
        </w:trPr>
        <w:tc>
          <w:tcPr>
            <w:tcW w:w="9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Trade Receivable Facility contains a cross-default provision to the Corporation’s other debt agreements. In the event of a default on the Ratio, the lenders can terminate the Credit Agreement and Trade Receivable Facility and declare 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outstanding balances as immediately due. Outstanding amounts on the Trade Receivable Facility have been classified as a current liability on the Corporation’s consolidated balance sheet.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On April 5, 2016, the Corporation repaid the $30,000,000 outstanding on the Revolving Facility.</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Cash on hand, along with the Corporation’s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At March 31, 2016, the Corporation had $407 million of unused borrowing capacity under its Revolving Facility and Trade Receivable Facility, subject to complying with the related leverage covenant. The Revolving Facility expires on November 29, 2018 and the Trade Receivable Facility expires on September 30, 2016.</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Corporation may be required to obtain financing to fund certain strategic acquisitions, if any such opportunities arise, or to refinance outstanding debt. Any strategic acquisition of size for cash would likely require an appropriate balance of newly-issued equity with debt in order to maintain a composite investment-grade credit rating. Furthermore, the Corporation is exposed to the credit markets, through the interest cost related to its variable-rate debt, which included borrowings under its Term Loan Facility at March 31, 2016. The Corporation is currently rated by three credit rating agencies; two of those agencies’ credit ratings are investment-grade level and the third agency’s credit rating is one level below investment grade. The Corporation’s composite credit rating remains at investment-grade level, which facilitates obtaining financing at lower rates than noninvestment-grade ratings.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outlined the risks associated with its business in its Annual Report on Form 10-K for the year ended December 31, 2015.</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continues to evaluate its exposure to all operating risks on an ongoing basis.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The Corporation is encouraged by positive trends in the markets it serves and its ability to execute its strategic business plans. Notably:</w:t>
      </w:r>
    </w:p>
    <w:p>
      <w:pPr>
        <w:spacing w:after="0" w:line="119" w:lineRule="exact"/>
        <w:rPr>
          <w:sz w:val="20"/>
          <w:szCs w:val="20"/>
          <w:color w:val="auto"/>
        </w:rPr>
      </w:pPr>
    </w:p>
    <w:p>
      <w:pPr>
        <w:jc w:val="both"/>
        <w:ind w:left="960" w:hanging="452"/>
        <w:spacing w:after="0" w:line="291"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For the public sector, modest growth is expected in 2016 as new monies begin to flow into the system, particularly in the second half of the year. Additionally, state initiatives to finance infrastructure projects, including support from TIFIA (Transportation Infrastructure Finance and Innovation Act), are expected to grow and continue to play an expanded role in public-sector activity.</w:t>
      </w:r>
    </w:p>
    <w:p>
      <w:pPr>
        <w:spacing w:after="0" w:line="43" w:lineRule="exact"/>
        <w:rPr>
          <w:rFonts w:ascii="Arial" w:cs="Arial" w:eastAsia="Arial" w:hAnsi="Arial"/>
          <w:sz w:val="16"/>
          <w:szCs w:val="16"/>
          <w:color w:val="auto"/>
        </w:rPr>
      </w:pPr>
    </w:p>
    <w:p>
      <w:pPr>
        <w:jc w:val="both"/>
        <w:ind w:left="960" w:hanging="452"/>
        <w:spacing w:after="0" w:line="263"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9"/>
          <w:szCs w:val="19"/>
          <w:color w:val="auto"/>
        </w:rPr>
        <w:t>Nonresidential construction is expected to increase in both the heavy industrial and commercial sectors. The Dodge Momentum Index is near its highest level since 2009 and signals continued growth. Additionally, energy-related economic activity, including follow-on public and private construction activities in its primary markets, will be mixed with overall strength in large downstream construction projects more than offsetting declines in shale exploration-related volumes.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ind w:left="960" w:hanging="452"/>
        <w:spacing w:after="0" w:line="250"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20"/>
          <w:szCs w:val="20"/>
          <w:color w:val="auto"/>
        </w:rPr>
        <w:t>Residential construction is expected to continue to experience good growth metrics, driven by positive employment gains, historically low levels of construction activity over the previous several years, low mortgage rates, significant lot absorption, and higher multi-family rental rates.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www.martinmarietta.com and are also available at the SEC’s website at www.sec.gov. You may also write or call the Corporation’s Corporate Secretary, who will provide copies of such reports.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Investors are cautioned that all statements in this Form 10-Q that relate to the future involve risks and uncertainties, and are based on assumptions that the Corporation believes in good faith are reasonable but which may be materially different from actual results. Forward-looking statements give the investor management’s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7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Factors that the Corporation currently believes could cause actual results to differ materially from the forward-looking statements in this Form 10-Q include, but are not limited to, the performance of the United States economy and the resolution and impact of the debt ceiling and sequestration issues; widespread decline in aggregates pricing; the history of both cement and ready mixed concrete being subject to significant changes in supply, demand and price; the termination, capping and/or reduction or suspension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further slowdown in energy-related drilling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and with respect to the Specialty Products business,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Corporation’s materials, particularly in areas with significant energy-related activity, such as Texas and 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availability and cost of construction equipment in the United States; weakening in the steel industry markets served by the Corporation’s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2015,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Corporation’s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Corporation’s website is not incorporated into, or otherwise create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Corporation’s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Management has considered the current economic environment and its potential impact to the Corporation’s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Demand in the residential construction market is affected by interest rates. The Federal Reserve kept the federal funds rate near zero percent during the three months ended March 31, 2016, unchanged since 2008. The residential construction market accounted for 17% of the Corporation’s aggregates product line shipments in 2015.</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Aside from these inherent risks from within its operations, the Corporation’s earnings are also affected by changes in short-term interest rates. However, rising interest rates are not necessarily predictive of weaker operating results. In fact, since 2007, the Corporation’s profitability increased when interest rates rose, based on the last twelve months quarterly historical net income regression versus a 10-year U.S. government bond. In essence, the Corporation’s underlying business generally serves as a natural hedge to rising interest rates.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Variable-Rate Borrowing Facilities. </w:t>
      </w:r>
      <w:r>
        <w:rPr>
          <w:rFonts w:ascii="Arial" w:cs="Arial" w:eastAsia="Arial" w:hAnsi="Arial"/>
          <w:sz w:val="19"/>
          <w:szCs w:val="19"/>
          <w:color w:val="auto"/>
        </w:rPr>
        <w:t>At March 31, 2016, the Corporation had a $600 million Credit Agreement, comprised of a $350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Revolving Facility and $250 million Term Loan Facility, and a $250 million Trade Receivable Facility. Borrowings under these facilities bear interest at a variable interest rate. A hypothetical 100-basis-point increase in interest rates on borrowings of $407 million, which was the collective outstanding balance at March 31, 2016, would increase interest expense by $4.1 million on an annual basis.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Corporation’s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defined benefit pension plans only, the expected long-term rate of return on assets. Therefore, the Corporation has interest rate risk associated with these factors. The impact of hypothetical changes in these assumptions on the Corporation’s annual pension expense is discussed in the Corporation’s Annual Report on Form 10-K for the year ended December 31, 2015.</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Energy Costs</w:t>
      </w:r>
      <w:r>
        <w:rPr>
          <w:rFonts w:ascii="Arial" w:cs="Arial" w:eastAsia="Arial" w:hAnsi="Arial"/>
          <w:sz w:val="18"/>
          <w:szCs w:val="18"/>
          <w:color w:val="auto"/>
        </w:rPr>
        <w:t>. Energy costs, including diesel fuel, natural gas, coal and liquid asphalt, represent significant production costs of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entered into a fixed price arrangement, which expires December 31, 2016, for approximately 40% of its diesel fuel to reduce its diesel fuel price risk. The Magnesia Specialties business has fixed price agreements covering half of its 2016 coal requirements and the cement business has fixed pricing agreements on 100% of its 2016 coal requirements. A hypothetical 10% change in the Corporation’s energy prices in 2016 as compared with 2015, assuming constant volumes, would change 2016 energy expense by $25.7 million. However, the impact would be partially offset by the change in the amount capitalized into inventory standards.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Commodity risk. </w:t>
      </w:r>
      <w:r>
        <w:rPr>
          <w:rFonts w:ascii="Arial" w:cs="Arial" w:eastAsia="Arial" w:hAnsi="Arial"/>
          <w:sz w:val="19"/>
          <w:szCs w:val="19"/>
          <w:color w:val="auto"/>
        </w:rPr>
        <w:t>Cement is a commodity and competition is based principally on price, which is highly sensitive to changes in supply and</w:t>
      </w:r>
      <w:r>
        <w:rPr>
          <w:rFonts w:ascii="Arial" w:cs="Arial" w:eastAsia="Arial" w:hAnsi="Arial"/>
          <w:sz w:val="19"/>
          <w:szCs w:val="19"/>
          <w:i w:val="1"/>
          <w:iCs w:val="1"/>
          <w:color w:val="auto"/>
        </w:rPr>
        <w:t xml:space="preserve"> </w:t>
      </w:r>
      <w:r>
        <w:rPr>
          <w:rFonts w:ascii="Arial" w:cs="Arial" w:eastAsia="Arial" w:hAnsi="Arial"/>
          <w:sz w:val="19"/>
          <w:szCs w:val="19"/>
          <w:color w:val="auto"/>
        </w:rPr>
        <w:t>demand. Prices 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Based on forecasted net sales for the Cement business for full-year 2016 of $310 million to $325 million, a hypothetical 10% change in sales price would impact net sales by $31 million to $32.5 million.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March 31, 2016, an evaluation was performed under the supervision and with the participation of the Corporation’s management, including the Chief Executive Officer and Chief Financial Officer, of the effectiveness of the design and the operation of the Corporation’s disclosure controls and procedures. Based on that evaluation, the Corporation’s management, including the Chief Executive Officer and Chief Financial Officer, concluded that the Corporation’s disclosure controls and procedures were effective as of March 31, 2016. There were no changes in the Corporation’s internal control over financial reporting during the most recently completed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center"/>
              <w:ind w:right="21"/>
              <w:spacing w:after="0"/>
              <w:rPr>
                <w:sz w:val="20"/>
                <w:szCs w:val="20"/>
                <w:color w:val="auto"/>
              </w:rPr>
            </w:pPr>
            <w:r>
              <w:rPr>
                <w:rFonts w:ascii="Arial" w:cs="Arial" w:eastAsia="Arial" w:hAnsi="Arial"/>
                <w:sz w:val="20"/>
                <w:szCs w:val="20"/>
                <w:color w:val="auto"/>
                <w:w w:val="89"/>
              </w:rPr>
              <w:t>Total Number of Shares</w:t>
            </w:r>
          </w:p>
        </w:tc>
        <w:tc>
          <w:tcPr>
            <w:tcW w:w="140" w:type="dxa"/>
            <w:vAlign w:val="bottom"/>
          </w:tcPr>
          <w:p>
            <w:pPr>
              <w:spacing w:after="0"/>
              <w:rPr>
                <w:sz w:val="21"/>
                <w:szCs w:val="21"/>
                <w:color w:val="auto"/>
              </w:rPr>
            </w:pPr>
          </w:p>
        </w:tc>
        <w:tc>
          <w:tcPr>
            <w:tcW w:w="1860" w:type="dxa"/>
            <w:vAlign w:val="bottom"/>
          </w:tcPr>
          <w:p>
            <w:pPr>
              <w:jc w:val="center"/>
              <w:ind w:right="21"/>
              <w:spacing w:after="0"/>
              <w:rPr>
                <w:sz w:val="20"/>
                <w:szCs w:val="20"/>
                <w:color w:val="auto"/>
              </w:rPr>
            </w:pPr>
            <w:r>
              <w:rPr>
                <w:rFonts w:ascii="Arial" w:cs="Arial" w:eastAsia="Arial" w:hAnsi="Arial"/>
                <w:sz w:val="20"/>
                <w:szCs w:val="20"/>
                <w:color w:val="auto"/>
                <w:w w:val="93"/>
              </w:rPr>
              <w:t>Maximum Number of</w:t>
            </w: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center"/>
              <w:ind w:right="21"/>
              <w:spacing w:after="0"/>
              <w:rPr>
                <w:sz w:val="20"/>
                <w:szCs w:val="20"/>
                <w:color w:val="auto"/>
              </w:rPr>
            </w:pPr>
            <w:r>
              <w:rPr>
                <w:rFonts w:ascii="Arial" w:cs="Arial" w:eastAsia="Arial" w:hAnsi="Arial"/>
                <w:sz w:val="20"/>
                <w:szCs w:val="20"/>
                <w:color w:val="auto"/>
                <w:w w:val="86"/>
              </w:rPr>
              <w:t>Purchased as Part of</w:t>
            </w:r>
          </w:p>
        </w:tc>
        <w:tc>
          <w:tcPr>
            <w:tcW w:w="140" w:type="dxa"/>
            <w:vAlign w:val="bottom"/>
          </w:tcPr>
          <w:p>
            <w:pPr>
              <w:spacing w:after="0"/>
              <w:rPr>
                <w:sz w:val="21"/>
                <w:szCs w:val="21"/>
                <w:color w:val="auto"/>
              </w:rPr>
            </w:pPr>
          </w:p>
        </w:tc>
        <w:tc>
          <w:tcPr>
            <w:tcW w:w="1860" w:type="dxa"/>
            <w:vAlign w:val="bottom"/>
          </w:tcPr>
          <w:p>
            <w:pPr>
              <w:jc w:val="center"/>
              <w:ind w:right="21"/>
              <w:spacing w:after="0"/>
              <w:rPr>
                <w:sz w:val="20"/>
                <w:szCs w:val="20"/>
                <w:color w:val="auto"/>
              </w:rPr>
            </w:pPr>
            <w:r>
              <w:rPr>
                <w:rFonts w:ascii="Arial" w:cs="Arial" w:eastAsia="Arial" w:hAnsi="Arial"/>
                <w:sz w:val="20"/>
                <w:szCs w:val="20"/>
                <w:color w:val="auto"/>
                <w:w w:val="87"/>
              </w:rPr>
              <w:t>Shares that May Yet</w:t>
            </w: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20"/>
                <w:szCs w:val="20"/>
                <w:color w:val="auto"/>
                <w:w w:val="92"/>
              </w:rPr>
              <w:t>Total Number of</w:t>
            </w:r>
          </w:p>
        </w:tc>
        <w:tc>
          <w:tcPr>
            <w:tcW w:w="1460" w:type="dxa"/>
            <w:vAlign w:val="bottom"/>
            <w:gridSpan w:val="3"/>
          </w:tcPr>
          <w:p>
            <w:pPr>
              <w:ind w:left="40"/>
              <w:spacing w:after="0"/>
              <w:rPr>
                <w:sz w:val="20"/>
                <w:szCs w:val="20"/>
                <w:color w:val="auto"/>
              </w:rPr>
            </w:pPr>
            <w:r>
              <w:rPr>
                <w:rFonts w:ascii="Arial" w:cs="Arial" w:eastAsia="Arial" w:hAnsi="Arial"/>
                <w:sz w:val="20"/>
                <w:szCs w:val="20"/>
                <w:color w:val="auto"/>
              </w:rPr>
              <w:t>Average Price</w:t>
            </w:r>
          </w:p>
        </w:tc>
        <w:tc>
          <w:tcPr>
            <w:tcW w:w="2020" w:type="dxa"/>
            <w:vAlign w:val="bottom"/>
          </w:tcPr>
          <w:p>
            <w:pPr>
              <w:jc w:val="center"/>
              <w:ind w:right="21"/>
              <w:spacing w:after="0"/>
              <w:rPr>
                <w:sz w:val="20"/>
                <w:szCs w:val="20"/>
                <w:color w:val="auto"/>
              </w:rPr>
            </w:pPr>
            <w:r>
              <w:rPr>
                <w:rFonts w:ascii="Arial" w:cs="Arial" w:eastAsia="Arial" w:hAnsi="Arial"/>
                <w:sz w:val="20"/>
                <w:szCs w:val="20"/>
                <w:color w:val="auto"/>
                <w:w w:val="92"/>
              </w:rPr>
              <w:t>Publicly Announced</w:t>
            </w:r>
          </w:p>
        </w:tc>
        <w:tc>
          <w:tcPr>
            <w:tcW w:w="140" w:type="dxa"/>
            <w:vAlign w:val="bottom"/>
          </w:tcPr>
          <w:p>
            <w:pPr>
              <w:spacing w:after="0"/>
              <w:rPr>
                <w:sz w:val="21"/>
                <w:szCs w:val="21"/>
                <w:color w:val="auto"/>
              </w:rPr>
            </w:pPr>
          </w:p>
        </w:tc>
        <w:tc>
          <w:tcPr>
            <w:tcW w:w="1860" w:type="dxa"/>
            <w:vAlign w:val="bottom"/>
          </w:tcPr>
          <w:p>
            <w:pPr>
              <w:jc w:val="center"/>
              <w:ind w:right="21"/>
              <w:spacing w:after="0"/>
              <w:rPr>
                <w:sz w:val="20"/>
                <w:szCs w:val="20"/>
                <w:color w:val="auto"/>
              </w:rPr>
            </w:pPr>
            <w:r>
              <w:rPr>
                <w:rFonts w:ascii="Arial" w:cs="Arial" w:eastAsia="Arial" w:hAnsi="Arial"/>
                <w:sz w:val="20"/>
                <w:szCs w:val="20"/>
                <w:color w:val="auto"/>
                <w:w w:val="86"/>
              </w:rPr>
              <w:t>be Purchased Under</w:t>
            </w:r>
          </w:p>
        </w:tc>
      </w:tr>
      <w:tr>
        <w:trPr>
          <w:trHeight w:val="246"/>
        </w:trPr>
        <w:tc>
          <w:tcPr>
            <w:tcW w:w="20" w:type="dxa"/>
            <w:vAlign w:val="bottom"/>
          </w:tcPr>
          <w:p>
            <w:pPr>
              <w:spacing w:after="0"/>
              <w:rPr>
                <w:sz w:val="21"/>
                <w:szCs w:val="21"/>
                <w:color w:val="auto"/>
              </w:rPr>
            </w:pPr>
          </w:p>
        </w:tc>
        <w:tc>
          <w:tcPr>
            <w:tcW w:w="4140" w:type="dxa"/>
            <w:vAlign w:val="bottom"/>
            <w:gridSpan w:val="2"/>
          </w:tcPr>
          <w:p>
            <w:pPr>
              <w:ind w:left="1740"/>
              <w:spacing w:after="0"/>
              <w:rPr>
                <w:sz w:val="20"/>
                <w:szCs w:val="20"/>
                <w:color w:val="auto"/>
              </w:rPr>
            </w:pPr>
            <w:r>
              <w:rPr>
                <w:rFonts w:ascii="Arial" w:cs="Arial" w:eastAsia="Arial" w:hAnsi="Arial"/>
                <w:sz w:val="19"/>
                <w:szCs w:val="19"/>
                <w:color w:val="auto"/>
              </w:rPr>
              <w:t>Period</w:t>
            </w:r>
          </w:p>
        </w:tc>
        <w:tc>
          <w:tcPr>
            <w:tcW w:w="1780" w:type="dxa"/>
            <w:vAlign w:val="bottom"/>
            <w:gridSpan w:val="2"/>
          </w:tcPr>
          <w:p>
            <w:pPr>
              <w:jc w:val="center"/>
              <w:ind w:right="260"/>
              <w:spacing w:after="0"/>
              <w:rPr>
                <w:sz w:val="20"/>
                <w:szCs w:val="20"/>
                <w:color w:val="auto"/>
              </w:rPr>
            </w:pPr>
            <w:r>
              <w:rPr>
                <w:rFonts w:ascii="Arial" w:cs="Arial" w:eastAsia="Arial" w:hAnsi="Arial"/>
                <w:sz w:val="20"/>
                <w:szCs w:val="20"/>
                <w:color w:val="auto"/>
                <w:w w:val="85"/>
              </w:rPr>
              <w:t>Shares Purchased</w:t>
            </w:r>
          </w:p>
        </w:tc>
        <w:tc>
          <w:tcPr>
            <w:tcW w:w="1460" w:type="dxa"/>
            <w:vAlign w:val="bottom"/>
            <w:gridSpan w:val="3"/>
          </w:tcPr>
          <w:p>
            <w:pPr>
              <w:ind w:left="20"/>
              <w:spacing w:after="0"/>
              <w:rPr>
                <w:sz w:val="20"/>
                <w:szCs w:val="20"/>
                <w:color w:val="auto"/>
              </w:rPr>
            </w:pPr>
            <w:r>
              <w:rPr>
                <w:rFonts w:ascii="Arial" w:cs="Arial" w:eastAsia="Arial" w:hAnsi="Arial"/>
                <w:sz w:val="20"/>
                <w:szCs w:val="20"/>
                <w:color w:val="auto"/>
              </w:rPr>
              <w:t>Paid per Share</w:t>
            </w:r>
          </w:p>
        </w:tc>
        <w:tc>
          <w:tcPr>
            <w:tcW w:w="2020" w:type="dxa"/>
            <w:vAlign w:val="bottom"/>
          </w:tcPr>
          <w:p>
            <w:pPr>
              <w:jc w:val="center"/>
              <w:ind w:right="21"/>
              <w:spacing w:after="0"/>
              <w:rPr>
                <w:sz w:val="20"/>
                <w:szCs w:val="20"/>
                <w:color w:val="auto"/>
              </w:rPr>
            </w:pPr>
            <w:r>
              <w:rPr>
                <w:rFonts w:ascii="Arial" w:cs="Arial" w:eastAsia="Arial" w:hAnsi="Arial"/>
                <w:sz w:val="20"/>
                <w:szCs w:val="20"/>
                <w:color w:val="auto"/>
                <w:w w:val="88"/>
              </w:rPr>
              <w:t>Plans or Programs</w:t>
            </w:r>
          </w:p>
        </w:tc>
        <w:tc>
          <w:tcPr>
            <w:tcW w:w="2000" w:type="dxa"/>
            <w:vAlign w:val="bottom"/>
            <w:gridSpan w:val="2"/>
          </w:tcPr>
          <w:p>
            <w:pPr>
              <w:jc w:val="center"/>
              <w:spacing w:after="0"/>
              <w:rPr>
                <w:sz w:val="20"/>
                <w:szCs w:val="20"/>
                <w:color w:val="auto"/>
              </w:rPr>
            </w:pPr>
            <w:r>
              <w:rPr>
                <w:rFonts w:ascii="Arial" w:cs="Arial" w:eastAsia="Arial" w:hAnsi="Arial"/>
                <w:sz w:val="20"/>
                <w:szCs w:val="20"/>
                <w:color w:val="auto"/>
                <w:w w:val="87"/>
              </w:rPr>
              <w:t>the Plans or Programs</w:t>
            </w:r>
          </w:p>
        </w:tc>
      </w:tr>
      <w:tr>
        <w:trPr>
          <w:trHeight w:val="237"/>
        </w:trPr>
        <w:tc>
          <w:tcPr>
            <w:tcW w:w="20" w:type="dxa"/>
            <w:vAlign w:val="bottom"/>
          </w:tcPr>
          <w:p>
            <w:pPr>
              <w:spacing w:after="0"/>
              <w:rPr>
                <w:sz w:val="20"/>
                <w:szCs w:val="20"/>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January 1, 2016 - January 31, 2016</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tcPr>
          <w:p>
            <w:pPr>
              <w:jc w:val="center"/>
              <w:ind w:right="161"/>
              <w:spacing w:after="0"/>
              <w:rPr>
                <w:sz w:val="20"/>
                <w:szCs w:val="20"/>
                <w:color w:val="auto"/>
              </w:rPr>
            </w:pPr>
            <w:r>
              <w:rPr>
                <w:rFonts w:ascii="Arial" w:cs="Arial" w:eastAsia="Arial" w:hAnsi="Arial"/>
                <w:sz w:val="20"/>
                <w:szCs w:val="20"/>
                <w:color w:val="auto"/>
                <w:w w:val="99"/>
              </w:rPr>
              <w:t>—</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40" w:type="dxa"/>
            <w:vAlign w:val="bottom"/>
          </w:tcPr>
          <w:p>
            <w:pPr>
              <w:spacing w:after="0"/>
              <w:rPr>
                <w:sz w:val="20"/>
                <w:szCs w:val="20"/>
                <w:color w:val="auto"/>
              </w:rPr>
            </w:pPr>
          </w:p>
        </w:tc>
        <w:tc>
          <w:tcPr>
            <w:tcW w:w="1860" w:type="dxa"/>
            <w:vAlign w:val="bottom"/>
            <w:tcBorders>
              <w:top w:val="single" w:sz="8" w:color="auto"/>
            </w:tcBorders>
          </w:tcPr>
          <w:p>
            <w:pPr>
              <w:jc w:val="right"/>
              <w:ind w:right="401"/>
              <w:spacing w:after="0"/>
              <w:rPr>
                <w:sz w:val="20"/>
                <w:szCs w:val="20"/>
                <w:color w:val="auto"/>
              </w:rPr>
            </w:pPr>
            <w:r>
              <w:rPr>
                <w:rFonts w:ascii="Arial" w:cs="Arial" w:eastAsia="Arial" w:hAnsi="Arial"/>
                <w:sz w:val="20"/>
                <w:szCs w:val="20"/>
                <w:color w:val="auto"/>
              </w:rPr>
              <w:t>16,714,620</w:t>
            </w: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February 1, 2016 - February 29, 2016</w:t>
            </w:r>
          </w:p>
        </w:tc>
        <w:tc>
          <w:tcPr>
            <w:tcW w:w="1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8"/>
              </w:rPr>
              <w:t>479,000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FF0FC"/>
          </w:tcPr>
          <w:p>
            <w:pPr>
              <w:jc w:val="center"/>
              <w:ind w:right="141"/>
              <w:spacing w:after="0"/>
              <w:rPr>
                <w:sz w:val="20"/>
                <w:szCs w:val="20"/>
                <w:color w:val="auto"/>
              </w:rPr>
            </w:pPr>
            <w:r>
              <w:rPr>
                <w:rFonts w:ascii="Arial" w:cs="Arial" w:eastAsia="Arial" w:hAnsi="Arial"/>
                <w:sz w:val="20"/>
                <w:szCs w:val="20"/>
                <w:color w:val="auto"/>
                <w:w w:val="88"/>
              </w:rPr>
              <w:t>140.57</w:t>
            </w:r>
          </w:p>
        </w:tc>
        <w:tc>
          <w:tcPr>
            <w:tcW w:w="120" w:type="dxa"/>
            <w:vAlign w:val="bottom"/>
            <w:shd w:val="clear" w:color="auto" w:fill="CFF0FC"/>
          </w:tcPr>
          <w:p>
            <w:pPr>
              <w:spacing w:after="0"/>
              <w:rPr>
                <w:sz w:val="21"/>
                <w:szCs w:val="21"/>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8"/>
              </w:rPr>
              <w:t>479,000</w:t>
            </w:r>
          </w:p>
        </w:tc>
        <w:tc>
          <w:tcPr>
            <w:tcW w:w="2000" w:type="dxa"/>
            <w:vAlign w:val="bottom"/>
            <w:gridSpan w:val="2"/>
            <w:shd w:val="clear" w:color="auto" w:fill="CFF0FC"/>
          </w:tcPr>
          <w:p>
            <w:pPr>
              <w:jc w:val="right"/>
              <w:ind w:right="401"/>
              <w:spacing w:after="0"/>
              <w:rPr>
                <w:sz w:val="20"/>
                <w:szCs w:val="20"/>
                <w:color w:val="auto"/>
              </w:rPr>
            </w:pPr>
            <w:r>
              <w:rPr>
                <w:rFonts w:ascii="Arial" w:cs="Arial" w:eastAsia="Arial" w:hAnsi="Arial"/>
                <w:sz w:val="20"/>
                <w:szCs w:val="20"/>
                <w:color w:val="auto"/>
              </w:rPr>
              <w:t>16,235,620</w:t>
            </w:r>
          </w:p>
        </w:tc>
      </w:tr>
      <w:tr>
        <w:trPr>
          <w:trHeight w:val="250"/>
        </w:trPr>
        <w:tc>
          <w:tcPr>
            <w:tcW w:w="2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20"/>
                <w:szCs w:val="20"/>
                <w:color w:val="auto"/>
              </w:rPr>
              <w:t>March 1, 2016 - March 31, 2016</w:t>
            </w:r>
          </w:p>
        </w:tc>
        <w:tc>
          <w:tcPr>
            <w:tcW w:w="1640" w:type="dxa"/>
            <w:vAlign w:val="bottom"/>
          </w:tcPr>
          <w:p>
            <w:pPr>
              <w:jc w:val="center"/>
              <w:spacing w:after="0"/>
              <w:rPr>
                <w:sz w:val="20"/>
                <w:szCs w:val="20"/>
                <w:color w:val="auto"/>
              </w:rPr>
            </w:pPr>
            <w:r>
              <w:rPr>
                <w:rFonts w:ascii="Arial" w:cs="Arial" w:eastAsia="Arial" w:hAnsi="Arial"/>
                <w:sz w:val="20"/>
                <w:szCs w:val="20"/>
                <w:color w:val="auto"/>
                <w:w w:val="88"/>
              </w:rPr>
              <w:t>549,000</w:t>
            </w:r>
          </w:p>
        </w:tc>
        <w:tc>
          <w:tcPr>
            <w:tcW w:w="14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center"/>
              <w:ind w:right="141"/>
              <w:spacing w:after="0"/>
              <w:rPr>
                <w:sz w:val="20"/>
                <w:szCs w:val="20"/>
                <w:color w:val="auto"/>
              </w:rPr>
            </w:pPr>
            <w:r>
              <w:rPr>
                <w:rFonts w:ascii="Arial" w:cs="Arial" w:eastAsia="Arial" w:hAnsi="Arial"/>
                <w:sz w:val="20"/>
                <w:szCs w:val="20"/>
                <w:color w:val="auto"/>
                <w:w w:val="88"/>
              </w:rPr>
              <w:t>150.44</w:t>
            </w: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88"/>
              </w:rPr>
              <w:t>549,000</w:t>
            </w:r>
          </w:p>
        </w:tc>
        <w:tc>
          <w:tcPr>
            <w:tcW w:w="2000" w:type="dxa"/>
            <w:vAlign w:val="bottom"/>
            <w:gridSpan w:val="2"/>
          </w:tcPr>
          <w:p>
            <w:pPr>
              <w:jc w:val="right"/>
              <w:ind w:right="401"/>
              <w:spacing w:after="0"/>
              <w:rPr>
                <w:sz w:val="20"/>
                <w:szCs w:val="20"/>
                <w:color w:val="auto"/>
              </w:rPr>
            </w:pPr>
            <w:r>
              <w:rPr>
                <w:rFonts w:ascii="Arial" w:cs="Arial" w:eastAsia="Arial" w:hAnsi="Arial"/>
                <w:sz w:val="20"/>
                <w:szCs w:val="20"/>
                <w:color w:val="auto"/>
              </w:rPr>
              <w:t>15,686,620</w:t>
            </w:r>
          </w:p>
        </w:tc>
      </w:tr>
    </w:tbl>
    <w:p>
      <w:pPr>
        <w:spacing w:after="0" w:line="200" w:lineRule="exact"/>
        <w:rPr>
          <w:sz w:val="20"/>
          <w:szCs w:val="20"/>
          <w:color w:val="auto"/>
        </w:rPr>
      </w:pP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Corporation’s Board of Directors authorized a maximum of 20 million shares to be repurchased under the program. The program does not have an expiration date.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 Exhibits.</w:t>
      </w:r>
    </w:p>
    <w:p>
      <w:pPr>
        <w:spacing w:after="0" w:line="229"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19050</wp:posOffset>
            </wp:positionV>
            <wp:extent cx="65862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20"/>
                <w:szCs w:val="20"/>
                <w:color w:val="auto"/>
              </w:rPr>
              <w:t>10.01</w:t>
            </w:r>
          </w:p>
        </w:tc>
        <w:tc>
          <w:tcPr>
            <w:tcW w:w="10520" w:type="dxa"/>
            <w:vAlign w:val="bottom"/>
          </w:tcPr>
          <w:p>
            <w:pPr>
              <w:ind w:left="140"/>
              <w:spacing w:after="0"/>
              <w:rPr>
                <w:sz w:val="20"/>
                <w:szCs w:val="20"/>
                <w:color w:val="auto"/>
              </w:rPr>
            </w:pPr>
            <w:r>
              <w:rPr>
                <w:rFonts w:ascii="Arial" w:cs="Arial" w:eastAsia="Arial" w:hAnsi="Arial"/>
                <w:sz w:val="20"/>
                <w:szCs w:val="20"/>
                <w:color w:val="auto"/>
                <w:w w:val="92"/>
              </w:rPr>
              <w:t>Form of Restricted Stock Unit Award Agreement under the Martin Marietta Materials, Inc. Amended and Restated Stock-Based</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Award Plan</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10.02</w:t>
            </w:r>
          </w:p>
        </w:tc>
        <w:tc>
          <w:tcPr>
            <w:tcW w:w="10520" w:type="dxa"/>
            <w:vAlign w:val="bottom"/>
          </w:tcPr>
          <w:p>
            <w:pPr>
              <w:ind w:left="140"/>
              <w:spacing w:after="0"/>
              <w:rPr>
                <w:sz w:val="20"/>
                <w:szCs w:val="20"/>
                <w:color w:val="auto"/>
              </w:rPr>
            </w:pPr>
            <w:r>
              <w:rPr>
                <w:rFonts w:ascii="Arial" w:cs="Arial" w:eastAsia="Arial" w:hAnsi="Arial"/>
                <w:sz w:val="20"/>
                <w:szCs w:val="20"/>
                <w:color w:val="auto"/>
                <w:w w:val="90"/>
              </w:rPr>
              <w:t>Form of Performance Share Unit Award Agreement under the Martin Marietta Materials, Inc. Amended and Restated Stock-Based</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Award Plan</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31.01</w:t>
            </w:r>
          </w:p>
        </w:tc>
        <w:tc>
          <w:tcPr>
            <w:tcW w:w="10520" w:type="dxa"/>
            <w:vAlign w:val="bottom"/>
          </w:tcPr>
          <w:p>
            <w:pPr>
              <w:ind w:left="140"/>
              <w:spacing w:after="0"/>
              <w:rPr>
                <w:sz w:val="20"/>
                <w:szCs w:val="20"/>
                <w:color w:val="auto"/>
              </w:rPr>
            </w:pPr>
            <w:r>
              <w:rPr>
                <w:rFonts w:ascii="Arial" w:cs="Arial" w:eastAsia="Arial" w:hAnsi="Arial"/>
                <w:sz w:val="20"/>
                <w:szCs w:val="20"/>
                <w:color w:val="auto"/>
                <w:w w:val="95"/>
              </w:rPr>
              <w:t>Certification dated May 5, 2016 of Chief Executive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31.02</w:t>
            </w:r>
          </w:p>
        </w:tc>
        <w:tc>
          <w:tcPr>
            <w:tcW w:w="10520" w:type="dxa"/>
            <w:vAlign w:val="bottom"/>
          </w:tcPr>
          <w:p>
            <w:pPr>
              <w:ind w:left="140"/>
              <w:spacing w:after="0"/>
              <w:rPr>
                <w:sz w:val="20"/>
                <w:szCs w:val="20"/>
                <w:color w:val="auto"/>
              </w:rPr>
            </w:pPr>
            <w:r>
              <w:rPr>
                <w:rFonts w:ascii="Arial" w:cs="Arial" w:eastAsia="Arial" w:hAnsi="Arial"/>
                <w:sz w:val="20"/>
                <w:szCs w:val="20"/>
                <w:color w:val="auto"/>
                <w:w w:val="96"/>
              </w:rPr>
              <w:t>Certification dated May 5, 2016 of Chief Financial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32.01</w:t>
            </w:r>
          </w:p>
        </w:tc>
        <w:tc>
          <w:tcPr>
            <w:tcW w:w="10520" w:type="dxa"/>
            <w:vAlign w:val="bottom"/>
          </w:tcPr>
          <w:p>
            <w:pPr>
              <w:ind w:left="140"/>
              <w:spacing w:after="0"/>
              <w:rPr>
                <w:sz w:val="20"/>
                <w:szCs w:val="20"/>
                <w:color w:val="auto"/>
              </w:rPr>
            </w:pPr>
            <w:r>
              <w:rPr>
                <w:rFonts w:ascii="Arial" w:cs="Arial" w:eastAsia="Arial" w:hAnsi="Arial"/>
                <w:sz w:val="20"/>
                <w:szCs w:val="20"/>
                <w:color w:val="auto"/>
                <w:w w:val="91"/>
              </w:rPr>
              <w:t>Written Statement dated May 5, 2016 of Chief Executive Officer required by 18 U.S.C. 1350, as adopted pursuant to Section 906</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32.02</w:t>
            </w:r>
          </w:p>
        </w:tc>
        <w:tc>
          <w:tcPr>
            <w:tcW w:w="10520" w:type="dxa"/>
            <w:vAlign w:val="bottom"/>
          </w:tcPr>
          <w:p>
            <w:pPr>
              <w:ind w:left="140"/>
              <w:spacing w:after="0"/>
              <w:rPr>
                <w:sz w:val="20"/>
                <w:szCs w:val="20"/>
                <w:color w:val="auto"/>
              </w:rPr>
            </w:pPr>
            <w:r>
              <w:rPr>
                <w:rFonts w:ascii="Arial" w:cs="Arial" w:eastAsia="Arial" w:hAnsi="Arial"/>
                <w:sz w:val="20"/>
                <w:szCs w:val="20"/>
                <w:color w:val="auto"/>
                <w:w w:val="91"/>
              </w:rPr>
              <w:t>Written Statement dated May 5, 2016 of Chief Financial Officer required by 18 U.S.C. 1350, as adopted pursuant to Section 906</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of the Sarbanes-Oxley Act of 2002</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95</w:t>
            </w:r>
          </w:p>
        </w:tc>
        <w:tc>
          <w:tcPr>
            <w:tcW w:w="10520" w:type="dxa"/>
            <w:vAlign w:val="bottom"/>
          </w:tcPr>
          <w:p>
            <w:pPr>
              <w:ind w:left="140"/>
              <w:spacing w:after="0"/>
              <w:rPr>
                <w:sz w:val="20"/>
                <w:szCs w:val="20"/>
                <w:color w:val="auto"/>
              </w:rPr>
            </w:pPr>
            <w:r>
              <w:rPr>
                <w:rFonts w:ascii="Arial" w:cs="Arial" w:eastAsia="Arial" w:hAnsi="Arial"/>
                <w:sz w:val="20"/>
                <w:szCs w:val="20"/>
                <w:color w:val="auto"/>
              </w:rPr>
              <w:t>Mine Safety Disclosures</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101.INS</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Instance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101.SCH</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Schema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101.CAL</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Calculation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101.LAB</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Label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101.PRE</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101.DEF</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41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89"/>
              </w:rPr>
              <w:t>(Registrant)</w:t>
            </w:r>
          </w:p>
        </w:tc>
      </w:tr>
      <w:tr>
        <w:trPr>
          <w:trHeight w:val="455"/>
        </w:trPr>
        <w:tc>
          <w:tcPr>
            <w:tcW w:w="4160" w:type="dxa"/>
            <w:vAlign w:val="bottom"/>
          </w:tcPr>
          <w:p>
            <w:pPr>
              <w:spacing w:after="0"/>
              <w:rPr>
                <w:sz w:val="20"/>
                <w:szCs w:val="20"/>
                <w:color w:val="auto"/>
              </w:rPr>
            </w:pPr>
            <w:r>
              <w:rPr>
                <w:rFonts w:ascii="Arial" w:cs="Arial" w:eastAsia="Arial" w:hAnsi="Arial"/>
                <w:sz w:val="20"/>
                <w:szCs w:val="20"/>
                <w:color w:val="auto"/>
              </w:rPr>
              <w:t>Date: May 5, 2016</w:t>
            </w:r>
          </w:p>
        </w:tc>
        <w:tc>
          <w:tcPr>
            <w:tcW w:w="7260" w:type="dxa"/>
            <w:vAlign w:val="bottom"/>
            <w:gridSpan w:val="2"/>
          </w:tcPr>
          <w:p>
            <w:pPr>
              <w:ind w:left="2660"/>
              <w:spacing w:after="0"/>
              <w:rPr>
                <w:sz w:val="20"/>
                <w:szCs w:val="20"/>
                <w:color w:val="auto"/>
              </w:rPr>
            </w:pPr>
            <w:r>
              <w:rPr>
                <w:rFonts w:ascii="Arial" w:cs="Arial" w:eastAsia="Arial" w:hAnsi="Arial"/>
                <w:sz w:val="20"/>
                <w:szCs w:val="20"/>
                <w:color w:val="auto"/>
              </w:rPr>
              <w:t>By: /s/ Anne H. Lloyd</w:t>
            </w:r>
          </w:p>
        </w:tc>
      </w:tr>
      <w:tr>
        <w:trPr>
          <w:trHeight w:val="206"/>
        </w:trPr>
        <w:tc>
          <w:tcPr>
            <w:tcW w:w="4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Anne H. Lloyd</w:t>
            </w:r>
          </w:p>
        </w:tc>
      </w:tr>
      <w:tr>
        <w:trPr>
          <w:trHeight w:val="230"/>
        </w:trPr>
        <w:tc>
          <w:tcPr>
            <w:tcW w:w="4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41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tcPr>
          <w:p>
            <w:pPr>
              <w:jc w:val="center"/>
              <w:ind w:right="108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30"/>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tcPr>
          <w:p>
            <w:pPr>
              <w:jc w:val="center"/>
              <w:ind w:right="1081"/>
              <w:spacing w:after="0"/>
              <w:rPr>
                <w:sz w:val="20"/>
                <w:szCs w:val="20"/>
                <w:color w:val="auto"/>
              </w:rPr>
            </w:pPr>
            <w:r>
              <w:rPr>
                <w:rFonts w:ascii="Arial" w:cs="Arial" w:eastAsia="Arial" w:hAnsi="Arial"/>
                <w:sz w:val="20"/>
                <w:szCs w:val="20"/>
                <w:color w:val="auto"/>
                <w:w w:val="93"/>
              </w:rPr>
              <w:t>FORM 10-Q</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jc w:val="center"/>
              <w:ind w:right="1061"/>
              <w:spacing w:after="0"/>
              <w:rPr>
                <w:sz w:val="20"/>
                <w:szCs w:val="20"/>
                <w:color w:val="auto"/>
              </w:rPr>
            </w:pPr>
            <w:r>
              <w:rPr>
                <w:rFonts w:ascii="Arial" w:cs="Arial" w:eastAsia="Arial" w:hAnsi="Arial"/>
                <w:sz w:val="20"/>
                <w:szCs w:val="20"/>
                <w:color w:val="auto"/>
                <w:w w:val="89"/>
              </w:rPr>
              <w:t>For the Quarter Ended March 31, 2016</w:t>
            </w:r>
          </w:p>
        </w:tc>
      </w:tr>
      <w:tr>
        <w:trPr>
          <w:trHeight w:val="446"/>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Pr>
          <w:p>
            <w:pPr>
              <w:jc w:val="center"/>
              <w:ind w:right="1081"/>
              <w:spacing w:after="0"/>
              <w:rPr>
                <w:sz w:val="20"/>
                <w:szCs w:val="20"/>
                <w:color w:val="auto"/>
              </w:rPr>
            </w:pPr>
            <w:r>
              <w:rPr>
                <w:rFonts w:ascii="Arial" w:cs="Arial" w:eastAsia="Arial" w:hAnsi="Arial"/>
                <w:sz w:val="20"/>
                <w:szCs w:val="20"/>
                <w:color w:val="auto"/>
              </w:rPr>
              <w:t>EXHIBIT INDEX</w:t>
            </w:r>
          </w:p>
        </w:tc>
      </w:tr>
      <w:tr>
        <w:trPr>
          <w:trHeight w:val="464"/>
        </w:trPr>
        <w:tc>
          <w:tcPr>
            <w:tcW w:w="10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9"/>
              </w:rPr>
              <w:t>Exhibit No.</w:t>
            </w:r>
          </w:p>
        </w:tc>
        <w:tc>
          <w:tcPr>
            <w:tcW w:w="120" w:type="dxa"/>
            <w:vAlign w:val="bottom"/>
          </w:tcPr>
          <w:p>
            <w:pPr>
              <w:spacing w:after="0"/>
              <w:rPr>
                <w:sz w:val="24"/>
                <w:szCs w:val="24"/>
                <w:color w:val="auto"/>
              </w:rPr>
            </w:pPr>
          </w:p>
        </w:tc>
        <w:tc>
          <w:tcPr>
            <w:tcW w:w="10240" w:type="dxa"/>
            <w:vAlign w:val="bottom"/>
            <w:tcBorders>
              <w:bottom w:val="single" w:sz="8" w:color="auto"/>
            </w:tcBorders>
          </w:tcPr>
          <w:p>
            <w:pPr>
              <w:ind w:left="4700"/>
              <w:spacing w:after="0"/>
              <w:rPr>
                <w:sz w:val="20"/>
                <w:szCs w:val="20"/>
                <w:color w:val="auto"/>
              </w:rPr>
            </w:pPr>
            <w:r>
              <w:rPr>
                <w:rFonts w:ascii="Arial" w:cs="Arial" w:eastAsia="Arial" w:hAnsi="Arial"/>
                <w:sz w:val="20"/>
                <w:szCs w:val="20"/>
                <w:color w:val="auto"/>
              </w:rPr>
              <w:t>Document</w:t>
            </w:r>
          </w:p>
        </w:tc>
      </w:tr>
      <w:tr>
        <w:trPr>
          <w:trHeight w:val="441"/>
        </w:trPr>
        <w:tc>
          <w:tcPr>
            <w:tcW w:w="1060" w:type="dxa"/>
            <w:vAlign w:val="bottom"/>
          </w:tcPr>
          <w:p>
            <w:pPr>
              <w:spacing w:after="0"/>
              <w:rPr>
                <w:sz w:val="20"/>
                <w:szCs w:val="20"/>
                <w:color w:val="auto"/>
              </w:rPr>
            </w:pPr>
            <w:r>
              <w:rPr>
                <w:rFonts w:ascii="Arial" w:cs="Arial" w:eastAsia="Arial" w:hAnsi="Arial"/>
                <w:sz w:val="20"/>
                <w:szCs w:val="20"/>
                <w:color w:val="auto"/>
              </w:rPr>
              <w:t>10.01</w:t>
            </w:r>
          </w:p>
        </w:tc>
        <w:tc>
          <w:tcPr>
            <w:tcW w:w="10360" w:type="dxa"/>
            <w:vAlign w:val="bottom"/>
            <w:gridSpan w:val="2"/>
          </w:tcPr>
          <w:p>
            <w:pPr>
              <w:ind w:left="100"/>
              <w:spacing w:after="0"/>
              <w:rPr>
                <w:sz w:val="20"/>
                <w:szCs w:val="20"/>
                <w:color w:val="auto"/>
              </w:rPr>
            </w:pPr>
            <w:r>
              <w:rPr>
                <w:rFonts w:ascii="Arial" w:cs="Arial" w:eastAsia="Arial" w:hAnsi="Arial"/>
                <w:sz w:val="20"/>
                <w:szCs w:val="20"/>
                <w:color w:val="auto"/>
                <w:w w:val="91"/>
              </w:rPr>
              <w:t>Form of Restricted Stock Unit Award Agreement under the Martin Marietta Materials, Inc. Amended and Restated Stock-Based</w:t>
            </w:r>
          </w:p>
        </w:tc>
      </w:tr>
      <w:tr>
        <w:trPr>
          <w:trHeight w:val="250"/>
        </w:trPr>
        <w:tc>
          <w:tcPr>
            <w:tcW w:w="1060" w:type="dxa"/>
            <w:vAlign w:val="bottom"/>
          </w:tcPr>
          <w:p>
            <w:pPr>
              <w:spacing w:after="0"/>
              <w:rPr>
                <w:sz w:val="21"/>
                <w:szCs w:val="21"/>
                <w:color w:val="auto"/>
              </w:rPr>
            </w:pPr>
          </w:p>
        </w:tc>
        <w:tc>
          <w:tcPr>
            <w:tcW w:w="10360" w:type="dxa"/>
            <w:vAlign w:val="bottom"/>
            <w:gridSpan w:val="2"/>
          </w:tcPr>
          <w:p>
            <w:pPr>
              <w:ind w:left="100"/>
              <w:spacing w:after="0"/>
              <w:rPr>
                <w:sz w:val="20"/>
                <w:szCs w:val="20"/>
                <w:color w:val="auto"/>
              </w:rPr>
            </w:pPr>
            <w:r>
              <w:rPr>
                <w:rFonts w:ascii="Arial" w:cs="Arial" w:eastAsia="Arial" w:hAnsi="Arial"/>
                <w:sz w:val="20"/>
                <w:szCs w:val="20"/>
                <w:color w:val="auto"/>
              </w:rPr>
              <w:t>Award Plan</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10.02</w:t>
            </w:r>
          </w:p>
        </w:tc>
        <w:tc>
          <w:tcPr>
            <w:tcW w:w="10360" w:type="dxa"/>
            <w:vAlign w:val="bottom"/>
            <w:gridSpan w:val="2"/>
          </w:tcPr>
          <w:p>
            <w:pPr>
              <w:ind w:left="100"/>
              <w:spacing w:after="0"/>
              <w:rPr>
                <w:sz w:val="20"/>
                <w:szCs w:val="20"/>
                <w:color w:val="auto"/>
              </w:rPr>
            </w:pPr>
            <w:r>
              <w:rPr>
                <w:rFonts w:ascii="Arial" w:cs="Arial" w:eastAsia="Arial" w:hAnsi="Arial"/>
                <w:sz w:val="20"/>
                <w:szCs w:val="20"/>
                <w:color w:val="auto"/>
                <w:w w:val="93"/>
              </w:rPr>
              <w:t>Form of Performance Share Unit Award Agreement under the Martin Marietta Materials, Inc. Amended and Restated Stock-</w:t>
            </w:r>
          </w:p>
        </w:tc>
      </w:tr>
      <w:tr>
        <w:trPr>
          <w:trHeight w:val="250"/>
        </w:trPr>
        <w:tc>
          <w:tcPr>
            <w:tcW w:w="1060" w:type="dxa"/>
            <w:vAlign w:val="bottom"/>
          </w:tcPr>
          <w:p>
            <w:pPr>
              <w:spacing w:after="0"/>
              <w:rPr>
                <w:sz w:val="21"/>
                <w:szCs w:val="21"/>
                <w:color w:val="auto"/>
              </w:rPr>
            </w:pPr>
          </w:p>
        </w:tc>
        <w:tc>
          <w:tcPr>
            <w:tcW w:w="10360" w:type="dxa"/>
            <w:vAlign w:val="bottom"/>
            <w:gridSpan w:val="2"/>
          </w:tcPr>
          <w:p>
            <w:pPr>
              <w:ind w:left="100"/>
              <w:spacing w:after="0"/>
              <w:rPr>
                <w:sz w:val="20"/>
                <w:szCs w:val="20"/>
                <w:color w:val="auto"/>
              </w:rPr>
            </w:pPr>
            <w:r>
              <w:rPr>
                <w:rFonts w:ascii="Arial" w:cs="Arial" w:eastAsia="Arial" w:hAnsi="Arial"/>
                <w:sz w:val="20"/>
                <w:szCs w:val="20"/>
                <w:color w:val="auto"/>
              </w:rPr>
              <w:t>Based Award Plan</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31.01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4"/>
              </w:rPr>
              <w:t>Certification dated May 5, 2016 of Chief Executive Officer pursuant to Securities and Exchange Act of 1934 rule 13a-14 as</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31.02</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5"/>
              </w:rPr>
              <w:t>Certification dated May 5, 2016 of Chief Financial Officer pursuant to Securities and Exchange Act of 1934 rule 13a-14 as</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32.01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89"/>
              </w:rPr>
              <w:t>Written Statement dated May 5, 2016 of Chief Executive Officer required by 18 U.S.C. 1350, as adopted pursuant to Section 906</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of the Sarbanes-Oxley Act of 2002</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32.02</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0"/>
              </w:rPr>
              <w:t>Written Statement dated May 5, 2016 of Chief Financial Officer required by 18 U.S.C. 1350, as adopted pursuant to Section 906</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of the Sarbanes-Oxley Act of 2002</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95</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Mine Safety Disclosures</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101.INS</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Instance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101.SCH</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Schema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101.CAL</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Calculation Linkbase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101.LAB</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Label Linkbase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101.PRE</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Presentation Linkbase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101.DEF</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46</w:t>
      </w:r>
    </w:p>
    <w:p>
      <w:pPr>
        <w:sectPr>
          <w:pgSz w:w="11900" w:h="16838" w:orient="portrait"/>
          <w:cols w:equalWidth="0" w:num="1">
            <w:col w:w="11420"/>
          </w:cols>
          <w:pgMar w:left="240" w:top="35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10.01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MARTIN MARIETTA MATERIALS,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RESTRICTED STOCK UNIT AWARD AGREEMENT</w:t>
      </w:r>
    </w:p>
    <w:p>
      <w:pPr>
        <w:spacing w:after="0" w:line="200" w:lineRule="exact"/>
        <w:rPr>
          <w:sz w:val="20"/>
          <w:szCs w:val="20"/>
          <w:color w:val="auto"/>
        </w:rPr>
      </w:pPr>
    </w:p>
    <w:p>
      <w:pPr>
        <w:spacing w:after="0" w:line="25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RESTRICTED STOCK UNIT AWARD AGREEMENT (the “Award Agreement”), made as of ____________, between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Materials, Inc., a North Carolina corporation (the “Corporation”), and _____________________ (the “Employee”).</w:t>
      </w:r>
    </w:p>
    <w:p>
      <w:pPr>
        <w:spacing w:after="0" w:line="315" w:lineRule="exact"/>
        <w:rPr>
          <w:sz w:val="20"/>
          <w:szCs w:val="20"/>
          <w:color w:val="auto"/>
        </w:rPr>
      </w:pPr>
    </w:p>
    <w:p>
      <w:pPr>
        <w:ind w:left="880" w:hanging="872"/>
        <w:spacing w:after="0"/>
        <w:tabs>
          <w:tab w:leader="none" w:pos="88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GRANT</w:t>
      </w:r>
    </w:p>
    <w:p>
      <w:pPr>
        <w:spacing w:after="0" w:line="235" w:lineRule="exact"/>
        <w:rPr>
          <w:sz w:val="20"/>
          <w:szCs w:val="20"/>
          <w:color w:val="auto"/>
        </w:rPr>
      </w:pPr>
    </w:p>
    <w:p>
      <w:pPr>
        <w:ind w:firstLine="877"/>
        <w:spacing w:after="0" w:line="275" w:lineRule="auto"/>
        <w:rPr>
          <w:sz w:val="20"/>
          <w:szCs w:val="20"/>
          <w:color w:val="auto"/>
        </w:rPr>
      </w:pPr>
      <w:r>
        <w:rPr>
          <w:rFonts w:ascii="Arial" w:cs="Arial" w:eastAsia="Arial" w:hAnsi="Arial"/>
          <w:sz w:val="18"/>
          <w:szCs w:val="18"/>
          <w:color w:val="auto"/>
        </w:rPr>
        <w:t>Pursuant to the Martin Marietta Materials, Inc. Amended and Restated Stock-Based Award Plan (the “Plan”), the Corporation hereby grants the Employee ____________ Restricted Stock Units on the terms and conditions contained in this Award Agreement, and subject</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to the terms and conditions of the Plan. The term “Restricted Stock Unit” or “Unit(s)” as used in this Award Agreement refers only to the Restricted Stock Units awarded to the Employee under this Award Agreement.</w:t>
      </w:r>
    </w:p>
    <w:p>
      <w:pPr>
        <w:spacing w:after="0" w:line="199"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GRANT DATE</w:t>
      </w:r>
    </w:p>
    <w:p>
      <w:pPr>
        <w:spacing w:after="0" w:line="235"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The Grant Date is ______________.</w:t>
      </w:r>
    </w:p>
    <w:p>
      <w:pPr>
        <w:spacing w:after="0" w:line="223" w:lineRule="exact"/>
        <w:rPr>
          <w:rFonts w:ascii="Arial" w:cs="Arial" w:eastAsia="Arial" w:hAnsi="Arial"/>
          <w:sz w:val="20"/>
          <w:szCs w:val="20"/>
          <w:b w:val="1"/>
          <w:bCs w:val="1"/>
          <w:color w:val="auto"/>
        </w:rPr>
      </w:pPr>
    </w:p>
    <w:p>
      <w:pPr>
        <w:ind w:left="880" w:hanging="872"/>
        <w:spacing w:after="0"/>
        <w:tabs>
          <w:tab w:leader="none" w:pos="88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 PERIOD</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Subject to the terms and conditions hereof and of the Plan, the restriction period begins on the Grant Date and ends 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 (such date, the “Vesting Date” and such period, the “Restriction Period”).</w:t>
      </w:r>
    </w:p>
    <w:p>
      <w:pPr>
        <w:spacing w:after="0" w:line="207"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AWARD PAYOUT</w:t>
      </w:r>
    </w:p>
    <w:p>
      <w:pPr>
        <w:spacing w:after="0" w:line="235" w:lineRule="exact"/>
        <w:rPr>
          <w:sz w:val="20"/>
          <w:szCs w:val="20"/>
          <w:color w:val="auto"/>
        </w:rPr>
      </w:pPr>
    </w:p>
    <w:p>
      <w:pPr>
        <w:jc w:val="both"/>
        <w:ind w:firstLine="877"/>
        <w:spacing w:after="0" w:line="263" w:lineRule="auto"/>
        <w:rPr>
          <w:sz w:val="20"/>
          <w:szCs w:val="20"/>
          <w:color w:val="auto"/>
        </w:rPr>
      </w:pPr>
      <w:r>
        <w:rPr>
          <w:rFonts w:ascii="Arial" w:cs="Arial" w:eastAsia="Arial" w:hAnsi="Arial"/>
          <w:sz w:val="19"/>
          <w:szCs w:val="19"/>
          <w:color w:val="auto"/>
        </w:rPr>
        <w:t>Unless forfeited or converted and paid earlier as provided in Section 7 or Section 9 below, the Restricted Stock Units granted hereunder will vest (“Vest”) and be converted into shares of Stock and delivered to the Employee as soon as practicable following the Vesting Date (but in no event later than 60 days following the Vesting Date) provided that the Employee is employed by the Corporation on the Vesting Date. The vesting and conversion from Units to Stock will be one Unit for one share of Stock.</w:t>
      </w:r>
    </w:p>
    <w:p>
      <w:pPr>
        <w:spacing w:after="0" w:line="184"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DIVIDEND EQUIVALENTS</w:t>
      </w:r>
    </w:p>
    <w:p>
      <w:pPr>
        <w:spacing w:after="0" w:line="235"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On the date that the Awards Vest, dividend equivalents will be credited to the Employee in an amount equal to the aggregate amount of dividends paid on a share of Stock during the Restriction Period multiplied by the number of Restricted Stock Units. The dividend equivalent amounts shall be paid as soon as practicable following the Vesting Date from the general assets of the Corporation and shall be treated and reported as additional compensation for the year in which payment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7" w:name="page48"/>
    <w:bookmarkEnd w:id="47"/>
    <w:p>
      <w:pPr>
        <w:ind w:left="880" w:hanging="872"/>
        <w:spacing w:after="0"/>
        <w:tabs>
          <w:tab w:leader="none" w:pos="88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TRANSFERABLE ONLY UPON DEATH</w:t>
      </w:r>
    </w:p>
    <w:p>
      <w:pPr>
        <w:spacing w:after="0" w:line="235"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This Restricted Stock Unit grant shall not be assignable or transferable by the Employee except by will or the laws of descent and distribution.</w:t>
      </w:r>
    </w:p>
    <w:p>
      <w:pPr>
        <w:spacing w:after="0" w:line="184" w:lineRule="exact"/>
        <w:rPr>
          <w:sz w:val="20"/>
          <w:szCs w:val="20"/>
          <w:color w:val="auto"/>
        </w:rPr>
      </w:pPr>
    </w:p>
    <w:p>
      <w:pPr>
        <w:ind w:left="880" w:hanging="872"/>
        <w:spacing w:after="0"/>
        <w:tabs>
          <w:tab w:leader="none" w:pos="88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RETIREMENT, DISABILITY OR DEATH</w:t>
      </w:r>
    </w:p>
    <w:p>
      <w:pPr>
        <w:spacing w:after="0" w:line="235" w:lineRule="exact"/>
        <w:rPr>
          <w:rFonts w:ascii="Arial" w:cs="Arial" w:eastAsia="Arial" w:hAnsi="Arial"/>
          <w:sz w:val="20"/>
          <w:szCs w:val="20"/>
          <w:b w:val="1"/>
          <w:bCs w:val="1"/>
          <w:color w:val="auto"/>
        </w:rPr>
      </w:pPr>
    </w:p>
    <w:p>
      <w:pPr>
        <w:jc w:val="both"/>
        <w:ind w:left="1740" w:hanging="868"/>
        <w:spacing w:after="0" w:line="246" w:lineRule="auto"/>
        <w:tabs>
          <w:tab w:leader="none" w:pos="1740"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If the Employee’s employment with the Corporation is terminated prior to the Vesting Date for any reason other than on account of death, Disability or Retirement (in each case, as defined below), whether by the Employee or by the Corporation, and in the latter case whether with or without cause, then the Units will be forfeited upon such termination.</w:t>
      </w:r>
    </w:p>
    <w:p>
      <w:pPr>
        <w:spacing w:after="0" w:line="205" w:lineRule="exact"/>
        <w:rPr>
          <w:rFonts w:ascii="Arial" w:cs="Arial" w:eastAsia="Arial" w:hAnsi="Arial"/>
          <w:sz w:val="20"/>
          <w:szCs w:val="20"/>
          <w:color w:val="auto"/>
        </w:rPr>
      </w:pPr>
    </w:p>
    <w:p>
      <w:pPr>
        <w:jc w:val="both"/>
        <w:ind w:left="1740" w:hanging="868"/>
        <w:spacing w:after="0" w:line="270"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Retirement or Disability</w:t>
      </w:r>
      <w:r>
        <w:rPr>
          <w:rFonts w:ascii="Arial" w:cs="Arial" w:eastAsia="Arial" w:hAnsi="Arial"/>
          <w:sz w:val="18"/>
          <w:szCs w:val="18"/>
          <w:color w:val="auto"/>
        </w:rPr>
        <w:t>. If the Employee’s employment with the Corporation is terminated prior to the Vesting Date upon Retirement (as defined below) or as the result of a disability under circumstances entitling the Employee to the commencement of benefits under a long-term disability plan maintained by the Corporation (“Disability”), then the terms of all outstanding Units shall be unaffected by such Retirement or Disability; provided, however, that in the case of the Employee’s termination on account of Retirement or Disability, if the Vesting Date occurs following such termination but before the date which is six months following such termination, to the extent compliance with the requirements of Treas. Reg. § 1.409A-3(i)(2) (or any successor provision) is necessary to avoid the application of an additional tax under Section 409A of the Internal Revenue Code of 1986, as amended (“Section 409A), the date shares of Stock are delivered pursuant to Section 4 shall be postponed until the date that is six months following such termination. “Retirement” is defined as termination of employment with the Corporation after reaching age 62 under circumstances that qualify for normal retirement in accordance with the Martin Marietta Materials, Inc. Pension Plan; provided, that, the Committee may in its sole discretion classify an Employee’s termination of employment as Retirement under other circumstances.</w:t>
      </w:r>
    </w:p>
    <w:p>
      <w:pPr>
        <w:spacing w:after="0" w:line="190" w:lineRule="exact"/>
        <w:rPr>
          <w:rFonts w:ascii="Arial" w:cs="Arial" w:eastAsia="Arial" w:hAnsi="Arial"/>
          <w:sz w:val="18"/>
          <w:szCs w:val="18"/>
          <w:color w:val="auto"/>
        </w:rPr>
      </w:pPr>
    </w:p>
    <w:p>
      <w:pPr>
        <w:jc w:val="both"/>
        <w:ind w:left="1740" w:hanging="868"/>
        <w:spacing w:after="0" w:line="291"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prior to the Vesting Date, the Employee dies while employed by the Corporation or after termination by reason of Retirement or Disability, then the Restriction Period shall lapse and the Vesting Period shall be accelerated and all outstanding Units shall be converted into shares of Stock and delivered to the Employee’s estate or beneficiary.</w:t>
      </w:r>
    </w:p>
    <w:p>
      <w:pPr>
        <w:spacing w:after="0" w:line="165" w:lineRule="exact"/>
        <w:rPr>
          <w:rFonts w:ascii="Arial" w:cs="Arial" w:eastAsia="Arial" w:hAnsi="Arial"/>
          <w:sz w:val="18"/>
          <w:szCs w:val="18"/>
          <w:color w:val="auto"/>
        </w:rPr>
      </w:pPr>
    </w:p>
    <w:p>
      <w:pPr>
        <w:ind w:left="1740" w:right="20" w:hanging="868"/>
        <w:spacing w:after="0" w:line="260" w:lineRule="auto"/>
        <w:tabs>
          <w:tab w:leader="none" w:pos="1740"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Committee Negative Discretion</w:t>
      </w:r>
      <w:r>
        <w:rPr>
          <w:rFonts w:ascii="Arial" w:cs="Arial" w:eastAsia="Arial" w:hAnsi="Arial"/>
          <w:sz w:val="20"/>
          <w:szCs w:val="20"/>
          <w:color w:val="auto"/>
        </w:rPr>
        <w:t>. The Committee may in its sole discretion decide to reduce or eliminate any amount otherwise payable with respect to Units under Sections 7(b) or 7(c).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8" w:name="page49"/>
    <w:bookmarkEnd w:id="48"/>
    <w:p>
      <w:pPr>
        <w:ind w:left="880" w:hanging="872"/>
        <w:spacing w:after="0"/>
        <w:tabs>
          <w:tab w:leader="none" w:pos="88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w:t>
      </w:r>
    </w:p>
    <w:p>
      <w:pPr>
        <w:spacing w:after="0" w:line="235"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20"/>
          <w:szCs w:val="20"/>
          <w:color w:val="auto"/>
        </w:rPr>
        <w:t>At the time Units are converted into shares of Stock and delivered to the Employee, the Employee will recognize ordinary income based on the value of the Stock payable in accordance with Section 4. The Corporation shall withhold applicable taxes as required by law at the time of such Vesting by deducting shares of Stock from the payment to satisfy the obligation prior to the delivery of the certificates for shares of Stock. Withholding will be at the minimum rates prescribed by law; therefore, the Employee may owe additional taxes as a result of the distribution. The Employee may not request tax to be withheld at greater than the minimum rate. If the Employee terminates employment on account of Disability or Retirement and the Units are not forfeited, the Corporation may require the Employee to pay to the Corporation or withhold from the Employee’s compensation, by canceling Units or otherwise, an amount equal to satisfy the obligation to withhold federal employment taxes as required by law.</w:t>
      </w:r>
    </w:p>
    <w:p>
      <w:pPr>
        <w:spacing w:after="0" w:line="205" w:lineRule="exact"/>
        <w:rPr>
          <w:sz w:val="20"/>
          <w:szCs w:val="20"/>
          <w:color w:val="auto"/>
        </w:rPr>
      </w:pPr>
    </w:p>
    <w:p>
      <w:pPr>
        <w:ind w:left="880" w:hanging="872"/>
        <w:spacing w:after="0"/>
        <w:tabs>
          <w:tab w:leader="none" w:pos="88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p>
    <w:p>
      <w:pPr>
        <w:spacing w:after="0" w:line="235"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In the event of a Change in Control, the Restriction Period of all outstanding Units shall lapse and:</w:t>
      </w:r>
    </w:p>
    <w:p>
      <w:pPr>
        <w:spacing w:after="0" w:line="229" w:lineRule="exact"/>
        <w:rPr>
          <w:rFonts w:ascii="Arial" w:cs="Arial" w:eastAsia="Arial" w:hAnsi="Arial"/>
          <w:sz w:val="20"/>
          <w:szCs w:val="20"/>
          <w:b w:val="1"/>
          <w:bCs w:val="1"/>
          <w:color w:val="auto"/>
        </w:rPr>
      </w:pPr>
    </w:p>
    <w:p>
      <w:pPr>
        <w:jc w:val="both"/>
        <w:ind w:left="1740" w:hanging="868"/>
        <w:spacing w:after="0" w:line="263" w:lineRule="auto"/>
        <w:tabs>
          <w:tab w:leader="none" w:pos="17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such Change in Control is a “change in the ownership or effective control” of the Corporation, or “in the ownership of a substantial portion of the assets of” the Corporation within the meaning of Section 409A(a)(2)(A)(v) of the Code, then, the Vesting Date shall be accelerated, all outstanding Units shall convert to shares of Stock and such shares will be distributed no later than 15 days following the date of such Change in Control; or</w:t>
      </w:r>
    </w:p>
    <w:p>
      <w:pPr>
        <w:spacing w:after="0" w:line="190" w:lineRule="exact"/>
        <w:rPr>
          <w:rFonts w:ascii="Arial" w:cs="Arial" w:eastAsia="Arial" w:hAnsi="Arial"/>
          <w:sz w:val="19"/>
          <w:szCs w:val="19"/>
          <w:color w:val="auto"/>
        </w:rPr>
      </w:pPr>
    </w:p>
    <w:p>
      <w:pPr>
        <w:jc w:val="both"/>
        <w:ind w:left="1740" w:hanging="868"/>
        <w:spacing w:after="0" w:line="259" w:lineRule="auto"/>
        <w:tabs>
          <w:tab w:leader="none" w:pos="17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such Change in Control is not a “change in the ownership or effective control” of the Corporation, or “in the ownership of a substantial portion of the assets of” the Corporation within the meaning of Section 409A(a)(2)(A)(v) of the Code, then, all outstanding Units shall vest and cease to be forfeitable (but the date shares of Stock are delivered pursuant to Section 4 shall not be accelerated) and all outstanding Units shall convert to shares of Stock and be distributed no later than 15 days following the regularly scheduled Vesting Date, without regard to the Employee’s employment status (or changes thereto) following such Change in Control.</w:t>
      </w:r>
    </w:p>
    <w:p>
      <w:pPr>
        <w:spacing w:after="0" w:line="186" w:lineRule="exact"/>
        <w:rPr>
          <w:rFonts w:ascii="Arial" w:cs="Arial" w:eastAsia="Arial" w:hAnsi="Arial"/>
          <w:sz w:val="19"/>
          <w:szCs w:val="19"/>
          <w:color w:val="auto"/>
        </w:rPr>
      </w:pPr>
    </w:p>
    <w:p>
      <w:pPr>
        <w:ind w:left="880" w:hanging="872"/>
        <w:spacing w:after="0"/>
        <w:tabs>
          <w:tab w:leader="none" w:pos="88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TERMINATION OF PLAN OR AWARDS</w:t>
      </w:r>
    </w:p>
    <w:p>
      <w:pPr>
        <w:spacing w:after="0" w:line="235"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color w:val="auto"/>
        </w:rPr>
        <w:t>As provided in Section 7 of the Plan, subject to certain limitations contained within Section 7, the Board of Directors may at any time amend, suspend or discontinue the Plan and the Committee may at any time alter or amend all Award Agreements under the Plan. Notwithstanding Section 7 of the Plan, no such amendment, suspension or discontinuance of the Plan or alteration or amendment of this Award Agreement shall accelerate any distribution under the Plan or, except with the Employee’s express written consent, adversely affect any Restricted Stock Unit granted under this Award Agreement; provided, however, that the Board of Directors or the Committee may amend the Plan or this Award Agreement to the extent it deems appropriate to cause this Agreement or the Units hereunder to comply with Section 409A of the Code (“Section 409A”) (including the distribution requirements thereunder) or be exempt from Section 409A or the tax penalty under Section 409A(a)(1)(B). If the Plan and the Award Agreement are terminated in a manner consistent with the requirements of Treas. Reg. §</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9" w:name="page50"/>
    <w:bookmarkEnd w:id="49"/>
    <w:p>
      <w:pPr>
        <w:spacing w:after="0" w:line="260" w:lineRule="auto"/>
        <w:rPr>
          <w:sz w:val="20"/>
          <w:szCs w:val="20"/>
          <w:color w:val="auto"/>
        </w:rPr>
      </w:pPr>
      <w:r>
        <w:rPr>
          <w:rFonts w:ascii="Arial" w:cs="Arial" w:eastAsia="Arial" w:hAnsi="Arial"/>
          <w:sz w:val="20"/>
          <w:szCs w:val="20"/>
          <w:color w:val="auto"/>
        </w:rPr>
        <w:t>1.409A-3(j)(4)(ix), the Board of Directors may, in its sole discretion, accelerate the conversion of Units to shares of Stock and immediately distribute such shares of Stock to the Employee.</w:t>
      </w:r>
    </w:p>
    <w:p>
      <w:pPr>
        <w:spacing w:after="0" w:line="184" w:lineRule="exact"/>
        <w:rPr>
          <w:sz w:val="20"/>
          <w:szCs w:val="20"/>
          <w:color w:val="auto"/>
        </w:rPr>
      </w:pPr>
    </w:p>
    <w:p>
      <w:pPr>
        <w:ind w:left="880" w:hanging="872"/>
        <w:spacing w:after="0"/>
        <w:tabs>
          <w:tab w:leader="none" w:pos="88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EXECUTION OF AWARD AGREEMENT</w:t>
      </w:r>
    </w:p>
    <w:p>
      <w:pPr>
        <w:spacing w:after="0" w:line="23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8"/>
          <w:szCs w:val="18"/>
          <w:color w:val="auto"/>
        </w:rPr>
        <w:t>No Restricted Stock Unit granted under this Award Agreement is distributable nor is this Award Agreement enforceable until this Award Agreement has been fully executed by the Corporation and the Employee. By executing this Award Agreement, the Employee shall be deemed to have accepted and consented to any action taken under the Plan by the Committee, the Board of Directors or their delegates.</w:t>
      </w:r>
    </w:p>
    <w:p>
      <w:pPr>
        <w:spacing w:after="0" w:line="159" w:lineRule="exact"/>
        <w:rPr>
          <w:sz w:val="20"/>
          <w:szCs w:val="20"/>
          <w:color w:val="auto"/>
        </w:rPr>
      </w:pPr>
    </w:p>
    <w:p>
      <w:pPr>
        <w:ind w:left="880" w:hanging="872"/>
        <w:spacing w:after="0"/>
        <w:tabs>
          <w:tab w:leader="none" w:pos="88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35" w:lineRule="exact"/>
        <w:rPr>
          <w:rFonts w:ascii="Arial" w:cs="Arial" w:eastAsia="Arial" w:hAnsi="Arial"/>
          <w:sz w:val="20"/>
          <w:szCs w:val="20"/>
          <w:b w:val="1"/>
          <w:bCs w:val="1"/>
          <w:color w:val="auto"/>
        </w:rPr>
      </w:pPr>
    </w:p>
    <w:p>
      <w:pPr>
        <w:jc w:val="both"/>
        <w:ind w:left="1760" w:hanging="739"/>
        <w:spacing w:after="0" w:line="250" w:lineRule="auto"/>
        <w:tabs>
          <w:tab w:leader="none" w:pos="1760" w:val="left"/>
        </w:tabs>
        <w:numPr>
          <w:ilvl w:val="1"/>
          <w:numId w:val="33"/>
        </w:numPr>
        <w:rPr>
          <w:rFonts w:ascii="Arial" w:cs="Arial" w:eastAsia="Arial" w:hAnsi="Arial"/>
          <w:sz w:val="20"/>
          <w:szCs w:val="20"/>
          <w:color w:val="auto"/>
        </w:rPr>
      </w:pPr>
      <w:r>
        <w:rPr>
          <w:rFonts w:ascii="Arial" w:cs="Arial" w:eastAsia="Arial" w:hAnsi="Arial"/>
          <w:sz w:val="20"/>
          <w:szCs w:val="20"/>
          <w:color w:val="auto"/>
        </w:rPr>
        <w:t>Nothing contained in the Award Agreement confers on the Employee the rights of a shareholder with respect to this Restricted Stock Unit award during the Restriction Period and before the Employee becomes the holder of record of the shares of Stock payable.</w:t>
      </w:r>
    </w:p>
    <w:p>
      <w:pPr>
        <w:spacing w:after="0" w:line="199" w:lineRule="exact"/>
        <w:rPr>
          <w:rFonts w:ascii="Arial" w:cs="Arial" w:eastAsia="Arial" w:hAnsi="Arial"/>
          <w:sz w:val="20"/>
          <w:szCs w:val="20"/>
          <w:color w:val="auto"/>
        </w:rPr>
      </w:pPr>
    </w:p>
    <w:p>
      <w:pPr>
        <w:ind w:left="1760" w:hanging="739"/>
        <w:spacing w:after="0" w:line="316" w:lineRule="auto"/>
        <w:tabs>
          <w:tab w:leader="none" w:pos="1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purposes of this Award Agreement, the Employee will be considered to be in the employ of the Corporation during an approved leave of absence unless otherwise provided in an agreement between the Employee and the Corporation.</w:t>
      </w:r>
    </w:p>
    <w:p>
      <w:pPr>
        <w:spacing w:after="0" w:line="143" w:lineRule="exact"/>
        <w:rPr>
          <w:rFonts w:ascii="Arial" w:cs="Arial" w:eastAsia="Arial" w:hAnsi="Arial"/>
          <w:sz w:val="18"/>
          <w:szCs w:val="18"/>
          <w:color w:val="auto"/>
        </w:rPr>
      </w:pPr>
    </w:p>
    <w:p>
      <w:pPr>
        <w:jc w:val="both"/>
        <w:ind w:left="1760" w:hanging="739"/>
        <w:spacing w:after="0" w:line="250" w:lineRule="auto"/>
        <w:tabs>
          <w:tab w:leader="none" w:pos="1760" w:val="left"/>
        </w:tabs>
        <w:numPr>
          <w:ilvl w:val="1"/>
          <w:numId w:val="33"/>
        </w:numPr>
        <w:rPr>
          <w:rFonts w:ascii="Arial" w:cs="Arial" w:eastAsia="Arial" w:hAnsi="Arial"/>
          <w:sz w:val="20"/>
          <w:szCs w:val="20"/>
          <w:color w:val="auto"/>
        </w:rPr>
      </w:pPr>
      <w:r>
        <w:rPr>
          <w:rFonts w:ascii="Arial" w:cs="Arial" w:eastAsia="Arial" w:hAnsi="Arial"/>
          <w:sz w:val="20"/>
          <w:szCs w:val="20"/>
          <w:color w:val="auto"/>
        </w:rPr>
        <w:t>Nothing contained in this Award Agreement or in any Restricted Stock Unit granted hereunder shall confer upon any Employee any right of continued employment by the Corporation, express or implied, nor limit in any way the right of the Corporation to terminate the Employee’s employment at any time.</w:t>
      </w:r>
    </w:p>
    <w:p>
      <w:pPr>
        <w:spacing w:after="0" w:line="199" w:lineRule="exact"/>
        <w:rPr>
          <w:rFonts w:ascii="Arial" w:cs="Arial" w:eastAsia="Arial" w:hAnsi="Arial"/>
          <w:sz w:val="20"/>
          <w:szCs w:val="20"/>
          <w:color w:val="auto"/>
        </w:rPr>
      </w:pPr>
    </w:p>
    <w:p>
      <w:pPr>
        <w:ind w:left="1760" w:hanging="739"/>
        <w:spacing w:after="0" w:line="260" w:lineRule="auto"/>
        <w:tabs>
          <w:tab w:leader="none" w:pos="1760" w:val="left"/>
        </w:tabs>
        <w:numPr>
          <w:ilvl w:val="1"/>
          <w:numId w:val="33"/>
        </w:numPr>
        <w:rPr>
          <w:rFonts w:ascii="Arial" w:cs="Arial" w:eastAsia="Arial" w:hAnsi="Arial"/>
          <w:sz w:val="20"/>
          <w:szCs w:val="20"/>
          <w:color w:val="auto"/>
        </w:rPr>
      </w:pPr>
      <w:r>
        <w:rPr>
          <w:rFonts w:ascii="Arial" w:cs="Arial" w:eastAsia="Arial" w:hAnsi="Arial"/>
          <w:sz w:val="20"/>
          <w:szCs w:val="20"/>
          <w:color w:val="auto"/>
        </w:rPr>
        <w:t>Except as provided under Section 6 herein, neither these Units nor any of the rights or obligations hereunder shall be assigned or delegated by either party hereto.</w:t>
      </w:r>
    </w:p>
    <w:p>
      <w:pPr>
        <w:spacing w:after="0" w:line="190" w:lineRule="exact"/>
        <w:rPr>
          <w:rFonts w:ascii="Arial" w:cs="Arial" w:eastAsia="Arial" w:hAnsi="Arial"/>
          <w:sz w:val="20"/>
          <w:szCs w:val="20"/>
          <w:color w:val="auto"/>
        </w:rPr>
      </w:pPr>
    </w:p>
    <w:p>
      <w:pPr>
        <w:ind w:left="1760" w:hanging="739"/>
        <w:spacing w:after="0" w:line="260" w:lineRule="auto"/>
        <w:tabs>
          <w:tab w:leader="none" w:pos="1760" w:val="left"/>
        </w:tabs>
        <w:numPr>
          <w:ilvl w:val="1"/>
          <w:numId w:val="33"/>
        </w:numPr>
        <w:rPr>
          <w:rFonts w:ascii="Arial" w:cs="Arial" w:eastAsia="Arial" w:hAnsi="Arial"/>
          <w:sz w:val="20"/>
          <w:szCs w:val="20"/>
          <w:color w:val="auto"/>
        </w:rPr>
      </w:pPr>
      <w:r>
        <w:rPr>
          <w:rFonts w:ascii="Arial" w:cs="Arial" w:eastAsia="Arial" w:hAnsi="Arial"/>
          <w:sz w:val="20"/>
          <w:szCs w:val="20"/>
          <w:color w:val="auto"/>
        </w:rPr>
        <w:t>Capitalized terms used but not defined in this Award Agreement shall have the meanings assigned to such terms in the Plan.</w:t>
      </w:r>
    </w:p>
    <w:p>
      <w:pPr>
        <w:spacing w:after="0" w:line="190" w:lineRule="exact"/>
        <w:rPr>
          <w:rFonts w:ascii="Arial" w:cs="Arial" w:eastAsia="Arial" w:hAnsi="Arial"/>
          <w:sz w:val="20"/>
          <w:szCs w:val="20"/>
          <w:color w:val="auto"/>
        </w:rPr>
      </w:pPr>
    </w:p>
    <w:p>
      <w:pPr>
        <w:ind w:left="1760" w:hanging="739"/>
        <w:spacing w:after="0" w:line="260" w:lineRule="auto"/>
        <w:tabs>
          <w:tab w:leader="none" w:pos="1760" w:val="left"/>
        </w:tabs>
        <w:numPr>
          <w:ilvl w:val="1"/>
          <w:numId w:val="33"/>
        </w:numPr>
        <w:rPr>
          <w:rFonts w:ascii="Arial" w:cs="Arial" w:eastAsia="Arial" w:hAnsi="Arial"/>
          <w:sz w:val="20"/>
          <w:szCs w:val="20"/>
          <w:color w:val="auto"/>
        </w:rPr>
      </w:pPr>
      <w:r>
        <w:rPr>
          <w:rFonts w:ascii="Arial" w:cs="Arial" w:eastAsia="Arial" w:hAnsi="Arial"/>
          <w:sz w:val="20"/>
          <w:szCs w:val="20"/>
          <w:color w:val="auto"/>
        </w:rPr>
        <w:t>To the extent there is a conflict between the terms of the Plan and this Award Agreement, the terms of the Plan shall govern.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0" w:name="page51"/>
    <w:bookmarkEnd w:id="50"/>
    <w:p>
      <w:pPr>
        <w:ind w:left="880" w:hanging="872"/>
        <w:spacing w:after="0"/>
        <w:tabs>
          <w:tab w:leader="none" w:pos="88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35" w:lineRule="exact"/>
        <w:rPr>
          <w:sz w:val="20"/>
          <w:szCs w:val="20"/>
          <w:color w:val="auto"/>
        </w:rPr>
      </w:pPr>
    </w:p>
    <w:p>
      <w:pPr>
        <w:ind w:right="20" w:firstLine="877"/>
        <w:spacing w:after="0" w:line="287" w:lineRule="auto"/>
        <w:rPr>
          <w:sz w:val="20"/>
          <w:szCs w:val="20"/>
          <w:color w:val="auto"/>
        </w:rPr>
      </w:pPr>
      <w:r>
        <w:rPr>
          <w:rFonts w:ascii="Arial" w:cs="Arial" w:eastAsia="Arial" w:hAnsi="Arial"/>
          <w:sz w:val="19"/>
          <w:szCs w:val="19"/>
          <w:color w:val="auto"/>
        </w:rPr>
        <w:t>Notices and all other communications provided for in this Award Agreement shall be in writing and shall be deemed to have been duly given when personally delivered or when mailed by overnight mail courier service, postage prepaid, addressed as follows: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the Employee, to the most recent address</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on file with the Corporation.</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the Corporation, to:</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Martin Marietta Materials, Inc.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2710 Wycliff Road</w:t>
      </w:r>
    </w:p>
    <w:p>
      <w:pPr>
        <w:ind w:left="880"/>
        <w:spacing w:after="0"/>
        <w:rPr>
          <w:sz w:val="20"/>
          <w:szCs w:val="20"/>
          <w:color w:val="auto"/>
        </w:rPr>
      </w:pPr>
      <w:r>
        <w:rPr>
          <w:rFonts w:ascii="Arial" w:cs="Arial" w:eastAsia="Arial" w:hAnsi="Arial"/>
          <w:sz w:val="20"/>
          <w:szCs w:val="20"/>
          <w:color w:val="auto"/>
        </w:rPr>
        <w:t>Raleigh, NC 27607</w:t>
      </w:r>
    </w:p>
    <w:p>
      <w:pPr>
        <w:ind w:left="880"/>
        <w:spacing w:after="0"/>
        <w:rPr>
          <w:sz w:val="20"/>
          <w:szCs w:val="20"/>
          <w:color w:val="auto"/>
        </w:rPr>
      </w:pPr>
      <w:r>
        <w:rPr>
          <w:rFonts w:ascii="Arial" w:cs="Arial" w:eastAsia="Arial" w:hAnsi="Arial"/>
          <w:sz w:val="20"/>
          <w:szCs w:val="20"/>
          <w:color w:val="auto"/>
        </w:rPr>
        <w:t>Fax: (919) 783-4535</w:t>
      </w:r>
    </w:p>
    <w:p>
      <w:pPr>
        <w:ind w:left="880"/>
        <w:spacing w:after="0"/>
        <w:rPr>
          <w:sz w:val="20"/>
          <w:szCs w:val="20"/>
          <w:color w:val="auto"/>
        </w:rPr>
      </w:pPr>
      <w:r>
        <w:rPr>
          <w:rFonts w:ascii="Arial" w:cs="Arial" w:eastAsia="Arial" w:hAnsi="Arial"/>
          <w:sz w:val="20"/>
          <w:szCs w:val="20"/>
          <w:color w:val="auto"/>
        </w:rPr>
        <w:t>Attn: Corporate Secretary</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or to such other address or such other person as the Employee or the Corporation shall designate in writing in accordance with this Section 13, except that notices regarding changes in notices shall be effective only upon receipt.</w:t>
      </w:r>
    </w:p>
    <w:p>
      <w:pPr>
        <w:spacing w:after="0" w:line="184" w:lineRule="exact"/>
        <w:rPr>
          <w:sz w:val="20"/>
          <w:szCs w:val="20"/>
          <w:color w:val="auto"/>
        </w:rPr>
      </w:pPr>
    </w:p>
    <w:p>
      <w:pPr>
        <w:ind w:left="880" w:hanging="872"/>
        <w:spacing w:after="0"/>
        <w:tabs>
          <w:tab w:leader="none" w:pos="8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35"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This Award Agreement shall be governed by the laws of the State of North Carolina.</w:t>
      </w:r>
    </w:p>
    <w:p>
      <w:pPr>
        <w:spacing w:after="0" w:line="229"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IN WITNESS WHEREOF, the Corporation has caused this Award Agreement to be executed and the Employee has hereunto set his hand as of the day and year first above written.</w:t>
      </w:r>
    </w:p>
    <w:p>
      <w:pPr>
        <w:spacing w:after="0" w:line="200" w:lineRule="exact"/>
        <w:rPr>
          <w:sz w:val="20"/>
          <w:szCs w:val="20"/>
          <w:color w:val="auto"/>
        </w:rPr>
      </w:pPr>
    </w:p>
    <w:p>
      <w:pPr>
        <w:spacing w:after="0" w:line="214"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MARTIN MARIETTA MATERIALS, INC.</w:t>
      </w:r>
    </w:p>
    <w:p>
      <w:pPr>
        <w:spacing w:after="0" w:line="235"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Roselyn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10160</wp:posOffset>
            </wp:positionV>
            <wp:extent cx="26155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20"/>
          <w:szCs w:val="20"/>
          <w:color w:val="auto"/>
        </w:rPr>
        <w:t>Roselyn Bar</w:t>
      </w:r>
    </w:p>
    <w:p>
      <w:pPr>
        <w:spacing w:after="0" w:line="8" w:lineRule="exact"/>
        <w:rPr>
          <w:sz w:val="20"/>
          <w:szCs w:val="20"/>
          <w:color w:val="auto"/>
        </w:rPr>
      </w:pPr>
    </w:p>
    <w:p>
      <w:pPr>
        <w:ind w:left="7300"/>
        <w:spacing w:after="0"/>
        <w:rPr>
          <w:sz w:val="20"/>
          <w:szCs w:val="20"/>
          <w:color w:val="auto"/>
        </w:rPr>
      </w:pPr>
      <w:r>
        <w:rPr>
          <w:rFonts w:ascii="Arial" w:cs="Arial" w:eastAsia="Arial" w:hAnsi="Arial"/>
          <w:sz w:val="19"/>
          <w:szCs w:val="19"/>
          <w:color w:val="auto"/>
        </w:rPr>
        <w:t>Executive Vice President, General Counsel and</w:t>
      </w:r>
    </w:p>
    <w:p>
      <w:pPr>
        <w:spacing w:after="0" w:line="11"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3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EMPLOYEE</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0</wp:posOffset>
            </wp:positionV>
            <wp:extent cx="26155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20"/>
          <w:szCs w:val="20"/>
          <w:color w:val="auto"/>
        </w:rPr>
        <w:t>(Employee’s Signature)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3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10.02</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MARTIN MARIETTA MATERIALS,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PERFORMANCE SHARE UNIT AWARD AGREEMENT</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PERFORMANCE SHARE UNIT AWARD AGREEMENT, made as of [_______________] (the “</w:t>
      </w:r>
      <w:r>
        <w:rPr>
          <w:rFonts w:ascii="Arial" w:cs="Arial" w:eastAsia="Arial" w:hAnsi="Arial"/>
          <w:sz w:val="19"/>
          <w:szCs w:val="19"/>
          <w:b w:val="1"/>
          <w:bCs w:val="1"/>
          <w:color w:val="auto"/>
        </w:rPr>
        <w:t>Award Agreement</w:t>
      </w:r>
      <w:r>
        <w:rPr>
          <w:rFonts w:ascii="Arial" w:cs="Arial" w:eastAsia="Arial" w:hAnsi="Arial"/>
          <w:sz w:val="19"/>
          <w:szCs w:val="19"/>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between Martin Marietta Materials, Inc., a North Carolina corporation (the “</w:t>
      </w:r>
      <w:r>
        <w:rPr>
          <w:rFonts w:ascii="Arial" w:cs="Arial" w:eastAsia="Arial" w:hAnsi="Arial"/>
          <w:sz w:val="19"/>
          <w:szCs w:val="19"/>
          <w:b w:val="1"/>
          <w:bCs w:val="1"/>
          <w:color w:val="auto"/>
        </w:rPr>
        <w:t>Company</w:t>
      </w:r>
      <w:r>
        <w:rPr>
          <w:rFonts w:ascii="Arial" w:cs="Arial" w:eastAsia="Arial" w:hAnsi="Arial"/>
          <w:sz w:val="19"/>
          <w:szCs w:val="19"/>
          <w:color w:val="auto"/>
        </w:rPr>
        <w:t>”), _______________________ (the “</w:t>
      </w:r>
      <w:r>
        <w:rPr>
          <w:rFonts w:ascii="Arial" w:cs="Arial" w:eastAsia="Arial" w:hAnsi="Arial"/>
          <w:sz w:val="19"/>
          <w:szCs w:val="19"/>
          <w:b w:val="1"/>
          <w:bCs w:val="1"/>
          <w:color w:val="auto"/>
        </w:rPr>
        <w:t>Employee</w:t>
      </w:r>
      <w:r>
        <w:rPr>
          <w:rFonts w:ascii="Arial" w:cs="Arial" w:eastAsia="Arial" w:hAnsi="Arial"/>
          <w:sz w:val="19"/>
          <w:szCs w:val="19"/>
          <w:color w:val="auto"/>
        </w:rPr>
        <w:t>”).</w:t>
      </w:r>
    </w:p>
    <w:p>
      <w:pPr>
        <w:spacing w:after="0" w:line="97" w:lineRule="exact"/>
        <w:rPr>
          <w:sz w:val="20"/>
          <w:szCs w:val="20"/>
          <w:color w:val="auto"/>
        </w:rPr>
      </w:pPr>
    </w:p>
    <w:p>
      <w:pPr>
        <w:ind w:left="880" w:hanging="872"/>
        <w:spacing w:after="0"/>
        <w:tabs>
          <w:tab w:leader="none" w:pos="88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GRANT</w:t>
      </w:r>
    </w:p>
    <w:p>
      <w:pPr>
        <w:spacing w:after="0" w:line="229" w:lineRule="exact"/>
        <w:rPr>
          <w:sz w:val="20"/>
          <w:szCs w:val="20"/>
          <w:color w:val="auto"/>
        </w:rPr>
      </w:pPr>
    </w:p>
    <w:p>
      <w:pPr>
        <w:jc w:val="both"/>
        <w:ind w:firstLine="877"/>
        <w:spacing w:after="0" w:line="313" w:lineRule="auto"/>
        <w:rPr>
          <w:sz w:val="20"/>
          <w:szCs w:val="20"/>
          <w:color w:val="auto"/>
        </w:rPr>
      </w:pPr>
      <w:r>
        <w:rPr>
          <w:rFonts w:ascii="Arial" w:cs="Arial" w:eastAsia="Arial" w:hAnsi="Arial"/>
          <w:sz w:val="16"/>
          <w:szCs w:val="16"/>
          <w:color w:val="auto"/>
        </w:rPr>
        <w:t>Pursuant to the Martin Marietta Materials, Inc. Amended and Restated Stock-Based Award Plan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the Company hereby grants the Employee </w:t>
      </w:r>
      <w:r>
        <w:rPr>
          <w:rFonts w:ascii="Arial" w:cs="Arial" w:eastAsia="Arial" w:hAnsi="Arial"/>
          <w:sz w:val="16"/>
          <w:szCs w:val="16"/>
          <w:b w:val="1"/>
          <w:bCs w:val="1"/>
          <w:color w:val="auto"/>
        </w:rPr>
        <w:t>__________</w:t>
      </w:r>
      <w:r>
        <w:rPr>
          <w:rFonts w:ascii="Arial" w:cs="Arial" w:eastAsia="Arial" w:hAnsi="Arial"/>
          <w:sz w:val="16"/>
          <w:szCs w:val="16"/>
          <w:color w:val="auto"/>
        </w:rPr>
        <w:t xml:space="preserve"> Performance Share Units (the “</w:t>
      </w:r>
      <w:r>
        <w:rPr>
          <w:rFonts w:ascii="Arial" w:cs="Arial" w:eastAsia="Arial" w:hAnsi="Arial"/>
          <w:sz w:val="16"/>
          <w:szCs w:val="16"/>
          <w:b w:val="1"/>
          <w:bCs w:val="1"/>
          <w:color w:val="auto"/>
        </w:rPr>
        <w:t>Award</w:t>
      </w:r>
      <w:r>
        <w:rPr>
          <w:rFonts w:ascii="Arial" w:cs="Arial" w:eastAsia="Arial" w:hAnsi="Arial"/>
          <w:sz w:val="16"/>
          <w:szCs w:val="16"/>
          <w:color w:val="auto"/>
        </w:rPr>
        <w:t>”) as the target amount of a performance-based stock unit award on the</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terms and conditions contained in this Award Agreement, and subject to the terms and conditions of the Plan. Depending on the Company’s performance as set forth in Section 4, the participant may earn zero percent (0%) to two hundred percent (200%) of the target number of Performance Share Units awarded. The term “</w:t>
      </w:r>
      <w:r>
        <w:rPr>
          <w:rFonts w:ascii="Arial" w:cs="Arial" w:eastAsia="Arial" w:hAnsi="Arial"/>
          <w:sz w:val="20"/>
          <w:szCs w:val="20"/>
          <w:b w:val="1"/>
          <w:bCs w:val="1"/>
          <w:color w:val="auto"/>
        </w:rPr>
        <w:t>Performance Share Unit</w:t>
      </w:r>
      <w:r>
        <w:rPr>
          <w:rFonts w:ascii="Arial" w:cs="Arial" w:eastAsia="Arial" w:hAnsi="Arial"/>
          <w:sz w:val="20"/>
          <w:szCs w:val="20"/>
          <w:color w:val="auto"/>
        </w:rPr>
        <w:t>” or “</w:t>
      </w:r>
      <w:r>
        <w:rPr>
          <w:rFonts w:ascii="Arial" w:cs="Arial" w:eastAsia="Arial" w:hAnsi="Arial"/>
          <w:sz w:val="20"/>
          <w:szCs w:val="20"/>
          <w:b w:val="1"/>
          <w:bCs w:val="1"/>
          <w:color w:val="auto"/>
        </w:rPr>
        <w:t>PSU(s)</w:t>
      </w:r>
      <w:r>
        <w:rPr>
          <w:rFonts w:ascii="Arial" w:cs="Arial" w:eastAsia="Arial" w:hAnsi="Arial"/>
          <w:sz w:val="20"/>
          <w:szCs w:val="20"/>
          <w:color w:val="auto"/>
        </w:rPr>
        <w:t>” as used in this Award Agreement refers only to the Performance Share Units awarded to the Employee under this Award Agreement.</w:t>
      </w:r>
    </w:p>
    <w:p>
      <w:pPr>
        <w:spacing w:after="0" w:line="202" w:lineRule="exact"/>
        <w:rPr>
          <w:sz w:val="20"/>
          <w:szCs w:val="20"/>
          <w:color w:val="auto"/>
        </w:rPr>
      </w:pPr>
    </w:p>
    <w:p>
      <w:pPr>
        <w:ind w:left="880" w:hanging="872"/>
        <w:spacing w:after="0"/>
        <w:tabs>
          <w:tab w:leader="none" w:pos="88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GRANT DATE</w:t>
      </w:r>
    </w:p>
    <w:p>
      <w:pPr>
        <w:spacing w:after="0" w:line="235"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The Grant Date is [_______________].</w:t>
      </w:r>
    </w:p>
    <w:p>
      <w:pPr>
        <w:spacing w:after="0" w:line="223" w:lineRule="exact"/>
        <w:rPr>
          <w:rFonts w:ascii="Arial" w:cs="Arial" w:eastAsia="Arial" w:hAnsi="Arial"/>
          <w:sz w:val="20"/>
          <w:szCs w:val="20"/>
          <w:b w:val="1"/>
          <w:bCs w:val="1"/>
          <w:color w:val="auto"/>
        </w:rPr>
      </w:pPr>
    </w:p>
    <w:p>
      <w:pPr>
        <w:ind w:left="880" w:hanging="872"/>
        <w:spacing w:after="0"/>
        <w:tabs>
          <w:tab w:leader="none" w:pos="88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MEASUREMENT PERIOD</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Subject to the terms and conditions hereof and of the Plan, the measurement period begins on [_______________] and ends 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 (the “</w:t>
      </w:r>
      <w:r>
        <w:rPr>
          <w:rFonts w:ascii="Arial" w:cs="Arial" w:eastAsia="Arial" w:hAnsi="Arial"/>
          <w:sz w:val="18"/>
          <w:szCs w:val="18"/>
          <w:b w:val="1"/>
          <w:bCs w:val="1"/>
          <w:color w:val="auto"/>
        </w:rPr>
        <w:t>Measurement Period</w:t>
      </w:r>
      <w:r>
        <w:rPr>
          <w:rFonts w:ascii="Arial" w:cs="Arial" w:eastAsia="Arial" w:hAnsi="Arial"/>
          <w:sz w:val="18"/>
          <w:szCs w:val="18"/>
          <w:color w:val="auto"/>
        </w:rPr>
        <w:t>”). Except as otherwise provided in this Award Agreement or the Plan, the PSUs will become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vested on December 31, [__________], at the end of the Measurement Period (the “</w:t>
      </w:r>
      <w:r>
        <w:rPr>
          <w:rFonts w:ascii="Arial" w:cs="Arial" w:eastAsia="Arial" w:hAnsi="Arial"/>
          <w:sz w:val="20"/>
          <w:szCs w:val="20"/>
          <w:b w:val="1"/>
          <w:bCs w:val="1"/>
          <w:color w:val="auto"/>
        </w:rPr>
        <w:t>Vesting Date</w:t>
      </w:r>
      <w:r>
        <w:rPr>
          <w:rFonts w:ascii="Arial" w:cs="Arial" w:eastAsia="Arial" w:hAnsi="Arial"/>
          <w:sz w:val="20"/>
          <w:szCs w:val="20"/>
          <w:color w:val="auto"/>
        </w:rPr>
        <w:t>”), as described in Section 4.</w:t>
      </w:r>
    </w:p>
    <w:p>
      <w:pPr>
        <w:spacing w:after="0" w:line="207" w:lineRule="exact"/>
        <w:rPr>
          <w:sz w:val="20"/>
          <w:szCs w:val="20"/>
          <w:color w:val="auto"/>
        </w:rPr>
      </w:pPr>
    </w:p>
    <w:p>
      <w:pPr>
        <w:ind w:left="880" w:hanging="872"/>
        <w:spacing w:after="0"/>
        <w:tabs>
          <w:tab w:leader="none" w:pos="88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PERFORMANCE SHARE UNITS</w:t>
      </w:r>
    </w:p>
    <w:p>
      <w:pPr>
        <w:spacing w:after="0" w:line="235" w:lineRule="exact"/>
        <w:rPr>
          <w:rFonts w:ascii="Arial" w:cs="Arial" w:eastAsia="Arial" w:hAnsi="Arial"/>
          <w:sz w:val="20"/>
          <w:szCs w:val="20"/>
          <w:b w:val="1"/>
          <w:bCs w:val="1"/>
          <w:color w:val="auto"/>
        </w:rPr>
      </w:pPr>
    </w:p>
    <w:p>
      <w:pPr>
        <w:jc w:val="both"/>
        <w:ind w:left="1520" w:hanging="648"/>
        <w:spacing w:after="0" w:line="246" w:lineRule="auto"/>
        <w:tabs>
          <w:tab w:leader="none" w:pos="1520"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 xml:space="preserve"> Unless forfeited or converted and paid earlier as provided in Sections 7 and 9 below, the Performance Share Units granted hereunder will vest (“</w:t>
      </w:r>
      <w:r>
        <w:rPr>
          <w:rFonts w:ascii="Arial" w:cs="Arial" w:eastAsia="Arial" w:hAnsi="Arial"/>
          <w:sz w:val="20"/>
          <w:szCs w:val="20"/>
          <w:b w:val="1"/>
          <w:bCs w:val="1"/>
          <w:color w:val="auto"/>
        </w:rPr>
        <w:t>Vest</w:t>
      </w:r>
      <w:r>
        <w:rPr>
          <w:rFonts w:ascii="Arial" w:cs="Arial" w:eastAsia="Arial" w:hAnsi="Arial"/>
          <w:sz w:val="20"/>
          <w:szCs w:val="20"/>
          <w:color w:val="auto"/>
        </w:rPr>
        <w:t>” or “</w:t>
      </w:r>
      <w:r>
        <w:rPr>
          <w:rFonts w:ascii="Arial" w:cs="Arial" w:eastAsia="Arial" w:hAnsi="Arial"/>
          <w:sz w:val="20"/>
          <w:szCs w:val="20"/>
          <w:b w:val="1"/>
          <w:bCs w:val="1"/>
          <w:color w:val="auto"/>
        </w:rPr>
        <w:t>Vesting</w:t>
      </w:r>
      <w:r>
        <w:rPr>
          <w:rFonts w:ascii="Arial" w:cs="Arial" w:eastAsia="Arial" w:hAnsi="Arial"/>
          <w:sz w:val="20"/>
          <w:szCs w:val="20"/>
          <w:color w:val="auto"/>
        </w:rPr>
        <w:t>”) based on the achievement of the performance goals specified in Section 4(b) and, other than as provided in Sections 7 and 9 below, provided that the Employee is employed by the Company or an Affiliate on the Vesting Date.</w:t>
      </w:r>
    </w:p>
    <w:p>
      <w:pPr>
        <w:spacing w:after="0" w:line="205" w:lineRule="exact"/>
        <w:rPr>
          <w:rFonts w:ascii="Arial" w:cs="Arial" w:eastAsia="Arial" w:hAnsi="Arial"/>
          <w:sz w:val="20"/>
          <w:szCs w:val="20"/>
          <w:color w:val="auto"/>
        </w:rPr>
      </w:pPr>
    </w:p>
    <w:p>
      <w:pPr>
        <w:jc w:val="both"/>
        <w:ind w:left="1520" w:hanging="648"/>
        <w:spacing w:after="0" w:line="258" w:lineRule="auto"/>
        <w:tabs>
          <w:tab w:leader="none" w:pos="1520"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Performance Goals.</w:t>
      </w:r>
      <w:r>
        <w:rPr>
          <w:rFonts w:ascii="Arial" w:cs="Arial" w:eastAsia="Arial" w:hAnsi="Arial"/>
          <w:sz w:val="19"/>
          <w:szCs w:val="19"/>
          <w:color w:val="auto"/>
        </w:rPr>
        <w:t xml:space="preserve"> The percentage of the Award that Vests and will be paid with respect to the Measurement Period in connection with the PSUs (the “</w:t>
      </w:r>
      <w:r>
        <w:rPr>
          <w:rFonts w:ascii="Arial" w:cs="Arial" w:eastAsia="Arial" w:hAnsi="Arial"/>
          <w:sz w:val="19"/>
          <w:szCs w:val="19"/>
          <w:b w:val="1"/>
          <w:bCs w:val="1"/>
          <w:color w:val="auto"/>
        </w:rPr>
        <w:t>Vesting Percentage</w:t>
      </w:r>
      <w:r>
        <w:rPr>
          <w:rFonts w:ascii="Arial" w:cs="Arial" w:eastAsia="Arial" w:hAnsi="Arial"/>
          <w:sz w:val="19"/>
          <w:szCs w:val="19"/>
          <w:color w:val="auto"/>
        </w:rPr>
        <w:t>”) is conditioned on the satisfaction of the performance goals set forth in the table below during the Measurement Period, which have been established by the Committee. The Vesting Percentage will be equal to the sum of the Weighted Achievement Percentages (as determined below) for the Measures identified in the table below. The “</w:t>
      </w:r>
      <w:r>
        <w:rPr>
          <w:rFonts w:ascii="Arial" w:cs="Arial" w:eastAsia="Arial" w:hAnsi="Arial"/>
          <w:sz w:val="19"/>
          <w:szCs w:val="19"/>
          <w:b w:val="1"/>
          <w:bCs w:val="1"/>
          <w:color w:val="auto"/>
        </w:rPr>
        <w:t>Weighted Achievement Percentage</w:t>
      </w:r>
      <w:r>
        <w:rPr>
          <w:rFonts w:ascii="Arial" w:cs="Arial" w:eastAsia="Arial" w:hAnsi="Arial"/>
          <w:sz w:val="19"/>
          <w:szCs w:val="19"/>
          <w:color w:val="auto"/>
        </w:rPr>
        <w:t>” for a particular Measure is equal to the product of (i) the Company’s achievement of the Measure during the Measurement Period by reference to the Target value set forth in the table below, expressed as a percentage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2" w:name="page53"/>
    <w:bookmarkEnd w:id="52"/>
    <w:p>
      <w:pPr>
        <w:jc w:val="both"/>
        <w:ind w:left="1520"/>
        <w:spacing w:after="0" w:line="244" w:lineRule="auto"/>
        <w:rPr>
          <w:sz w:val="20"/>
          <w:szCs w:val="20"/>
          <w:color w:val="auto"/>
        </w:rPr>
      </w:pPr>
      <w:r>
        <w:rPr>
          <w:rFonts w:ascii="Arial" w:cs="Arial" w:eastAsia="Arial" w:hAnsi="Arial"/>
          <w:sz w:val="20"/>
          <w:szCs w:val="20"/>
          <w:color w:val="auto"/>
        </w:rPr>
        <w:t>determined by the Committee in its sole discretion, and (ii) the Weight applicable to such Measure, as identified in the table below; provided that achievement below Threshold will result in an Achievement Percentage of 0% for such Measure, and achievement above Maximum will result in an Achievement Percentage of 200% for such Measure. For performance levels falling between the values as shown in the table below, the Achievement Percentage will be determined by interpolation. Payment will be made in Stock.</w:t>
      </w:r>
    </w:p>
    <w:p>
      <w:pPr>
        <w:spacing w:after="0" w:line="20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[Omitted for filing purposes.]</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060" w:type="dxa"/>
            <w:vAlign w:val="bottom"/>
            <w:tcBorders>
              <w:top w:val="single" w:sz="8" w:color="auto"/>
              <w:left w:val="single" w:sz="8" w:color="auto"/>
              <w:bottom w:val="single" w:sz="8" w:color="C6D9F1"/>
            </w:tcBorders>
            <w:gridSpan w:val="2"/>
            <w:shd w:val="clear" w:color="auto" w:fill="C6D9F1"/>
          </w:tcPr>
          <w:p>
            <w:pPr>
              <w:ind w:left="40"/>
              <w:spacing w:after="0"/>
              <w:rPr>
                <w:sz w:val="20"/>
                <w:szCs w:val="20"/>
                <w:color w:val="auto"/>
              </w:rPr>
            </w:pPr>
            <w:r>
              <w:rPr>
                <w:rFonts w:ascii="Arial" w:cs="Arial" w:eastAsia="Arial" w:hAnsi="Arial"/>
                <w:sz w:val="20"/>
                <w:szCs w:val="20"/>
                <w:b w:val="1"/>
                <w:bCs w:val="1"/>
                <w:i w:val="1"/>
                <w:iCs w:val="1"/>
                <w:color w:val="auto"/>
                <w:w w:val="85"/>
              </w:rPr>
              <w:t>Percentage of Target PSUs That Vest</w:t>
            </w:r>
          </w:p>
        </w:tc>
        <w:tc>
          <w:tcPr>
            <w:tcW w:w="840" w:type="dxa"/>
            <w:vAlign w:val="bottom"/>
            <w:tcBorders>
              <w:top w:val="single" w:sz="8" w:color="auto"/>
              <w:bottom w:val="single" w:sz="8" w:color="C6D9F1"/>
              <w:right w:val="single" w:sz="8" w:color="auto"/>
            </w:tcBorders>
            <w:shd w:val="clear" w:color="auto" w:fill="C6D9F1"/>
          </w:tcPr>
          <w:p>
            <w:pPr>
              <w:spacing w:after="0"/>
              <w:rPr>
                <w:sz w:val="24"/>
                <w:szCs w:val="24"/>
                <w:color w:val="auto"/>
              </w:rPr>
            </w:pPr>
          </w:p>
        </w:tc>
        <w:tc>
          <w:tcPr>
            <w:tcW w:w="2420" w:type="dxa"/>
            <w:vAlign w:val="bottom"/>
            <w:tcBorders>
              <w:top w:val="single" w:sz="8" w:color="auto"/>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50%</w:t>
            </w:r>
          </w:p>
        </w:tc>
        <w:tc>
          <w:tcPr>
            <w:tcW w:w="2440" w:type="dxa"/>
            <w:vAlign w:val="bottom"/>
            <w:tcBorders>
              <w:top w:val="single" w:sz="8" w:color="auto"/>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100%</w:t>
            </w:r>
          </w:p>
        </w:tc>
        <w:tc>
          <w:tcPr>
            <w:tcW w:w="2440" w:type="dxa"/>
            <w:vAlign w:val="bottom"/>
            <w:tcBorders>
              <w:top w:val="single" w:sz="8" w:color="auto"/>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200%</w:t>
            </w:r>
          </w:p>
        </w:tc>
      </w:tr>
      <w:tr>
        <w:trPr>
          <w:trHeight w:val="282"/>
        </w:trPr>
        <w:tc>
          <w:tcPr>
            <w:tcW w:w="2860" w:type="dxa"/>
            <w:vAlign w:val="bottom"/>
            <w:tcBorders>
              <w:top w:val="single" w:sz="8" w:color="auto"/>
              <w:left w:val="single" w:sz="8" w:color="auto"/>
              <w:bottom w:val="single" w:sz="8" w:color="DDD9C4"/>
              <w:right w:val="single" w:sz="8" w:color="auto"/>
            </w:tcBorders>
            <w:shd w:val="clear" w:color="auto" w:fill="DDD9C4"/>
          </w:tcPr>
          <w:p>
            <w:pPr>
              <w:jc w:val="center"/>
              <w:spacing w:after="0"/>
              <w:rPr>
                <w:sz w:val="20"/>
                <w:szCs w:val="20"/>
                <w:color w:val="auto"/>
              </w:rPr>
            </w:pPr>
            <w:r>
              <w:rPr>
                <w:rFonts w:ascii="Arial" w:cs="Arial" w:eastAsia="Arial" w:hAnsi="Arial"/>
                <w:sz w:val="20"/>
                <w:szCs w:val="20"/>
                <w:b w:val="1"/>
                <w:bCs w:val="1"/>
                <w:color w:val="auto"/>
                <w:w w:val="91"/>
              </w:rPr>
              <w:t>Measure</w:t>
            </w:r>
          </w:p>
        </w:tc>
        <w:tc>
          <w:tcPr>
            <w:tcW w:w="200" w:type="dxa"/>
            <w:vAlign w:val="bottom"/>
            <w:tcBorders>
              <w:top w:val="single" w:sz="8" w:color="auto"/>
              <w:bottom w:val="single" w:sz="8" w:color="DDD9C4"/>
            </w:tcBorders>
            <w:shd w:val="clear" w:color="auto" w:fill="DDD9C4"/>
          </w:tcPr>
          <w:p>
            <w:pPr>
              <w:spacing w:after="0"/>
              <w:rPr>
                <w:sz w:val="24"/>
                <w:szCs w:val="24"/>
                <w:color w:val="auto"/>
              </w:rPr>
            </w:pPr>
          </w:p>
        </w:tc>
        <w:tc>
          <w:tcPr>
            <w:tcW w:w="840" w:type="dxa"/>
            <w:vAlign w:val="bottom"/>
            <w:tcBorders>
              <w:top w:val="single" w:sz="8" w:color="auto"/>
              <w:bottom w:val="single" w:sz="8" w:color="DDD9C4"/>
              <w:right w:val="single" w:sz="8" w:color="auto"/>
            </w:tcBorders>
            <w:shd w:val="clear" w:color="auto" w:fill="DDD9C4"/>
          </w:tcPr>
          <w:p>
            <w:pPr>
              <w:spacing w:after="0"/>
              <w:rPr>
                <w:sz w:val="20"/>
                <w:szCs w:val="20"/>
                <w:color w:val="auto"/>
              </w:rPr>
            </w:pPr>
            <w:r>
              <w:rPr>
                <w:rFonts w:ascii="Arial" w:cs="Arial" w:eastAsia="Arial" w:hAnsi="Arial"/>
                <w:sz w:val="20"/>
                <w:szCs w:val="20"/>
                <w:b w:val="1"/>
                <w:bCs w:val="1"/>
                <w:color w:val="auto"/>
              </w:rPr>
              <w:t>Weight</w:t>
            </w:r>
          </w:p>
        </w:tc>
        <w:tc>
          <w:tcPr>
            <w:tcW w:w="2420" w:type="dxa"/>
            <w:vAlign w:val="bottom"/>
            <w:tcBorders>
              <w:top w:val="single" w:sz="8" w:color="auto"/>
              <w:bottom w:val="single" w:sz="8" w:color="DDD9C4"/>
              <w:right w:val="single" w:sz="8" w:color="auto"/>
            </w:tcBorders>
            <w:shd w:val="clear" w:color="auto" w:fill="DDD9C4"/>
          </w:tcPr>
          <w:p>
            <w:pPr>
              <w:ind w:left="760"/>
              <w:spacing w:after="0"/>
              <w:rPr>
                <w:sz w:val="20"/>
                <w:szCs w:val="20"/>
                <w:color w:val="auto"/>
              </w:rPr>
            </w:pPr>
            <w:r>
              <w:rPr>
                <w:rFonts w:ascii="Arial" w:cs="Arial" w:eastAsia="Arial" w:hAnsi="Arial"/>
                <w:sz w:val="20"/>
                <w:szCs w:val="20"/>
                <w:b w:val="1"/>
                <w:bCs w:val="1"/>
                <w:color w:val="auto"/>
              </w:rPr>
              <w:t>Threshold</w:t>
            </w:r>
          </w:p>
        </w:tc>
        <w:tc>
          <w:tcPr>
            <w:tcW w:w="2440" w:type="dxa"/>
            <w:vAlign w:val="bottom"/>
            <w:tcBorders>
              <w:top w:val="single" w:sz="8" w:color="auto"/>
              <w:bottom w:val="single" w:sz="8" w:color="DDD9C4"/>
              <w:right w:val="single" w:sz="8" w:color="auto"/>
            </w:tcBorders>
            <w:shd w:val="clear" w:color="auto" w:fill="DDD9C4"/>
          </w:tcPr>
          <w:p>
            <w:pPr>
              <w:ind w:left="920"/>
              <w:spacing w:after="0"/>
              <w:rPr>
                <w:sz w:val="20"/>
                <w:szCs w:val="20"/>
                <w:color w:val="auto"/>
              </w:rPr>
            </w:pPr>
            <w:r>
              <w:rPr>
                <w:rFonts w:ascii="Arial" w:cs="Arial" w:eastAsia="Arial" w:hAnsi="Arial"/>
                <w:sz w:val="20"/>
                <w:szCs w:val="20"/>
                <w:b w:val="1"/>
                <w:bCs w:val="1"/>
                <w:color w:val="auto"/>
              </w:rPr>
              <w:t>Target</w:t>
            </w:r>
          </w:p>
        </w:tc>
        <w:tc>
          <w:tcPr>
            <w:tcW w:w="2440" w:type="dxa"/>
            <w:vAlign w:val="bottom"/>
            <w:tcBorders>
              <w:top w:val="single" w:sz="8" w:color="auto"/>
              <w:bottom w:val="single" w:sz="8" w:color="DDD9C4"/>
              <w:right w:val="single" w:sz="8" w:color="auto"/>
            </w:tcBorders>
            <w:shd w:val="clear" w:color="auto" w:fill="DDD9C4"/>
          </w:tcPr>
          <w:p>
            <w:pPr>
              <w:ind w:left="760"/>
              <w:spacing w:after="0"/>
              <w:rPr>
                <w:sz w:val="20"/>
                <w:szCs w:val="20"/>
                <w:color w:val="auto"/>
              </w:rPr>
            </w:pPr>
            <w:r>
              <w:rPr>
                <w:rFonts w:ascii="Arial" w:cs="Arial" w:eastAsia="Arial" w:hAnsi="Arial"/>
                <w:sz w:val="20"/>
                <w:szCs w:val="20"/>
                <w:b w:val="1"/>
                <w:bCs w:val="1"/>
                <w:color w:val="auto"/>
              </w:rPr>
              <w:t>Maximum</w:t>
            </w:r>
          </w:p>
        </w:tc>
      </w:tr>
      <w:tr>
        <w:trPr>
          <w:trHeight w:val="362"/>
        </w:trPr>
        <w:tc>
          <w:tcPr>
            <w:tcW w:w="2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[Measure 1]</w:t>
            </w: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center"/>
              <w:ind w:right="141"/>
              <w:spacing w:after="0"/>
              <w:rPr>
                <w:sz w:val="20"/>
                <w:szCs w:val="20"/>
                <w:color w:val="auto"/>
              </w:rPr>
            </w:pPr>
            <w:r>
              <w:rPr>
                <w:rFonts w:ascii="Arial" w:cs="Arial" w:eastAsia="Arial" w:hAnsi="Arial"/>
                <w:sz w:val="20"/>
                <w:szCs w:val="20"/>
                <w:color w:val="auto"/>
                <w:w w:val="96"/>
              </w:rPr>
              <w:t>[___]%</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[______]</w:t>
            </w: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[______]</w:t>
            </w: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[______]</w:t>
            </w:r>
          </w:p>
        </w:tc>
      </w:tr>
      <w:tr>
        <w:trPr>
          <w:trHeight w:val="131"/>
        </w:trPr>
        <w:tc>
          <w:tcPr>
            <w:tcW w:w="2860" w:type="dxa"/>
            <w:vAlign w:val="bottom"/>
            <w:tcBorders>
              <w:left w:val="single" w:sz="8" w:color="auto"/>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r>
      <w:tr>
        <w:trPr>
          <w:trHeight w:val="362"/>
        </w:trPr>
        <w:tc>
          <w:tcPr>
            <w:tcW w:w="2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[Measure 2]</w:t>
            </w:r>
          </w:p>
        </w:tc>
        <w:tc>
          <w:tcPr>
            <w:tcW w:w="200" w:type="dxa"/>
            <w:vAlign w:val="bottom"/>
          </w:tcPr>
          <w:p>
            <w:pPr>
              <w:spacing w:after="0"/>
              <w:rPr>
                <w:sz w:val="24"/>
                <w:szCs w:val="24"/>
                <w:color w:val="auto"/>
              </w:rPr>
            </w:pPr>
          </w:p>
        </w:tc>
        <w:tc>
          <w:tcPr>
            <w:tcW w:w="840" w:type="dxa"/>
            <w:vAlign w:val="bottom"/>
            <w:tcBorders>
              <w:right w:val="single" w:sz="8" w:color="auto"/>
            </w:tcBorders>
          </w:tcPr>
          <w:p>
            <w:pPr>
              <w:jc w:val="center"/>
              <w:ind w:right="141"/>
              <w:spacing w:after="0"/>
              <w:rPr>
                <w:sz w:val="20"/>
                <w:szCs w:val="20"/>
                <w:color w:val="auto"/>
              </w:rPr>
            </w:pPr>
            <w:r>
              <w:rPr>
                <w:rFonts w:ascii="Arial" w:cs="Arial" w:eastAsia="Arial" w:hAnsi="Arial"/>
                <w:sz w:val="20"/>
                <w:szCs w:val="20"/>
                <w:color w:val="auto"/>
                <w:w w:val="96"/>
              </w:rPr>
              <w:t>[___]%</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[_______]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[______]</w:t>
            </w:r>
          </w:p>
        </w:tc>
      </w:tr>
      <w:tr>
        <w:trPr>
          <w:trHeight w:val="131"/>
        </w:trPr>
        <w:tc>
          <w:tcPr>
            <w:tcW w:w="2860" w:type="dxa"/>
            <w:vAlign w:val="bottom"/>
            <w:tcBorders>
              <w:left w:val="single" w:sz="8" w:color="auto"/>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r>
      <w:tr>
        <w:trPr>
          <w:trHeight w:val="362"/>
        </w:trPr>
        <w:tc>
          <w:tcPr>
            <w:tcW w:w="2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[Measure 3]</w:t>
            </w:r>
          </w:p>
        </w:tc>
        <w:tc>
          <w:tcPr>
            <w:tcW w:w="200" w:type="dxa"/>
            <w:vAlign w:val="bottom"/>
          </w:tcPr>
          <w:p>
            <w:pPr>
              <w:spacing w:after="0"/>
              <w:rPr>
                <w:sz w:val="24"/>
                <w:szCs w:val="24"/>
                <w:color w:val="auto"/>
              </w:rPr>
            </w:pPr>
          </w:p>
        </w:tc>
        <w:tc>
          <w:tcPr>
            <w:tcW w:w="840" w:type="dxa"/>
            <w:vAlign w:val="bottom"/>
            <w:tcBorders>
              <w:right w:val="single" w:sz="8" w:color="auto"/>
            </w:tcBorders>
          </w:tcPr>
          <w:p>
            <w:pPr>
              <w:jc w:val="center"/>
              <w:ind w:right="141"/>
              <w:spacing w:after="0"/>
              <w:rPr>
                <w:sz w:val="20"/>
                <w:szCs w:val="20"/>
                <w:color w:val="auto"/>
              </w:rPr>
            </w:pPr>
            <w:r>
              <w:rPr>
                <w:rFonts w:ascii="Arial" w:cs="Arial" w:eastAsia="Arial" w:hAnsi="Arial"/>
                <w:sz w:val="20"/>
                <w:szCs w:val="20"/>
                <w:color w:val="auto"/>
                <w:w w:val="93"/>
              </w:rPr>
              <w:t>[__]%</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[_______]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[______</w:t>
            </w:r>
          </w:p>
        </w:tc>
      </w:tr>
      <w:tr>
        <w:trPr>
          <w:trHeight w:val="131"/>
        </w:trPr>
        <w:tc>
          <w:tcPr>
            <w:tcW w:w="2860" w:type="dxa"/>
            <w:vAlign w:val="bottom"/>
            <w:tcBorders>
              <w:left w:val="single" w:sz="8" w:color="auto"/>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480" w:hanging="608"/>
        <w:spacing w:after="0" w:line="246" w:lineRule="auto"/>
        <w:tabs>
          <w:tab w:leader="none" w:pos="1480" w:val="left"/>
        </w:tabs>
        <w:numPr>
          <w:ilvl w:val="1"/>
          <w:numId w:val="39"/>
        </w:numPr>
        <w:rPr>
          <w:rFonts w:ascii="Arial" w:cs="Arial" w:eastAsia="Arial" w:hAnsi="Arial"/>
          <w:sz w:val="20"/>
          <w:szCs w:val="20"/>
          <w:color w:val="auto"/>
        </w:rPr>
      </w:pPr>
      <w:r>
        <w:rPr>
          <w:rFonts w:ascii="Arial" w:cs="Arial" w:eastAsia="Arial" w:hAnsi="Arial"/>
          <w:sz w:val="20"/>
          <w:szCs w:val="20"/>
          <w:u w:val="single" w:color="auto"/>
          <w:color w:val="auto"/>
        </w:rPr>
        <w:t>Shares Payable.</w:t>
      </w:r>
      <w:r>
        <w:rPr>
          <w:rFonts w:ascii="Arial" w:cs="Arial" w:eastAsia="Arial" w:hAnsi="Arial"/>
          <w:sz w:val="20"/>
          <w:szCs w:val="20"/>
          <w:color w:val="auto"/>
        </w:rPr>
        <w:t xml:space="preserve"> On the Vesting Date, a number of PSUs equal to the target number of PSUs awarded in this Award Agreement multiplied by the Vesting Percentage will Vest and be converted into shares of Stock on a one-for-one basis. The resulting shares of Stock will be delivered to the Employee as soon as practicable following the Vesting Date (but in no event later than 60 days following the Vesting Date).</w:t>
      </w:r>
    </w:p>
    <w:p>
      <w:pPr>
        <w:spacing w:after="0" w:line="205" w:lineRule="exact"/>
        <w:rPr>
          <w:rFonts w:ascii="Arial" w:cs="Arial" w:eastAsia="Arial" w:hAnsi="Arial"/>
          <w:sz w:val="20"/>
          <w:szCs w:val="20"/>
          <w:color w:val="auto"/>
        </w:rPr>
      </w:pPr>
    </w:p>
    <w:p>
      <w:pPr>
        <w:ind w:left="1480" w:hanging="608"/>
        <w:spacing w:after="0" w:line="260" w:lineRule="auto"/>
        <w:tabs>
          <w:tab w:leader="none" w:pos="1480" w:val="left"/>
        </w:tabs>
        <w:numPr>
          <w:ilvl w:val="1"/>
          <w:numId w:val="39"/>
        </w:numPr>
        <w:rPr>
          <w:rFonts w:ascii="Arial" w:cs="Arial" w:eastAsia="Arial" w:hAnsi="Arial"/>
          <w:sz w:val="20"/>
          <w:szCs w:val="20"/>
          <w:color w:val="auto"/>
        </w:rPr>
      </w:pPr>
      <w:r>
        <w:rPr>
          <w:rFonts w:ascii="Arial" w:cs="Arial" w:eastAsia="Arial" w:hAnsi="Arial"/>
          <w:sz w:val="20"/>
          <w:szCs w:val="20"/>
          <w:u w:val="single" w:color="auto"/>
          <w:color w:val="auto"/>
        </w:rPr>
        <w:t>Payment Determination.</w:t>
      </w:r>
      <w:r>
        <w:rPr>
          <w:rFonts w:ascii="Arial" w:cs="Arial" w:eastAsia="Arial" w:hAnsi="Arial"/>
          <w:sz w:val="20"/>
          <w:szCs w:val="20"/>
          <w:color w:val="auto"/>
        </w:rPr>
        <w:t xml:space="preserve"> The Committee may exercise its discretion to reduce the Vesting Percentage (but not below 100%) if the Company’s total shareholder return for the Measurement Period is less than zero (0).</w:t>
      </w:r>
    </w:p>
    <w:p>
      <w:pPr>
        <w:spacing w:after="0" w:line="190" w:lineRule="exact"/>
        <w:rPr>
          <w:rFonts w:ascii="Arial" w:cs="Arial" w:eastAsia="Arial" w:hAnsi="Arial"/>
          <w:sz w:val="20"/>
          <w:szCs w:val="20"/>
          <w:color w:val="auto"/>
        </w:rPr>
      </w:pPr>
    </w:p>
    <w:p>
      <w:pPr>
        <w:ind w:left="1480" w:hanging="608"/>
        <w:spacing w:after="0" w:line="260" w:lineRule="auto"/>
        <w:tabs>
          <w:tab w:leader="none" w:pos="1480" w:val="left"/>
        </w:tabs>
        <w:numPr>
          <w:ilvl w:val="1"/>
          <w:numId w:val="39"/>
        </w:numPr>
        <w:rPr>
          <w:rFonts w:ascii="Arial" w:cs="Arial" w:eastAsia="Arial" w:hAnsi="Arial"/>
          <w:sz w:val="20"/>
          <w:szCs w:val="20"/>
          <w:color w:val="auto"/>
        </w:rPr>
      </w:pPr>
      <w:r>
        <w:rPr>
          <w:rFonts w:ascii="Arial" w:cs="Arial" w:eastAsia="Arial" w:hAnsi="Arial"/>
          <w:sz w:val="20"/>
          <w:szCs w:val="20"/>
          <w:u w:val="single" w:color="auto"/>
          <w:color w:val="auto"/>
        </w:rPr>
        <w:t>Non-Recurring Events.</w:t>
      </w:r>
      <w:r>
        <w:rPr>
          <w:rFonts w:ascii="Arial" w:cs="Arial" w:eastAsia="Arial" w:hAnsi="Arial"/>
          <w:sz w:val="20"/>
          <w:szCs w:val="20"/>
          <w:color w:val="auto"/>
        </w:rPr>
        <w:t xml:space="preserve"> The Committee shall exclude from the performance results any non-recurring expenses or gains/losses, such as acquisition costs.</w:t>
      </w:r>
    </w:p>
    <w:p>
      <w:pPr>
        <w:spacing w:after="0" w:line="184" w:lineRule="exact"/>
        <w:rPr>
          <w:rFonts w:ascii="Arial" w:cs="Arial" w:eastAsia="Arial" w:hAnsi="Arial"/>
          <w:sz w:val="20"/>
          <w:szCs w:val="20"/>
          <w:color w:val="auto"/>
        </w:rPr>
      </w:pPr>
    </w:p>
    <w:p>
      <w:pPr>
        <w:ind w:left="880" w:hanging="872"/>
        <w:spacing w:after="0"/>
        <w:tabs>
          <w:tab w:leader="none" w:pos="88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DIVIDEND EQUIVALENTS</w:t>
      </w:r>
    </w:p>
    <w:p>
      <w:pPr>
        <w:spacing w:after="0" w:line="235"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On the date that the Awards Vest, dividend equivalents will be credited to the Employee in an amount equal to the aggregate amount of dividends paid on a share of Stock during the period commencing with the Grant Date and ending on the Vesting Date multiplied by the number of PSUs that vest in accordance with this Award Agreement. The dividend equivalent amounts shall be paid as soon as practicable following the Vesting Date (but in no event later than 60 days following the Vesting Date) from the general assets of the Corporation and shall be treated and reported as additional compensation for the year in which payment is made.</w:t>
      </w:r>
    </w:p>
    <w:p>
      <w:pPr>
        <w:spacing w:after="0" w:line="188" w:lineRule="exact"/>
        <w:rPr>
          <w:sz w:val="20"/>
          <w:szCs w:val="20"/>
          <w:color w:val="auto"/>
        </w:rPr>
      </w:pPr>
    </w:p>
    <w:p>
      <w:pPr>
        <w:ind w:left="880" w:hanging="872"/>
        <w:spacing w:after="0"/>
        <w:tabs>
          <w:tab w:leader="none" w:pos="88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TRANSFERABLE ONLY UPON DEATH</w:t>
      </w:r>
    </w:p>
    <w:p>
      <w:pPr>
        <w:spacing w:after="0" w:line="235"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This Performance Share Unit grant shall not be assignable or transferable by the Employee except by will or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3" w:name="page54"/>
    <w:bookmarkEnd w:id="53"/>
    <w:p>
      <w:pPr>
        <w:ind w:left="880" w:hanging="872"/>
        <w:spacing w:after="0"/>
        <w:tabs>
          <w:tab w:leader="none" w:pos="88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RETIREMENT, DISABILITY OR DEATH</w:t>
      </w:r>
    </w:p>
    <w:p>
      <w:pPr>
        <w:spacing w:after="0" w:line="235" w:lineRule="exact"/>
        <w:rPr>
          <w:rFonts w:ascii="Arial" w:cs="Arial" w:eastAsia="Arial" w:hAnsi="Arial"/>
          <w:sz w:val="20"/>
          <w:szCs w:val="20"/>
          <w:b w:val="1"/>
          <w:bCs w:val="1"/>
          <w:color w:val="auto"/>
        </w:rPr>
      </w:pPr>
    </w:p>
    <w:p>
      <w:pPr>
        <w:jc w:val="both"/>
        <w:ind w:left="1740" w:hanging="868"/>
        <w:spacing w:after="0" w:line="246" w:lineRule="auto"/>
        <w:tabs>
          <w:tab w:leader="none" w:pos="1740"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If the Employee’s employment with the Company is terminated prior to the Vesting Date for any reason other than on account of death, Disability or Retirement (in each case, as defined below), whether by the Employee or by the Company, and in the latter case whether with or without cause, then the Performance Share Units will be forfeited upon such termination.</w:t>
      </w:r>
    </w:p>
    <w:p>
      <w:pPr>
        <w:spacing w:after="0" w:line="205" w:lineRule="exact"/>
        <w:rPr>
          <w:rFonts w:ascii="Arial" w:cs="Arial" w:eastAsia="Arial" w:hAnsi="Arial"/>
          <w:sz w:val="20"/>
          <w:szCs w:val="20"/>
          <w:color w:val="auto"/>
        </w:rPr>
      </w:pPr>
    </w:p>
    <w:p>
      <w:pPr>
        <w:jc w:val="both"/>
        <w:ind w:left="1740" w:hanging="868"/>
        <w:spacing w:after="0" w:line="257" w:lineRule="auto"/>
        <w:tabs>
          <w:tab w:leader="none" w:pos="1740"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If the Employee’s employment with the Company is terminated prior to the Vesting Date upon Retirement (as defined below) or as the result of a disability under circumstances entitling the Employee to the commencement of benefits under a long-term disability plan maintained by the Company (“</w:t>
      </w:r>
      <w:r>
        <w:rPr>
          <w:rFonts w:ascii="Arial" w:cs="Arial" w:eastAsia="Arial" w:hAnsi="Arial"/>
          <w:sz w:val="19"/>
          <w:szCs w:val="19"/>
          <w:b w:val="1"/>
          <w:bCs w:val="1"/>
          <w:color w:val="auto"/>
        </w:rPr>
        <w:t>Disability</w:t>
      </w:r>
      <w:r>
        <w:rPr>
          <w:rFonts w:ascii="Arial" w:cs="Arial" w:eastAsia="Arial" w:hAnsi="Arial"/>
          <w:sz w:val="19"/>
          <w:szCs w:val="19"/>
          <w:color w:val="auto"/>
        </w:rPr>
        <w:t>”), then the terms of all outstanding PSUs will be unaffected by such Retirement or Disability and the PSUs will be paid in accordance with Section 4 above. “</w:t>
      </w:r>
      <w:r>
        <w:rPr>
          <w:rFonts w:ascii="Arial" w:cs="Arial" w:eastAsia="Arial" w:hAnsi="Arial"/>
          <w:sz w:val="19"/>
          <w:szCs w:val="19"/>
          <w:b w:val="1"/>
          <w:bCs w:val="1"/>
          <w:color w:val="auto"/>
        </w:rPr>
        <w:t>Retirement</w:t>
      </w:r>
      <w:r>
        <w:rPr>
          <w:rFonts w:ascii="Arial" w:cs="Arial" w:eastAsia="Arial" w:hAnsi="Arial"/>
          <w:sz w:val="19"/>
          <w:szCs w:val="19"/>
          <w:color w:val="auto"/>
        </w:rPr>
        <w:t>” is defined as termination of employment with the Corporation after reaching age 62 under circumstances that qualify for normal retirement in accordance with the Martin Marietta Materials, Inc. Pension Plan; provided, that, the Committee may in its sole discretion classify an Employee’s termination of employment as Retirement under other circumstances.</w:t>
      </w:r>
    </w:p>
    <w:p>
      <w:pPr>
        <w:spacing w:after="0" w:line="194" w:lineRule="exact"/>
        <w:rPr>
          <w:rFonts w:ascii="Arial" w:cs="Arial" w:eastAsia="Arial" w:hAnsi="Arial"/>
          <w:sz w:val="19"/>
          <w:szCs w:val="19"/>
          <w:color w:val="auto"/>
        </w:rPr>
      </w:pPr>
    </w:p>
    <w:p>
      <w:pPr>
        <w:jc w:val="both"/>
        <w:ind w:left="1740" w:hanging="868"/>
        <w:spacing w:after="0" w:line="250" w:lineRule="auto"/>
        <w:tabs>
          <w:tab w:leader="none" w:pos="1740"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If, prior to the Vesting Date, the Employee dies while employed by the Company or after termination by reason of Retirement or Disability, then the terms of all outstanding PSUs will be unaffected by such death and the PSUs will be paid in accordance with Section 4 above to the Employee’s estate or beneficiary.</w:t>
      </w:r>
    </w:p>
    <w:p>
      <w:pPr>
        <w:spacing w:after="0" w:line="200" w:lineRule="exact"/>
        <w:rPr>
          <w:sz w:val="20"/>
          <w:szCs w:val="20"/>
          <w:color w:val="auto"/>
        </w:rPr>
      </w:pPr>
    </w:p>
    <w:p>
      <w:pPr>
        <w:ind w:left="1740" w:right="20" w:hanging="868"/>
        <w:spacing w:after="0" w:line="260" w:lineRule="auto"/>
        <w:tabs>
          <w:tab w:leader="none" w:pos="1740"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Committee Negative Discretion</w:t>
      </w:r>
      <w:r>
        <w:rPr>
          <w:rFonts w:ascii="Arial" w:cs="Arial" w:eastAsia="Arial" w:hAnsi="Arial"/>
          <w:sz w:val="20"/>
          <w:szCs w:val="20"/>
          <w:color w:val="auto"/>
        </w:rPr>
        <w:t>. The Committee may in its sole discretion decide to reduce or eliminate any amount otherwise payable with respect to an award under Sections 7(b) or 7(c).</w:t>
      </w:r>
    </w:p>
    <w:p>
      <w:pPr>
        <w:spacing w:after="0" w:line="184" w:lineRule="exact"/>
        <w:rPr>
          <w:rFonts w:ascii="Arial" w:cs="Arial" w:eastAsia="Arial" w:hAnsi="Arial"/>
          <w:sz w:val="20"/>
          <w:szCs w:val="20"/>
          <w:color w:val="auto"/>
        </w:rPr>
      </w:pPr>
    </w:p>
    <w:p>
      <w:pPr>
        <w:ind w:left="880" w:hanging="872"/>
        <w:spacing w:after="0"/>
        <w:tabs>
          <w:tab w:leader="none" w:pos="88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w:t>
      </w:r>
    </w:p>
    <w:p>
      <w:pPr>
        <w:spacing w:after="0" w:line="235"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18"/>
          <w:szCs w:val="18"/>
          <w:color w:val="auto"/>
        </w:rPr>
        <w:t>At the time PSUs are converted into shares of Stock and delivered to the Employee, the Employee will recognize ordinary income</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based on the value of the Stock payable in accordance with Section 4. The Company shall withhold applicable taxes as required by law at the time of such Vesting by deducting shares of Stock from the payment to satisfy the obligation prior to the delivery of the certificates for shares of Stock. Withholding will be at the minimum rates prescribed by law; therefore, the Employee may owe additional taxes as a result of the distribution. The Employee may not request tax to be withheld at greater than the minimum rate. If the Employee terminates employment on account of Disability or Retirement and the PSUs are not forfeited, the Company may require the Employee to pay to the Company or withhold from the Employee’s compensation, by canceling PSUs or otherwise, an amount equal to satisfy the obligation to withhold federal employment taxes as required by law.</w:t>
      </w:r>
    </w:p>
    <w:p>
      <w:pPr>
        <w:spacing w:after="0" w:line="205" w:lineRule="exact"/>
        <w:rPr>
          <w:sz w:val="20"/>
          <w:szCs w:val="20"/>
          <w:color w:val="auto"/>
        </w:rPr>
      </w:pPr>
    </w:p>
    <w:p>
      <w:pPr>
        <w:ind w:left="880" w:hanging="872"/>
        <w:spacing w:after="0"/>
        <w:tabs>
          <w:tab w:leader="none" w:pos="88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p>
    <w:p>
      <w:pPr>
        <w:spacing w:after="0" w:line="235"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the event of a Change in Control, all outstanding PSUs will be deemed non-forfeitable and the Vesting Percentage will be the greater of (1) the Vesting Percentage as determined by the performance during the Measurement Period up to the day before the effective date of the Change in Control, as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0"/>
          <w:szCs w:val="20"/>
          <w:color w:val="auto"/>
        </w:rPr>
        <w:t>determined by the Committee in its sole discretion and (2) the target Vesting Percentage (100%). The PSUs will be distributed in shares of Stock or the consideration received in exchange for shares of Stock in connection with such Change in Control no later than 15 days following the date of such Change in Control.</w:t>
      </w:r>
    </w:p>
    <w:p>
      <w:pPr>
        <w:spacing w:after="0" w:line="194" w:lineRule="exact"/>
        <w:rPr>
          <w:sz w:val="20"/>
          <w:szCs w:val="20"/>
          <w:color w:val="auto"/>
        </w:rPr>
      </w:pPr>
    </w:p>
    <w:p>
      <w:pPr>
        <w:ind w:left="880" w:hanging="872"/>
        <w:spacing w:after="0"/>
        <w:tabs>
          <w:tab w:leader="none" w:pos="88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TERMINATION OF PLAN OR AWARDS</w:t>
      </w:r>
    </w:p>
    <w:p>
      <w:pPr>
        <w:spacing w:after="0" w:line="235"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8"/>
          <w:szCs w:val="18"/>
          <w:color w:val="auto"/>
        </w:rPr>
        <w:t>As provided in Section 7 of the Plan, subject to certain limitations contained within Section 7, the Board of Directors may at any time amend, suspend or discontinue the Plan and the Committee may at any time alter or amend all Award Agreements under the Plan. Notwithstanding Section 7 of the Plan, no such amendment, suspension or discontinuance of the Plan or alteration or amendment of this Award Agreement shall accelerate any distribution under the Plan or, except with the Employee’s express written consent, adversely affect any PSU granted under this Award Agreement; provided, however, that the Board of Directors or the Committee may amend the Plan or this Award Agreement to the extent it deems appropriate to cause this Award Agreement or the PSUs hereunder to comply with Section 409A of the Code (including the distribution requirements thereunder) or be exempt from Section 409A of the Code or the tax penalty under Section 409A(a)(1)</w:t>
      </w:r>
    </w:p>
    <w:p>
      <w:pPr>
        <w:spacing w:after="0" w:line="5"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of the Code. If the Plan and the Award Agreement are terminated in a manner consistent with the requirements of Treas. Reg. § 1.409A-3(j)</w:t>
      </w:r>
    </w:p>
    <w:p>
      <w:pPr>
        <w:spacing w:after="0" w:line="45" w:lineRule="exact"/>
        <w:rPr>
          <w:rFonts w:ascii="Arial" w:cs="Arial" w:eastAsia="Arial" w:hAnsi="Arial"/>
          <w:sz w:val="16"/>
          <w:szCs w:val="16"/>
          <w:color w:val="auto"/>
        </w:rPr>
      </w:pPr>
    </w:p>
    <w:p>
      <w:pPr>
        <w:ind w:right="20"/>
        <w:spacing w:after="0" w:line="244" w:lineRule="auto"/>
        <w:rPr>
          <w:rFonts w:ascii="Arial" w:cs="Arial" w:eastAsia="Arial" w:hAnsi="Arial"/>
          <w:sz w:val="16"/>
          <w:szCs w:val="16"/>
          <w:color w:val="auto"/>
        </w:rPr>
      </w:pPr>
      <w:r>
        <w:rPr>
          <w:rFonts w:ascii="Arial" w:cs="Arial" w:eastAsia="Arial" w:hAnsi="Arial"/>
          <w:sz w:val="20"/>
          <w:szCs w:val="20"/>
          <w:color w:val="auto"/>
        </w:rPr>
        <w:t>(4)(ix), the Board of Directors may, in its sole discretion, accelerate the conversion of PSUs to shares of Stock and immediately distribute such shares of Stock to the Employee.</w:t>
      </w:r>
    </w:p>
    <w:p>
      <w:pPr>
        <w:spacing w:after="0" w:line="199" w:lineRule="exact"/>
        <w:rPr>
          <w:sz w:val="20"/>
          <w:szCs w:val="20"/>
          <w:color w:val="auto"/>
        </w:rPr>
      </w:pPr>
    </w:p>
    <w:p>
      <w:pPr>
        <w:ind w:left="880" w:hanging="872"/>
        <w:spacing w:after="0"/>
        <w:tabs>
          <w:tab w:leader="none" w:pos="88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EXECUTION OF AWARD AGREEMENT</w:t>
      </w:r>
    </w:p>
    <w:p>
      <w:pPr>
        <w:spacing w:after="0" w:line="23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8"/>
          <w:szCs w:val="18"/>
          <w:color w:val="auto"/>
        </w:rPr>
        <w:t>No PSU granted under this Award Agreement is distributable nor is this Award Agreement enforceable until this Award Agreement has been fully executed by the Company and the Employee. By executing this Award Agreement, the Employee shall be deemed to have accepted and consented to any action taken under the Plan by the Committee, the Board of Directors or their delegates.</w:t>
      </w:r>
    </w:p>
    <w:p>
      <w:pPr>
        <w:spacing w:after="0" w:line="159" w:lineRule="exact"/>
        <w:rPr>
          <w:sz w:val="20"/>
          <w:szCs w:val="20"/>
          <w:color w:val="auto"/>
        </w:rPr>
      </w:pPr>
    </w:p>
    <w:p>
      <w:pPr>
        <w:ind w:left="880" w:hanging="872"/>
        <w:spacing w:after="0"/>
        <w:tabs>
          <w:tab w:leader="none" w:pos="88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35" w:lineRule="exact"/>
        <w:rPr>
          <w:rFonts w:ascii="Arial" w:cs="Arial" w:eastAsia="Arial" w:hAnsi="Arial"/>
          <w:sz w:val="20"/>
          <w:szCs w:val="20"/>
          <w:b w:val="1"/>
          <w:bCs w:val="1"/>
          <w:color w:val="auto"/>
        </w:rPr>
      </w:pPr>
    </w:p>
    <w:p>
      <w:pPr>
        <w:jc w:val="both"/>
        <w:ind w:left="1760" w:hanging="739"/>
        <w:spacing w:after="0" w:line="282" w:lineRule="auto"/>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Nothing contained in the Award Agreement confers on the Employee the rights of a shareholder with respect to this Performance Share Unit award prior to Vesting and before the Employee becomes the holder of record of the shares of Stock payable. Except as provided in Section 9 of the Plan, no adjustment will be made for dividends or other rights, and grants of dividend equivalents pursuant to Section 5 will not be considered to be a grant of any other shareholder right.</w:t>
      </w:r>
    </w:p>
    <w:p>
      <w:pPr>
        <w:spacing w:after="0" w:line="175" w:lineRule="exact"/>
        <w:rPr>
          <w:rFonts w:ascii="Arial" w:cs="Arial" w:eastAsia="Arial" w:hAnsi="Arial"/>
          <w:sz w:val="18"/>
          <w:szCs w:val="18"/>
          <w:color w:val="auto"/>
        </w:rPr>
      </w:pPr>
    </w:p>
    <w:p>
      <w:pPr>
        <w:ind w:left="1760" w:hanging="739"/>
        <w:spacing w:after="0" w:line="316" w:lineRule="auto"/>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For purposes of this Award Agreement, the Employee will be considered to be in the employ of the Company during an approved leave of absence unless otherwise provided in an agreement between the Employee and the Company.</w:t>
      </w:r>
    </w:p>
    <w:p>
      <w:pPr>
        <w:spacing w:after="0" w:line="143" w:lineRule="exact"/>
        <w:rPr>
          <w:rFonts w:ascii="Arial" w:cs="Arial" w:eastAsia="Arial" w:hAnsi="Arial"/>
          <w:sz w:val="18"/>
          <w:szCs w:val="18"/>
          <w:color w:val="auto"/>
        </w:rPr>
      </w:pPr>
    </w:p>
    <w:p>
      <w:pPr>
        <w:jc w:val="both"/>
        <w:ind w:left="1760" w:hanging="739"/>
        <w:spacing w:after="0" w:line="250" w:lineRule="auto"/>
        <w:tabs>
          <w:tab w:leader="none" w:pos="1760" w:val="left"/>
        </w:tabs>
        <w:numPr>
          <w:ilvl w:val="1"/>
          <w:numId w:val="49"/>
        </w:numPr>
        <w:rPr>
          <w:rFonts w:ascii="Arial" w:cs="Arial" w:eastAsia="Arial" w:hAnsi="Arial"/>
          <w:sz w:val="20"/>
          <w:szCs w:val="20"/>
          <w:color w:val="auto"/>
        </w:rPr>
      </w:pPr>
      <w:r>
        <w:rPr>
          <w:rFonts w:ascii="Arial" w:cs="Arial" w:eastAsia="Arial" w:hAnsi="Arial"/>
          <w:sz w:val="20"/>
          <w:szCs w:val="20"/>
          <w:color w:val="auto"/>
        </w:rPr>
        <w:t>Nothing contained in this Award Agreement or in any Performance Share Unit granted hereunder shall confer upon any Employee any right of continued employment by the Company, expressed or implied, nor limit in any way the right of the Company to terminate the Employee’s employment at any time.</w:t>
      </w:r>
    </w:p>
    <w:p>
      <w:pPr>
        <w:spacing w:after="0" w:line="199" w:lineRule="exact"/>
        <w:rPr>
          <w:rFonts w:ascii="Arial" w:cs="Arial" w:eastAsia="Arial" w:hAnsi="Arial"/>
          <w:sz w:val="20"/>
          <w:szCs w:val="20"/>
          <w:color w:val="auto"/>
        </w:rPr>
      </w:pPr>
    </w:p>
    <w:p>
      <w:pPr>
        <w:ind w:left="1760" w:hanging="739"/>
        <w:spacing w:after="0" w:line="260" w:lineRule="auto"/>
        <w:tabs>
          <w:tab w:leader="none" w:pos="1760" w:val="left"/>
        </w:tabs>
        <w:numPr>
          <w:ilvl w:val="1"/>
          <w:numId w:val="49"/>
        </w:numPr>
        <w:rPr>
          <w:rFonts w:ascii="Arial" w:cs="Arial" w:eastAsia="Arial" w:hAnsi="Arial"/>
          <w:sz w:val="20"/>
          <w:szCs w:val="20"/>
          <w:color w:val="auto"/>
        </w:rPr>
      </w:pPr>
      <w:r>
        <w:rPr>
          <w:rFonts w:ascii="Arial" w:cs="Arial" w:eastAsia="Arial" w:hAnsi="Arial"/>
          <w:sz w:val="20"/>
          <w:szCs w:val="20"/>
          <w:color w:val="auto"/>
        </w:rPr>
        <w:t>Except as provided under Section 6 herein, neither these PSUs nor any of the rights or obligations hereunder shall be assigned or delegated by either party hereto.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5" w:name="page56"/>
    <w:bookmarkEnd w:id="55"/>
    <w:p>
      <w:pPr>
        <w:ind w:left="1760" w:hanging="739"/>
        <w:spacing w:after="0" w:line="260" w:lineRule="auto"/>
        <w:tabs>
          <w:tab w:leader="none" w:pos="17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Capitalized terms used but not defined in this Award Agreement shall have the meanings assigned to such terms in the Plan.</w:t>
      </w:r>
    </w:p>
    <w:p>
      <w:pPr>
        <w:spacing w:after="0" w:line="190" w:lineRule="exact"/>
        <w:rPr>
          <w:rFonts w:ascii="Arial" w:cs="Arial" w:eastAsia="Arial" w:hAnsi="Arial"/>
          <w:sz w:val="20"/>
          <w:szCs w:val="20"/>
          <w:color w:val="auto"/>
        </w:rPr>
      </w:pPr>
    </w:p>
    <w:p>
      <w:pPr>
        <w:ind w:left="1760" w:hanging="739"/>
        <w:spacing w:after="0" w:line="260" w:lineRule="auto"/>
        <w:tabs>
          <w:tab w:leader="none" w:pos="17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To the extent there is a conflict between the terms of the Plan and this Award Agreement, the terms of the Plan shall govern.</w:t>
      </w:r>
    </w:p>
    <w:p>
      <w:pPr>
        <w:spacing w:after="0" w:line="184" w:lineRule="exact"/>
        <w:rPr>
          <w:rFonts w:ascii="Arial" w:cs="Arial" w:eastAsia="Arial" w:hAnsi="Arial"/>
          <w:sz w:val="20"/>
          <w:szCs w:val="20"/>
          <w:color w:val="auto"/>
        </w:rPr>
      </w:pPr>
    </w:p>
    <w:p>
      <w:pPr>
        <w:ind w:left="880" w:hanging="872"/>
        <w:spacing w:after="0"/>
        <w:tabs>
          <w:tab w:leader="none" w:pos="88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35" w:lineRule="exact"/>
        <w:rPr>
          <w:sz w:val="20"/>
          <w:szCs w:val="20"/>
          <w:color w:val="auto"/>
        </w:rPr>
      </w:pPr>
    </w:p>
    <w:p>
      <w:pPr>
        <w:ind w:right="20" w:firstLine="877"/>
        <w:spacing w:after="0" w:line="287" w:lineRule="auto"/>
        <w:rPr>
          <w:sz w:val="20"/>
          <w:szCs w:val="20"/>
          <w:color w:val="auto"/>
        </w:rPr>
      </w:pPr>
      <w:r>
        <w:rPr>
          <w:rFonts w:ascii="Arial" w:cs="Arial" w:eastAsia="Arial" w:hAnsi="Arial"/>
          <w:sz w:val="19"/>
          <w:szCs w:val="19"/>
          <w:color w:val="auto"/>
        </w:rPr>
        <w:t>Notices and all other communications provided for in this Award Agreement shall be in writing and shall be deemed to have been duly given when personally delivered or when mailed by overnight mail courier service, postage prepaid, addressed as follows: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the Employee, to the most recent</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address on file with the Company.</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the Company, to:</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Martin Marietta Materials, Inc.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2710 Wycliff Road</w:t>
      </w:r>
    </w:p>
    <w:p>
      <w:pPr>
        <w:ind w:left="880"/>
        <w:spacing w:after="0"/>
        <w:rPr>
          <w:sz w:val="20"/>
          <w:szCs w:val="20"/>
          <w:color w:val="auto"/>
        </w:rPr>
      </w:pPr>
      <w:r>
        <w:rPr>
          <w:rFonts w:ascii="Arial" w:cs="Arial" w:eastAsia="Arial" w:hAnsi="Arial"/>
          <w:sz w:val="20"/>
          <w:szCs w:val="20"/>
          <w:color w:val="auto"/>
        </w:rPr>
        <w:t>Raleigh, NC 27607</w:t>
      </w:r>
    </w:p>
    <w:p>
      <w:pPr>
        <w:ind w:left="880"/>
        <w:spacing w:after="0"/>
        <w:rPr>
          <w:sz w:val="20"/>
          <w:szCs w:val="20"/>
          <w:color w:val="auto"/>
        </w:rPr>
      </w:pPr>
      <w:r>
        <w:rPr>
          <w:rFonts w:ascii="Arial" w:cs="Arial" w:eastAsia="Arial" w:hAnsi="Arial"/>
          <w:sz w:val="20"/>
          <w:szCs w:val="20"/>
          <w:color w:val="auto"/>
        </w:rPr>
        <w:t>Fax: (919) 783-4535</w:t>
      </w:r>
    </w:p>
    <w:p>
      <w:pPr>
        <w:ind w:left="880"/>
        <w:spacing w:after="0"/>
        <w:rPr>
          <w:sz w:val="20"/>
          <w:szCs w:val="20"/>
          <w:color w:val="auto"/>
        </w:rPr>
      </w:pPr>
      <w:r>
        <w:rPr>
          <w:rFonts w:ascii="Arial" w:cs="Arial" w:eastAsia="Arial" w:hAnsi="Arial"/>
          <w:sz w:val="20"/>
          <w:szCs w:val="20"/>
          <w:color w:val="auto"/>
        </w:rPr>
        <w:t>Attn: Corporate Secretary</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or to such other address or such other person as the Employee or the Company shall designate in writing in accordance with this Section 13, except that notices regarding changes in notices shall be effective only upon receipt.</w:t>
      </w:r>
    </w:p>
    <w:p>
      <w:pPr>
        <w:spacing w:after="0" w:line="184" w:lineRule="exact"/>
        <w:rPr>
          <w:sz w:val="20"/>
          <w:szCs w:val="20"/>
          <w:color w:val="auto"/>
        </w:rPr>
      </w:pPr>
    </w:p>
    <w:p>
      <w:pPr>
        <w:ind w:left="880" w:hanging="872"/>
        <w:spacing w:after="0"/>
        <w:tabs>
          <w:tab w:leader="none" w:pos="88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35"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This Award Agreement shall be governed by the laws of the State of North Carolina.</w:t>
      </w:r>
    </w:p>
    <w:p>
      <w:pPr>
        <w:spacing w:after="0" w:line="229"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IN WITNESS WHEREOF, the Company has caused this Award Agreement to be executed and the Employee has hereunto set his hand as of the day and year first above written.</w:t>
      </w:r>
    </w:p>
    <w:p>
      <w:pPr>
        <w:spacing w:after="0" w:line="200" w:lineRule="exact"/>
        <w:rPr>
          <w:sz w:val="20"/>
          <w:szCs w:val="20"/>
          <w:color w:val="auto"/>
        </w:rPr>
      </w:pPr>
    </w:p>
    <w:p>
      <w:pPr>
        <w:spacing w:after="0" w:line="214"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MARTIN MARIETTA MATERIALS, INC.</w:t>
      </w:r>
    </w:p>
    <w:p>
      <w:pPr>
        <w:spacing w:after="0" w:line="235"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Roselyn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10160</wp:posOffset>
            </wp:positionV>
            <wp:extent cx="26155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20"/>
          <w:szCs w:val="20"/>
          <w:color w:val="auto"/>
        </w:rPr>
        <w:t>Roselyn Bar</w:t>
      </w:r>
    </w:p>
    <w:p>
      <w:pPr>
        <w:spacing w:after="0" w:line="8" w:lineRule="exact"/>
        <w:rPr>
          <w:sz w:val="20"/>
          <w:szCs w:val="20"/>
          <w:color w:val="auto"/>
        </w:rPr>
      </w:pPr>
    </w:p>
    <w:p>
      <w:pPr>
        <w:ind w:left="7300"/>
        <w:spacing w:after="0"/>
        <w:rPr>
          <w:sz w:val="20"/>
          <w:szCs w:val="20"/>
          <w:color w:val="auto"/>
        </w:rPr>
      </w:pPr>
      <w:r>
        <w:rPr>
          <w:rFonts w:ascii="Arial" w:cs="Arial" w:eastAsia="Arial" w:hAnsi="Arial"/>
          <w:sz w:val="19"/>
          <w:szCs w:val="19"/>
          <w:color w:val="auto"/>
        </w:rPr>
        <w:t>Executive Vice President, General Counsel and</w:t>
      </w:r>
    </w:p>
    <w:p>
      <w:pPr>
        <w:spacing w:after="0" w:line="11"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37"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EMPLOYEE</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0</wp:posOffset>
            </wp:positionV>
            <wp:extent cx="26155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20"/>
          <w:szCs w:val="20"/>
          <w:color w:val="auto"/>
        </w:rPr>
        <w:t>(Employee’s Signature)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68"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28"/>
        <w:spacing w:after="0"/>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7" w:name="page58"/>
    <w:bookmarkEnd w:id="57"/>
    <w:p>
      <w:pPr>
        <w:jc w:val="both"/>
        <w:ind w:left="1300" w:hanging="428"/>
        <w:spacing w:after="0" w:line="250" w:lineRule="auto"/>
        <w:tabs>
          <w:tab w:leader="none" w:pos="13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Pr>
          <w:p>
            <w:pPr>
              <w:spacing w:after="0"/>
              <w:rPr>
                <w:sz w:val="20"/>
                <w:szCs w:val="20"/>
                <w:color w:val="auto"/>
              </w:rPr>
            </w:pPr>
            <w:r>
              <w:rPr>
                <w:rFonts w:ascii="Arial" w:cs="Arial" w:eastAsia="Arial" w:hAnsi="Arial"/>
                <w:sz w:val="20"/>
                <w:szCs w:val="20"/>
                <w:color w:val="auto"/>
              </w:rPr>
              <w:t>Date: May 5, 2016</w:t>
            </w:r>
          </w:p>
        </w:tc>
        <w:tc>
          <w:tcPr>
            <w:tcW w:w="7220" w:type="dxa"/>
            <w:vAlign w:val="bottom"/>
            <w:gridSpan w:val="2"/>
          </w:tcPr>
          <w:p>
            <w:pPr>
              <w:ind w:left="2660"/>
              <w:spacing w:after="0"/>
              <w:rPr>
                <w:sz w:val="20"/>
                <w:szCs w:val="20"/>
                <w:color w:val="auto"/>
              </w:rPr>
            </w:pPr>
            <w:r>
              <w:rPr>
                <w:rFonts w:ascii="Arial" w:cs="Arial" w:eastAsia="Arial" w:hAnsi="Arial"/>
                <w:sz w:val="20"/>
                <w:szCs w:val="20"/>
                <w:color w:val="auto"/>
              </w:rPr>
              <w:t>By:  /s/ C. Howard Nye</w:t>
            </w:r>
          </w:p>
        </w:tc>
      </w:tr>
      <w:tr>
        <w:trPr>
          <w:trHeight w:val="206"/>
        </w:trPr>
        <w:tc>
          <w:tcPr>
            <w:tcW w:w="42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2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04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Anne H. Lloyd, certify that:</w:t>
      </w:r>
    </w:p>
    <w:p>
      <w:pPr>
        <w:spacing w:after="0" w:line="229" w:lineRule="exact"/>
        <w:rPr>
          <w:sz w:val="20"/>
          <w:szCs w:val="20"/>
          <w:color w:val="auto"/>
        </w:rPr>
      </w:pPr>
    </w:p>
    <w:p>
      <w:pPr>
        <w:ind w:left="1300" w:hanging="428"/>
        <w:spacing w:after="0"/>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9" w:name="page60"/>
    <w:bookmarkEnd w:id="59"/>
    <w:p>
      <w:pPr>
        <w:jc w:val="both"/>
        <w:ind w:left="1300" w:hanging="428"/>
        <w:spacing w:after="0" w:line="250" w:lineRule="auto"/>
        <w:tabs>
          <w:tab w:leader="none" w:pos="13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Pr>
          <w:p>
            <w:pPr>
              <w:spacing w:after="0"/>
              <w:rPr>
                <w:sz w:val="20"/>
                <w:szCs w:val="20"/>
                <w:color w:val="auto"/>
              </w:rPr>
            </w:pPr>
            <w:r>
              <w:rPr>
                <w:rFonts w:ascii="Arial" w:cs="Arial" w:eastAsia="Arial" w:hAnsi="Arial"/>
                <w:sz w:val="20"/>
                <w:szCs w:val="20"/>
                <w:color w:val="auto"/>
              </w:rPr>
              <w:t>Date: May 5, 2016</w:t>
            </w:r>
          </w:p>
        </w:tc>
        <w:tc>
          <w:tcPr>
            <w:tcW w:w="7240" w:type="dxa"/>
            <w:vAlign w:val="bottom"/>
            <w:gridSpan w:val="2"/>
          </w:tcPr>
          <w:p>
            <w:pPr>
              <w:ind w:left="2680"/>
              <w:spacing w:after="0"/>
              <w:rPr>
                <w:sz w:val="20"/>
                <w:szCs w:val="20"/>
                <w:color w:val="auto"/>
              </w:rPr>
            </w:pPr>
            <w:r>
              <w:rPr>
                <w:rFonts w:ascii="Arial" w:cs="Arial" w:eastAsia="Arial" w:hAnsi="Arial"/>
                <w:sz w:val="20"/>
                <w:szCs w:val="20"/>
                <w:color w:val="auto"/>
              </w:rPr>
              <w:t>By:  /s/ Anne H. Lloyd</w:t>
            </w:r>
          </w:p>
        </w:tc>
      </w:tr>
      <w:tr>
        <w:trPr>
          <w:trHeight w:val="206"/>
        </w:trPr>
        <w:tc>
          <w:tcPr>
            <w:tcW w:w="4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Anne H. Lloyd</w:t>
            </w:r>
          </w:p>
        </w:tc>
      </w:tr>
      <w:tr>
        <w:trPr>
          <w:trHeight w:val="230"/>
        </w:trPr>
        <w:tc>
          <w:tcPr>
            <w:tcW w:w="41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41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04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32.01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0" w:lineRule="exact"/>
        <w:rPr>
          <w:sz w:val="20"/>
          <w:szCs w:val="20"/>
          <w:color w:val="auto"/>
        </w:rPr>
      </w:pPr>
    </w:p>
    <w:p>
      <w:pPr>
        <w:spacing w:after="0" w:line="24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March 31, 2016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Dated: May 5, 2016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32.02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0" w:lineRule="exact"/>
        <w:rPr>
          <w:sz w:val="20"/>
          <w:szCs w:val="20"/>
          <w:color w:val="auto"/>
        </w:rPr>
      </w:pPr>
    </w:p>
    <w:p>
      <w:pPr>
        <w:spacing w:after="0" w:line="24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March 31, 2016 (the “Report”) of Martin Marietta Materials, Inc. (the “Registrant”), as filed with the Securities and Exchange Commission on the date hereof, I, Anne H. Lloyd, the Chief Financial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Anne H. Lloyd</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Executive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May 5, 2016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36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95</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March 31, 2016:</w:t>
      </w:r>
    </w:p>
    <w:p>
      <w:pPr>
        <w:spacing w:after="0" w:line="252" w:lineRule="exact"/>
        <w:rPr>
          <w:sz w:val="20"/>
          <w:szCs w:val="20"/>
          <w:color w:val="auto"/>
        </w:rPr>
      </w:pPr>
    </w:p>
    <w:p>
      <w:pPr>
        <w:jc w:val="both"/>
        <w:ind w:left="500" w:hanging="424"/>
        <w:spacing w:after="0" w:line="259" w:lineRule="auto"/>
        <w:tabs>
          <w:tab w:leader="none" w:pos="500"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3" w:name="page64"/>
    <w:bookmarkEnd w:id="63"/>
    <w:p>
      <w:pPr>
        <w:jc w:val="both"/>
        <w:ind w:left="424" w:hanging="424"/>
        <w:spacing w:after="0" w:line="247" w:lineRule="auto"/>
        <w:tabs>
          <w:tab w:leader="none" w:pos="424"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2" w:lineRule="exact"/>
        <w:rPr>
          <w:rFonts w:ascii="Arial" w:cs="Arial" w:eastAsia="Arial" w:hAnsi="Arial"/>
          <w:sz w:val="20"/>
          <w:szCs w:val="20"/>
          <w:b w:val="1"/>
          <w:bCs w:val="1"/>
          <w:color w:val="auto"/>
        </w:rPr>
      </w:pPr>
    </w:p>
    <w:p>
      <w:pPr>
        <w:jc w:val="both"/>
        <w:ind w:left="424" w:hanging="424"/>
        <w:spacing w:after="0" w:line="260" w:lineRule="auto"/>
        <w:tabs>
          <w:tab w:leader="none" w:pos="424" w:val="left"/>
        </w:tabs>
        <w:numPr>
          <w:ilvl w:val="0"/>
          <w:numId w:val="60"/>
        </w:numPr>
        <w:rPr>
          <w:rFonts w:ascii="Arial" w:cs="Arial" w:eastAsia="Arial" w:hAnsi="Arial"/>
          <w:sz w:val="19"/>
          <w:szCs w:val="19"/>
          <w:b w:val="1"/>
          <w:bCs w:val="1"/>
          <w:color w:val="auto"/>
        </w:rPr>
      </w:pPr>
      <w:r>
        <w:rPr>
          <w:rFonts w:ascii="Arial" w:cs="Arial" w:eastAsia="Arial" w:hAnsi="Arial"/>
          <w:sz w:val="19"/>
          <w:szCs w:val="19"/>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94" w:lineRule="exact"/>
        <w:rPr>
          <w:rFonts w:ascii="Arial" w:cs="Arial" w:eastAsia="Arial" w:hAnsi="Arial"/>
          <w:sz w:val="19"/>
          <w:szCs w:val="19"/>
          <w:b w:val="1"/>
          <w:bCs w:val="1"/>
          <w:color w:val="auto"/>
        </w:rPr>
      </w:pPr>
    </w:p>
    <w:p>
      <w:pPr>
        <w:jc w:val="both"/>
        <w:ind w:left="424" w:hanging="424"/>
        <w:spacing w:after="0" w:line="244" w:lineRule="auto"/>
        <w:tabs>
          <w:tab w:leader="none" w:pos="424"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8" w:lineRule="exact"/>
        <w:rPr>
          <w:rFonts w:ascii="Arial" w:cs="Arial" w:eastAsia="Arial" w:hAnsi="Arial"/>
          <w:sz w:val="20"/>
          <w:szCs w:val="20"/>
          <w:b w:val="1"/>
          <w:bCs w:val="1"/>
          <w:color w:val="auto"/>
        </w:rPr>
      </w:pPr>
    </w:p>
    <w:p>
      <w:pPr>
        <w:jc w:val="both"/>
        <w:ind w:left="424" w:hanging="424"/>
        <w:spacing w:after="0" w:line="263" w:lineRule="auto"/>
        <w:tabs>
          <w:tab w:leader="none" w:pos="424" w:val="left"/>
        </w:tabs>
        <w:numPr>
          <w:ilvl w:val="0"/>
          <w:numId w:val="60"/>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0" w:lineRule="exact"/>
        <w:rPr>
          <w:rFonts w:ascii="Arial" w:cs="Arial" w:eastAsia="Arial" w:hAnsi="Arial"/>
          <w:sz w:val="19"/>
          <w:szCs w:val="19"/>
          <w:b w:val="1"/>
          <w:bCs w:val="1"/>
          <w:color w:val="auto"/>
        </w:rPr>
      </w:pPr>
    </w:p>
    <w:p>
      <w:pPr>
        <w:jc w:val="both"/>
        <w:ind w:left="424" w:hanging="424"/>
        <w:spacing w:after="0" w:line="282" w:lineRule="auto"/>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5" w:lineRule="exact"/>
        <w:rPr>
          <w:rFonts w:ascii="Arial" w:cs="Arial" w:eastAsia="Arial" w:hAnsi="Arial"/>
          <w:sz w:val="18"/>
          <w:szCs w:val="18"/>
          <w:b w:val="1"/>
          <w:bCs w:val="1"/>
          <w:color w:val="auto"/>
        </w:rPr>
      </w:pPr>
    </w:p>
    <w:p>
      <w:pPr>
        <w:jc w:val="both"/>
        <w:ind w:left="424" w:hanging="424"/>
        <w:spacing w:after="0" w:line="291" w:lineRule="auto"/>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300355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4"/>
          </w:cols>
          <w:pgMar w:left="316" w:top="122" w:right="239" w:bottom="1440" w:gutter="0" w:footer="0" w:header="0"/>
        </w:sectPr>
      </w:pPr>
    </w:p>
    <w:bookmarkStart w:id="64" w:name="page65"/>
    <w:bookmarkEnd w:id="64"/>
    <w:p>
      <w:pPr>
        <w:jc w:val="both"/>
        <w:ind w:left="424" w:hanging="424"/>
        <w:spacing w:after="0" w:line="263" w:lineRule="auto"/>
        <w:tabs>
          <w:tab w:leader="none" w:pos="424"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0" w:lineRule="exact"/>
        <w:rPr>
          <w:rFonts w:ascii="Arial" w:cs="Arial" w:eastAsia="Arial" w:hAnsi="Arial"/>
          <w:sz w:val="19"/>
          <w:szCs w:val="19"/>
          <w:b w:val="1"/>
          <w:bCs w:val="1"/>
          <w:color w:val="auto"/>
        </w:rPr>
      </w:pPr>
    </w:p>
    <w:p>
      <w:pPr>
        <w:ind w:left="424" w:hanging="424"/>
        <w:spacing w:after="0"/>
        <w:tabs>
          <w:tab w:leader="none" w:pos="424"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24" w:hanging="424"/>
        <w:spacing w:after="0"/>
        <w:tabs>
          <w:tab w:leader="none" w:pos="424"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24" w:hanging="424"/>
        <w:spacing w:after="0"/>
        <w:tabs>
          <w:tab w:leader="none" w:pos="424"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0" w:lineRule="exact"/>
        <w:rPr>
          <w:sz w:val="20"/>
          <w:szCs w:val="20"/>
          <w:color w:val="auto"/>
        </w:rPr>
      </w:pPr>
    </w:p>
    <w:p>
      <w:pPr>
        <w:spacing w:after="0" w:line="259" w:lineRule="exact"/>
        <w:rPr>
          <w:sz w:val="20"/>
          <w:szCs w:val="20"/>
          <w:color w:val="auto"/>
        </w:rPr>
      </w:pPr>
    </w:p>
    <w:p>
      <w:pPr>
        <w:jc w:val="both"/>
        <w:ind w:left="44"/>
        <w:spacing w:after="0" w:line="273"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March 31, 2016,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3" w:lineRule="exact"/>
        <w:rPr>
          <w:sz w:val="20"/>
          <w:szCs w:val="20"/>
          <w:color w:val="auto"/>
        </w:rPr>
      </w:pPr>
    </w:p>
    <w:p>
      <w:pPr>
        <w:ind w:left="44"/>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632460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4"/>
          </w:cols>
          <w:pgMar w:left="316" w:top="35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gridSpan w:val="3"/>
          </w:tcPr>
          <w:p>
            <w:pPr>
              <w:ind w:left="720"/>
              <w:spacing w:after="0"/>
              <w:rPr>
                <w:sz w:val="20"/>
                <w:szCs w:val="20"/>
                <w:color w:val="auto"/>
              </w:rPr>
            </w:pPr>
            <w:r>
              <w:rPr>
                <w:rFonts w:ascii="Arial" w:cs="Arial" w:eastAsia="Arial" w:hAnsi="Arial"/>
                <w:sz w:val="20"/>
                <w:szCs w:val="20"/>
                <w:color w:val="auto"/>
                <w:w w:val="91"/>
              </w:rPr>
              <w:t>Appendix 1</w:t>
            </w:r>
          </w:p>
        </w:tc>
      </w:tr>
      <w:tr>
        <w:trPr>
          <w:trHeight w:val="446"/>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7"/>
              </w:rPr>
              <w:t>Notice of Notice of</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2"/>
              </w:rPr>
              <w:t>Pattern</w:t>
            </w:r>
          </w:p>
        </w:tc>
        <w:tc>
          <w:tcPr>
            <w:tcW w:w="1560" w:type="dxa"/>
            <w:vAlign w:val="bottom"/>
            <w:gridSpan w:val="2"/>
          </w:tcPr>
          <w:p>
            <w:pPr>
              <w:ind w:left="60"/>
              <w:spacing w:after="0"/>
              <w:rPr>
                <w:sz w:val="20"/>
                <w:szCs w:val="20"/>
                <w:color w:val="auto"/>
              </w:rPr>
            </w:pPr>
            <w:r>
              <w:rPr>
                <w:rFonts w:ascii="Arial" w:cs="Arial" w:eastAsia="Arial" w:hAnsi="Arial"/>
                <w:sz w:val="20"/>
                <w:szCs w:val="20"/>
                <w:b w:val="1"/>
                <w:bCs w:val="1"/>
                <w:color w:val="auto"/>
                <w:w w:val="90"/>
              </w:rPr>
              <w:t>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8"/>
              </w:rPr>
              <w:t>to have</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8"/>
              </w:rPr>
              <w:t>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91"/>
              </w:rPr>
              <w:t>Legal</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2"/>
              </w:rPr>
              <w:t>Total 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spacing w:after="0"/>
              <w:rPr>
                <w:sz w:val="20"/>
                <w:szCs w:val="20"/>
                <w:color w:val="auto"/>
              </w:rPr>
            </w:pPr>
            <w:r>
              <w:rPr>
                <w:rFonts w:ascii="Arial" w:cs="Arial" w:eastAsia="Arial" w:hAnsi="Arial"/>
                <w:sz w:val="20"/>
                <w:szCs w:val="20"/>
                <w:b w:val="1"/>
                <w:bCs w:val="1"/>
                <w:color w:val="auto"/>
                <w:w w:val="98"/>
              </w:rPr>
              <w:t>Violation Pattern</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1"/>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7"/>
              </w:rPr>
              <w:t>Actions</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60" w:type="dxa"/>
            <w:vAlign w:val="bottom"/>
          </w:tcPr>
          <w:p>
            <w:pPr>
              <w:ind w:left="120"/>
              <w:spacing w:after="0"/>
              <w:rPr>
                <w:sz w:val="20"/>
                <w:szCs w:val="20"/>
                <w:color w:val="auto"/>
              </w:rPr>
            </w:pPr>
            <w:r>
              <w:rPr>
                <w:rFonts w:ascii="Arial" w:cs="Arial" w:eastAsia="Arial" w:hAnsi="Arial"/>
                <w:sz w:val="20"/>
                <w:szCs w:val="20"/>
                <w:b w:val="1"/>
                <w:bCs w:val="1"/>
                <w:color w:val="auto"/>
                <w:w w:val="99"/>
              </w:rPr>
              <w:t>Section</w:t>
            </w:r>
          </w:p>
        </w:tc>
        <w:tc>
          <w:tcPr>
            <w:tcW w:w="660" w:type="dxa"/>
            <w:vAlign w:val="bottom"/>
          </w:tcPr>
          <w:p>
            <w:pPr>
              <w:ind w:left="20"/>
              <w:spacing w:after="0"/>
              <w:rPr>
                <w:sz w:val="20"/>
                <w:szCs w:val="20"/>
                <w:color w:val="auto"/>
              </w:rPr>
            </w:pPr>
            <w:r>
              <w:rPr>
                <w:rFonts w:ascii="Arial" w:cs="Arial" w:eastAsia="Arial" w:hAnsi="Arial"/>
                <w:sz w:val="20"/>
                <w:szCs w:val="20"/>
                <w:b w:val="1"/>
                <w:bCs w:val="1"/>
                <w:color w:val="auto"/>
                <w:w w:val="85"/>
              </w:rPr>
              <w:t>Section</w:t>
            </w:r>
          </w:p>
        </w:tc>
        <w:tc>
          <w:tcPr>
            <w:tcW w:w="140" w:type="dxa"/>
            <w:vAlign w:val="bottom"/>
          </w:tcPr>
          <w:p>
            <w:pPr>
              <w:spacing w:after="0"/>
              <w:rPr>
                <w:sz w:val="19"/>
                <w:szCs w:val="19"/>
                <w:color w:val="auto"/>
              </w:rPr>
            </w:pPr>
          </w:p>
        </w:tc>
        <w:tc>
          <w:tcPr>
            <w:tcW w:w="1040" w:type="dxa"/>
            <w:vAlign w:val="bottom"/>
          </w:tcPr>
          <w:p>
            <w:pPr>
              <w:jc w:val="center"/>
              <w:ind w:right="81"/>
              <w:spacing w:after="0"/>
              <w:rPr>
                <w:sz w:val="20"/>
                <w:szCs w:val="20"/>
                <w:color w:val="auto"/>
              </w:rPr>
            </w:pPr>
            <w:r>
              <w:rPr>
                <w:rFonts w:ascii="Arial" w:cs="Arial" w:eastAsia="Arial" w:hAnsi="Arial"/>
                <w:sz w:val="20"/>
                <w:szCs w:val="20"/>
                <w:b w:val="1"/>
                <w:bCs w:val="1"/>
                <w:color w:val="auto"/>
                <w:w w:val="89"/>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60" w:type="dxa"/>
            <w:vAlign w:val="bottom"/>
            <w:gridSpan w:val="3"/>
          </w:tcPr>
          <w:p>
            <w:pPr>
              <w:ind w:left="20"/>
              <w:spacing w:after="0"/>
              <w:rPr>
                <w:sz w:val="20"/>
                <w:szCs w:val="20"/>
                <w:color w:val="auto"/>
              </w:rPr>
            </w:pPr>
            <w:r>
              <w:rPr>
                <w:rFonts w:ascii="Arial" w:cs="Arial" w:eastAsia="Arial" w:hAnsi="Arial"/>
                <w:sz w:val="20"/>
                <w:szCs w:val="20"/>
                <w:b w:val="1"/>
                <w:bCs w:val="1"/>
                <w:color w:val="auto"/>
                <w:w w:val="87"/>
              </w:rPr>
              <w:t>Instituted Resolved</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110(b)(2)</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3"/>
              </w:rPr>
              <w:t>107(a)</w:t>
            </w:r>
          </w:p>
        </w:tc>
        <w:tc>
          <w:tcPr>
            <w:tcW w:w="140" w:type="dxa"/>
            <w:vAlign w:val="bottom"/>
          </w:tcPr>
          <w:p>
            <w:pPr>
              <w:spacing w:after="0"/>
              <w:rPr>
                <w:sz w:val="19"/>
                <w:szCs w:val="19"/>
                <w:color w:val="auto"/>
              </w:rPr>
            </w:pPr>
          </w:p>
        </w:tc>
        <w:tc>
          <w:tcPr>
            <w:tcW w:w="1040" w:type="dxa"/>
            <w:vAlign w:val="bottom"/>
          </w:tcPr>
          <w:p>
            <w:pPr>
              <w:jc w:val="center"/>
              <w:ind w:right="10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93"/>
              </w:rPr>
              <w:t>During</w:t>
            </w:r>
          </w:p>
        </w:tc>
      </w:tr>
      <w:tr>
        <w:trPr>
          <w:trHeight w:val="230"/>
        </w:trPr>
        <w:tc>
          <w:tcPr>
            <w:tcW w:w="100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3520" w:type="dxa"/>
            <w:vAlign w:val="bottom"/>
            <w:gridSpan w:val="5"/>
          </w:tcPr>
          <w:p>
            <w:pPr>
              <w:ind w:left="20"/>
              <w:spacing w:after="0"/>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104(e)</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100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1"/>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40" w:type="dxa"/>
            <w:vAlign w:val="bottom"/>
          </w:tcPr>
          <w:p>
            <w:pPr>
              <w:spacing w:after="0"/>
              <w:rPr>
                <w:sz w:val="21"/>
                <w:szCs w:val="21"/>
                <w:color w:val="auto"/>
              </w:rPr>
            </w:pPr>
          </w:p>
        </w:tc>
        <w:tc>
          <w:tcPr>
            <w:tcW w:w="1040" w:type="dxa"/>
            <w:vAlign w:val="bottom"/>
          </w:tcPr>
          <w:p>
            <w:pPr>
              <w:jc w:val="center"/>
              <w:ind w:right="81"/>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BN5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Stone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3100189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Creek</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4402963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3100071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3800072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720" w:type="dxa"/>
            <w:vAlign w:val="bottom"/>
            <w:gridSpan w:val="2"/>
          </w:tcPr>
          <w:p>
            <w:pPr>
              <w:spacing w:after="0"/>
              <w:rPr>
                <w:sz w:val="20"/>
                <w:szCs w:val="20"/>
                <w:color w:val="auto"/>
              </w:rPr>
            </w:pPr>
            <w:r>
              <w:rPr>
                <w:rFonts w:ascii="Arial" w:cs="Arial" w:eastAsia="Arial" w:hAnsi="Arial"/>
                <w:sz w:val="20"/>
                <w:szCs w:val="20"/>
                <w:color w:val="auto"/>
                <w:w w:val="92"/>
              </w:rPr>
              <w:t>City Quarry 3101105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Ankle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3102220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Gravel Pit</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Boonsboro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1800024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3100042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3101869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Carmel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Church</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4405633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Hayne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Cayce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3800016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Rock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3100057</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1"/>
              </w:rPr>
              <w:t>Chesterfield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3800682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Clarks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3102009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150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9"/>
              </w:rPr>
              <w:t>Cumberland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3102237</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20"/>
                <w:szCs w:val="20"/>
                <w:color w:val="auto"/>
              </w:rPr>
              <w:t>Denver</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540"/>
        </w:trPr>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765"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Doswell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4400045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East Alamance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3102021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w w:val="99"/>
              </w:rPr>
              <w:t>Fountain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3100065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Franklin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3102130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Fuquay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3102055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Garner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3100072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Georgetown ll</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3800525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Hickory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3100043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Hicone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3102088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20"/>
                <w:szCs w:val="20"/>
                <w:color w:val="auto"/>
                <w:w w:val="94"/>
              </w:rPr>
              <w:t>Jamestown Quarry 3100051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Kannapolis</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3100070</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217</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Kings Mountain</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3100047</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Lemon Springs</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3101104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w w:val="95"/>
              </w:rPr>
              <w:t>Loamy Sand and</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3800721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3102125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Mallard Creek</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3102006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w w:val="94"/>
              </w:rPr>
              <w:t>Matthews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3102084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2,333</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20"/>
                <w:szCs w:val="20"/>
                <w:color w:val="auto"/>
                <w:w w:val="98"/>
              </w:rPr>
              <w:t>Midlothian Quarry 4403767</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North Columbia</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3800146</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Onslow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3102120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Pinesburg</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1800021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Pomona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3100052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9"/>
              </w:rPr>
              <w:t>Raleigh Durham</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3101941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Red Hill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4400072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w w:val="94"/>
              </w:rPr>
              <w:t>Reidsville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3100068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w w:val="98"/>
              </w:rPr>
              <w:t>Rock Hill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3800026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Rocky Point</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3101956</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Rocky River</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3102033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Salem Stone</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Company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3102038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w w:val="98"/>
              </w:rPr>
              <w:t>Siler City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3100044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8"/>
              </w:rPr>
              <w:t>Statesville Quarry 3100055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Thomasville</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3101475</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3102230</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w w:val="95"/>
              </w:rPr>
              <w:t>Woodleaf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3100069</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(45) North</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Indianapolis</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1200002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Apple Grove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3301676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1201911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Blue Rock</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3300016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Burning Springs</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4608862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3</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Carmel SandG</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1202124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Cedarville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3304072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Cloverdale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1201744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Cook Road</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3304534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E-Town SandG</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3304279</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Fairborn Gravel</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3301388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Fairfield</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3301396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Franklin Gravel</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3302940</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Hamilton Gravel</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3301394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Harrison</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3301395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Kentucky Ave</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Mine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1201762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2,127</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1202105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Kokomo Sand</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1202203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1200142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20"/>
                <w:szCs w:val="20"/>
                <w:color w:val="auto"/>
                <w:w w:val="97"/>
              </w:rPr>
              <w:t>Lynchburg Quarry 3304281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Noblesville</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SandG</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1201994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300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w w:val="93"/>
              </w:rPr>
              <w:t>Noblesville Stone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1202176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7"/>
              </w:rPr>
              <w:t>North Indianapolis 1201993</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Ohio Recycle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3304394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Petersburg</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1516895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Phillipsburg</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3300006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117</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Ross Gravel</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3301587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20"/>
                <w:szCs w:val="20"/>
                <w:color w:val="auto"/>
              </w:rPr>
              <w:t>Shamrock SG</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3304011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Troy Gravel</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3301678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20"/>
                <w:szCs w:val="20"/>
                <w:color w:val="auto"/>
              </w:rPr>
              <w:t>Waverly Sand</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1202038</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Xenia</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3301393</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Pr>
          <w:p>
            <w:pPr>
              <w:spacing w:after="0" w:line="227" w:lineRule="exact"/>
              <w:rPr>
                <w:sz w:val="20"/>
                <w:szCs w:val="20"/>
                <w:color w:val="auto"/>
              </w:rPr>
            </w:pPr>
            <w:r>
              <w:rPr>
                <w:rFonts w:ascii="Arial" w:cs="Arial" w:eastAsia="Arial" w:hAnsi="Arial"/>
                <w:sz w:val="20"/>
                <w:szCs w:val="20"/>
                <w:color w:val="auto"/>
                <w:w w:val="96"/>
              </w:rPr>
              <w:t>Alabaster Quarry</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00" w:type="dxa"/>
            <w:vAlign w:val="bottom"/>
            <w:gridSpan w:val="2"/>
          </w:tcPr>
          <w:p>
            <w:pPr>
              <w:spacing w:after="0"/>
              <w:rPr>
                <w:sz w:val="20"/>
                <w:szCs w:val="20"/>
                <w:color w:val="auto"/>
              </w:rPr>
            </w:pPr>
            <w:r>
              <w:rPr>
                <w:rFonts w:ascii="Arial" w:cs="Arial" w:eastAsia="Arial" w:hAnsi="Arial"/>
                <w:sz w:val="20"/>
                <w:szCs w:val="20"/>
                <w:color w:val="auto"/>
              </w:rPr>
              <w:t>Co19</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103068</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901083</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20"/>
                <w:szCs w:val="20"/>
                <w:color w:val="auto"/>
                <w:w w:val="94"/>
              </w:rPr>
              <w:t>Auburn Al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100006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200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Auburn GA</w:t>
            </w: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900436</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Pr>
          <w:p>
            <w:pPr>
              <w:spacing w:after="0" w:line="227" w:lineRule="exact"/>
              <w:rPr>
                <w:sz w:val="20"/>
                <w:szCs w:val="20"/>
                <w:color w:val="auto"/>
              </w:rPr>
            </w:pPr>
            <w:r>
              <w:rPr>
                <w:rFonts w:ascii="Arial" w:cs="Arial" w:eastAsia="Arial" w:hAnsi="Arial"/>
                <w:sz w:val="20"/>
                <w:szCs w:val="20"/>
                <w:color w:val="auto"/>
                <w:w w:val="99"/>
              </w:rPr>
              <w:t>Augusta Quarry-</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00" w:type="dxa"/>
            <w:vAlign w:val="bottom"/>
            <w:gridSpan w:val="2"/>
          </w:tcPr>
          <w:p>
            <w:pPr>
              <w:spacing w:after="0"/>
              <w:rPr>
                <w:sz w:val="20"/>
                <w:szCs w:val="20"/>
                <w:color w:val="auto"/>
              </w:rPr>
            </w:pPr>
            <w:r>
              <w:rPr>
                <w:rFonts w:ascii="Arial" w:cs="Arial" w:eastAsia="Arial" w:hAnsi="Arial"/>
                <w:sz w:val="20"/>
                <w:szCs w:val="20"/>
                <w:color w:val="auto"/>
              </w:rPr>
              <w:t>GA</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900065</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w w:val="91"/>
              </w:rPr>
              <w:t>Birmingham Shop</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102096</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Pr>
          <w:p>
            <w:pPr>
              <w:spacing w:after="0" w:line="227" w:lineRule="exact"/>
              <w:rPr>
                <w:sz w:val="20"/>
                <w:szCs w:val="20"/>
                <w:color w:val="auto"/>
              </w:rPr>
            </w:pPr>
            <w:r>
              <w:rPr>
                <w:rFonts w:ascii="Arial" w:cs="Arial" w:eastAsia="Arial" w:hAnsi="Arial"/>
                <w:sz w:val="20"/>
                <w:szCs w:val="20"/>
                <w:color w:val="auto"/>
              </w:rPr>
              <w:t>Cabbage Grove</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0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800008</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Camak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900075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Pr>
          <w:p>
            <w:pPr>
              <w:spacing w:after="0" w:line="227" w:lineRule="exact"/>
              <w:rPr>
                <w:sz w:val="20"/>
                <w:szCs w:val="20"/>
                <w:color w:val="auto"/>
              </w:rPr>
            </w:pPr>
            <w:r>
              <w:rPr>
                <w:rFonts w:ascii="Arial" w:cs="Arial" w:eastAsia="Arial" w:hAnsi="Arial"/>
                <w:sz w:val="20"/>
                <w:szCs w:val="20"/>
                <w:color w:val="auto"/>
              </w:rPr>
              <w:t>Chattanooga</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0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4003159</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Forsyth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901035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20"/>
                <w:szCs w:val="20"/>
                <w:color w:val="auto"/>
                <w:w w:val="97"/>
              </w:rPr>
              <w:t>Jefferson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901106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Junction City</w:t>
            </w: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901029</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20"/>
                <w:szCs w:val="20"/>
                <w:color w:val="auto"/>
              </w:rPr>
              <w:t>Lithonia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900023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Maylene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100634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Pr>
          <w:p>
            <w:pPr>
              <w:spacing w:after="0" w:line="227" w:lineRule="exact"/>
              <w:rPr>
                <w:sz w:val="20"/>
                <w:szCs w:val="20"/>
                <w:color w:val="auto"/>
              </w:rPr>
            </w:pPr>
            <w:r>
              <w:rPr>
                <w:rFonts w:ascii="Arial" w:cs="Arial" w:eastAsia="Arial" w:hAnsi="Arial"/>
                <w:sz w:val="20"/>
                <w:szCs w:val="20"/>
                <w:color w:val="auto"/>
              </w:rPr>
              <w:t>Morgan Co</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0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901126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Newton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900899</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Pr>
          <w:p>
            <w:pPr>
              <w:spacing w:after="0" w:line="227" w:lineRule="exact"/>
              <w:rPr>
                <w:sz w:val="20"/>
                <w:szCs w:val="20"/>
                <w:color w:val="auto"/>
              </w:rPr>
            </w:pPr>
            <w:r>
              <w:rPr>
                <w:rFonts w:ascii="Arial" w:cs="Arial" w:eastAsia="Arial" w:hAnsi="Arial"/>
                <w:sz w:val="20"/>
                <w:szCs w:val="20"/>
                <w:color w:val="auto"/>
              </w:rPr>
              <w:t>ONeal Quarry</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00" w:type="dxa"/>
            <w:vAlign w:val="bottom"/>
            <w:gridSpan w:val="2"/>
          </w:tcPr>
          <w:p>
            <w:pPr>
              <w:spacing w:after="0"/>
              <w:rPr>
                <w:sz w:val="20"/>
                <w:szCs w:val="20"/>
                <w:color w:val="auto"/>
              </w:rPr>
            </w:pPr>
            <w:r>
              <w:rPr>
                <w:rFonts w:ascii="Arial" w:cs="Arial" w:eastAsia="Arial" w:hAnsi="Arial"/>
                <w:sz w:val="20"/>
                <w:szCs w:val="20"/>
                <w:color w:val="auto"/>
              </w:rPr>
              <w:t>Co19</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103076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Paulding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901107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20"/>
                <w:szCs w:val="20"/>
                <w:color w:val="auto"/>
              </w:rPr>
              <w:t>Perry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801083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Red Oak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900069</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Pr>
          <w:p>
            <w:pPr>
              <w:spacing w:after="0" w:line="227" w:lineRule="exact"/>
              <w:rPr>
                <w:sz w:val="20"/>
                <w:szCs w:val="20"/>
                <w:color w:val="auto"/>
              </w:rPr>
            </w:pPr>
            <w:r>
              <w:rPr>
                <w:rFonts w:ascii="Arial" w:cs="Arial" w:eastAsia="Arial" w:hAnsi="Arial"/>
                <w:sz w:val="20"/>
                <w:szCs w:val="20"/>
                <w:color w:val="auto"/>
              </w:rPr>
              <w:t>R-S Sand and</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0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2200381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900074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Pr>
          <w:p>
            <w:pPr>
              <w:spacing w:after="0" w:line="227" w:lineRule="exact"/>
              <w:rPr>
                <w:sz w:val="20"/>
                <w:szCs w:val="20"/>
                <w:color w:val="auto"/>
              </w:rPr>
            </w:pPr>
            <w:r>
              <w:rPr>
                <w:rFonts w:ascii="Arial" w:cs="Arial" w:eastAsia="Arial" w:hAnsi="Arial"/>
                <w:sz w:val="20"/>
                <w:szCs w:val="20"/>
                <w:color w:val="auto"/>
                <w:w w:val="93"/>
              </w:rPr>
              <w:t>Shorter Sand and</w:t>
            </w: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0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102852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Six Mile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901144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20"/>
                <w:szCs w:val="20"/>
                <w:color w:val="auto"/>
              </w:rPr>
              <w:t>Tyrone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900306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Vance Quarry</w:t>
            </w: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20"/>
                <w:szCs w:val="20"/>
                <w:color w:val="auto"/>
              </w:rPr>
              <w:t>Co19</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103022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20"/>
                <w:szCs w:val="20"/>
                <w:color w:val="auto"/>
                <w:w w:val="91"/>
              </w:rPr>
              <w:t>Warrenton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900580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Alden Portable</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1302037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Alden Portable</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Plant 1</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1302031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Alden Portable</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Plant 2</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1302033</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Alden Portable</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Wash</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1302122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Alden Quarry -</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Shop</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1300228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338</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Alden Shop</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1302320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1300014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1,895</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Beaver Lake</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4503347</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Cedar Rapids</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1300122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Des Moines</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Portable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1300150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w w:val="91"/>
              </w:rPr>
              <w:t>Des Moines Shop</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1300932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385</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Dubois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2501046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1301225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Earlham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1302123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Environmental</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w w:val="95"/>
              </w:rPr>
              <w:t>Crew (Plant 854)</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1302126</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w w:val="95"/>
              </w:rPr>
              <w:t>Ferguson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1300124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Fort Calhoun</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2500006</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3</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1,286</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w w:val="96"/>
              </w:rPr>
              <w:t>Fort Dodge Mine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1300032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300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Greenwood</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2300141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Iowa Grading</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1302316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2</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1,201</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w w:val="91"/>
              </w:rPr>
              <w:t>LeGrand Portable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1302317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20"/>
                <w:szCs w:val="20"/>
                <w:color w:val="auto"/>
                <w:w w:val="98"/>
              </w:rPr>
              <w:t>Linn County Sand 1302208</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1300112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995</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Pr>
          <w:p>
            <w:pPr>
              <w:spacing w:after="0" w:line="227" w:lineRule="exact"/>
              <w:rPr>
                <w:sz w:val="20"/>
                <w:szCs w:val="20"/>
                <w:color w:val="auto"/>
              </w:rPr>
            </w:pPr>
            <w:r>
              <w:rPr>
                <w:rFonts w:ascii="Arial" w:cs="Arial" w:eastAsia="Arial" w:hAnsi="Arial"/>
                <w:sz w:val="20"/>
                <w:szCs w:val="20"/>
                <w:color w:val="auto"/>
              </w:rPr>
              <w:t>Marshalltown</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480" w:type="dxa"/>
            <w:vAlign w:val="bottom"/>
            <w:gridSpan w:val="2"/>
          </w:tcPr>
          <w:p>
            <w:pPr>
              <w:spacing w:after="0"/>
              <w:rPr>
                <w:sz w:val="20"/>
                <w:szCs w:val="20"/>
                <w:color w:val="auto"/>
              </w:rPr>
            </w:pPr>
            <w:r>
              <w:rPr>
                <w:rFonts w:ascii="Arial" w:cs="Arial" w:eastAsia="Arial" w:hAnsi="Arial"/>
                <w:sz w:val="20"/>
                <w:szCs w:val="20"/>
                <w:color w:val="auto"/>
              </w:rPr>
              <w:t>Sand</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1300718</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Moore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1302188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20"/>
                <w:szCs w:val="20"/>
                <w:color w:val="auto"/>
                <w:w w:val="97"/>
              </w:rPr>
              <w:t>New Harvey Sand 1301778</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Northwest</w:t>
            </w: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Division OH</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A2354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Ottawa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1401590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4500844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20"/>
                <w:szCs w:val="20"/>
                <w:color w:val="auto"/>
              </w:rPr>
              <w:t>Parkville Mine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2301883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20"/>
                <w:szCs w:val="20"/>
                <w:color w:val="auto"/>
                <w:w w:val="94"/>
              </w:rPr>
              <w:t>Pederson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1302192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2"/>
        </w:trPr>
        <w:tc>
          <w:tcPr>
            <w:tcW w:w="1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52"/>
        </w:trPr>
        <w:tc>
          <w:tcPr>
            <w:tcW w:w="1440" w:type="dxa"/>
            <w:vAlign w:val="bottom"/>
          </w:tcPr>
          <w:p>
            <w:pPr>
              <w:spacing w:after="0"/>
              <w:rPr>
                <w:sz w:val="20"/>
                <w:szCs w:val="20"/>
                <w:color w:val="auto"/>
              </w:rPr>
            </w:pPr>
            <w:r>
              <w:rPr>
                <w:rFonts w:ascii="Arial" w:cs="Arial" w:eastAsia="Arial" w:hAnsi="Arial"/>
                <w:sz w:val="20"/>
                <w:szCs w:val="20"/>
                <w:color w:val="auto"/>
              </w:rPr>
              <w:t>Raccoon River</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6"/>
        </w:trPr>
        <w:tc>
          <w:tcPr>
            <w:tcW w:w="1440" w:type="dxa"/>
            <w:vAlign w:val="bottom"/>
          </w:tcPr>
          <w:p>
            <w:pPr>
              <w:spacing w:after="0"/>
              <w:rPr>
                <w:sz w:val="20"/>
                <w:szCs w:val="20"/>
                <w:color w:val="auto"/>
              </w:rPr>
            </w:pPr>
            <w:r>
              <w:rPr>
                <w:rFonts w:ascii="Arial" w:cs="Arial" w:eastAsia="Arial" w:hAnsi="Arial"/>
                <w:sz w:val="20"/>
                <w:szCs w:val="20"/>
                <w:color w:val="auto"/>
              </w:rPr>
              <w:t>Sand</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1302315</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2</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352</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Randolph Deep</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Mine</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2302308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4</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1,638</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Reasnor Sand</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1300814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w w:val="99"/>
              </w:rPr>
              <w:t>Saylorville Sand</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1302290</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tcPr>
          <w:p>
            <w:pPr>
              <w:spacing w:after="0" w:line="227" w:lineRule="exact"/>
              <w:rPr>
                <w:sz w:val="20"/>
                <w:szCs w:val="20"/>
                <w:color w:val="auto"/>
              </w:rPr>
            </w:pPr>
            <w:r>
              <w:rPr>
                <w:rFonts w:ascii="Arial" w:cs="Arial" w:eastAsia="Arial" w:hAnsi="Arial"/>
                <w:sz w:val="20"/>
                <w:szCs w:val="20"/>
                <w:color w:val="auto"/>
              </w:rPr>
              <w:t>Springfield</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tcPr>
          <w:p>
            <w:pPr>
              <w:spacing w:after="0"/>
              <w:rPr>
                <w:sz w:val="20"/>
                <w:szCs w:val="20"/>
                <w:color w:val="auto"/>
              </w:rPr>
            </w:pPr>
            <w:r>
              <w:rPr>
                <w:rFonts w:ascii="Arial" w:cs="Arial" w:eastAsia="Arial" w:hAnsi="Arial"/>
                <w:sz w:val="20"/>
                <w:szCs w:val="20"/>
                <w:color w:val="auto"/>
              </w:rPr>
              <w:t>Quarry</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2501103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w w:val="99"/>
              </w:rPr>
              <w:t>St Cloud Quarry</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2100081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Stamper Mine</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2302232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200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1300063</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250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Sunflower</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1401556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2</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Weeping Water</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Mine</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2500998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5</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6,658</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2</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tcPr>
          <w:p>
            <w:pPr>
              <w:spacing w:after="0" w:line="227" w:lineRule="exact"/>
              <w:rPr>
                <w:sz w:val="20"/>
                <w:szCs w:val="20"/>
                <w:color w:val="auto"/>
              </w:rPr>
            </w:pPr>
            <w:r>
              <w:rPr>
                <w:rFonts w:ascii="Arial" w:cs="Arial" w:eastAsia="Arial" w:hAnsi="Arial"/>
                <w:sz w:val="20"/>
                <w:szCs w:val="20"/>
                <w:color w:val="auto"/>
                <w:w w:val="98"/>
              </w:rPr>
              <w:t>Yellow Medicine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tcPr>
          <w:p>
            <w:pPr>
              <w:spacing w:after="0"/>
              <w:rPr>
                <w:sz w:val="20"/>
                <w:szCs w:val="20"/>
                <w:color w:val="auto"/>
              </w:rPr>
            </w:pPr>
            <w:r>
              <w:rPr>
                <w:rFonts w:ascii="Arial" w:cs="Arial" w:eastAsia="Arial" w:hAnsi="Arial"/>
                <w:sz w:val="20"/>
                <w:szCs w:val="20"/>
                <w:color w:val="auto"/>
              </w:rPr>
              <w:t>Quarry</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2100033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211 Quarry</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4103829</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tcPr>
          <w:p>
            <w:pPr>
              <w:spacing w:after="0" w:line="227" w:lineRule="exact"/>
              <w:rPr>
                <w:sz w:val="20"/>
                <w:szCs w:val="20"/>
                <w:color w:val="auto"/>
              </w:rPr>
            </w:pPr>
            <w:r>
              <w:rPr>
                <w:rFonts w:ascii="Arial" w:cs="Arial" w:eastAsia="Arial" w:hAnsi="Arial"/>
                <w:sz w:val="20"/>
                <w:szCs w:val="20"/>
                <w:color w:val="auto"/>
                <w:w w:val="96"/>
              </w:rPr>
              <w:t>Augusta Quarry-</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tcPr>
          <w:p>
            <w:pPr>
              <w:spacing w:after="0"/>
              <w:rPr>
                <w:sz w:val="20"/>
                <w:szCs w:val="20"/>
                <w:color w:val="auto"/>
              </w:rPr>
            </w:pPr>
            <w:r>
              <w:rPr>
                <w:rFonts w:ascii="Arial" w:cs="Arial" w:eastAsia="Arial" w:hAnsi="Arial"/>
                <w:sz w:val="20"/>
                <w:szCs w:val="20"/>
                <w:color w:val="auto"/>
              </w:rPr>
              <w:t>KS</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1400126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217</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w w:val="94"/>
              </w:rPr>
              <w:t>Beckman Quarry</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4101335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Bedrock Plant</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4103283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Bells Savoy SG</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4104019</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tcPr>
          <w:p>
            <w:pPr>
              <w:spacing w:after="0" w:line="227" w:lineRule="exact"/>
              <w:rPr>
                <w:sz w:val="20"/>
                <w:szCs w:val="20"/>
                <w:color w:val="auto"/>
              </w:rPr>
            </w:pPr>
            <w:r>
              <w:rPr>
                <w:rFonts w:ascii="Arial" w:cs="Arial" w:eastAsia="Arial" w:hAnsi="Arial"/>
                <w:sz w:val="20"/>
                <w:szCs w:val="20"/>
                <w:color w:val="auto"/>
              </w:rPr>
              <w:t>Black Rock</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tcPr>
          <w:p>
            <w:pPr>
              <w:spacing w:after="0"/>
              <w:rPr>
                <w:sz w:val="20"/>
                <w:szCs w:val="20"/>
                <w:color w:val="auto"/>
              </w:rPr>
            </w:pPr>
            <w:r>
              <w:rPr>
                <w:rFonts w:ascii="Arial" w:cs="Arial" w:eastAsia="Arial" w:hAnsi="Arial"/>
                <w:sz w:val="20"/>
                <w:szCs w:val="20"/>
                <w:color w:val="auto"/>
              </w:rPr>
              <w:t>Quarry</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rPr>
              <w:t>300011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4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7"/>
              </w:rPr>
              <w:t>Black Spur Quarry 4104159</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Blake Quarry</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1401584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4"/>
              </w:rPr>
              <w:t>Bridgeport Stone</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4100007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440" w:type="dxa"/>
            <w:vAlign w:val="bottom"/>
          </w:tcPr>
          <w:p>
            <w:pPr>
              <w:spacing w:after="0" w:line="227" w:lineRule="exact"/>
              <w:rPr>
                <w:sz w:val="20"/>
                <w:szCs w:val="20"/>
                <w:color w:val="auto"/>
              </w:rPr>
            </w:pPr>
            <w:r>
              <w:rPr>
                <w:rFonts w:ascii="Arial" w:cs="Arial" w:eastAsia="Arial" w:hAnsi="Arial"/>
                <w:sz w:val="20"/>
                <w:szCs w:val="20"/>
                <w:color w:val="auto"/>
              </w:rPr>
              <w:t>Broken Bow</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440" w:type="dxa"/>
            <w:vAlign w:val="bottom"/>
          </w:tcPr>
          <w:p>
            <w:pPr>
              <w:spacing w:after="0"/>
              <w:rPr>
                <w:sz w:val="20"/>
                <w:szCs w:val="20"/>
                <w:color w:val="auto"/>
              </w:rPr>
            </w:pPr>
            <w:r>
              <w:rPr>
                <w:rFonts w:ascii="Arial" w:cs="Arial" w:eastAsia="Arial" w:hAnsi="Arial"/>
                <w:sz w:val="20"/>
                <w:szCs w:val="20"/>
                <w:color w:val="auto"/>
              </w:rPr>
              <w:t>SandG</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3400460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Chico</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4103360</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324</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Cobey</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4104140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Davis</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3401299</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2</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Garfield SG TXI</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4103909</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Garwood</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4102886</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200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GMS - TXI</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rPr>
              <w:t>C335</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301614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224</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Helotes</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4103137</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Hondo</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4104708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190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20"/>
                <w:szCs w:val="20"/>
                <w:color w:val="auto"/>
              </w:rPr>
              <w:t>Hondo-1</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4104090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440" w:type="dxa"/>
            <w:vAlign w:val="bottom"/>
            <w:shd w:val="clear" w:color="auto" w:fill="CFF0FC"/>
          </w:tcPr>
          <w:p>
            <w:pPr>
              <w:spacing w:after="0"/>
              <w:rPr>
                <w:sz w:val="20"/>
                <w:szCs w:val="20"/>
                <w:color w:val="auto"/>
              </w:rPr>
            </w:pPr>
            <w:r>
              <w:rPr>
                <w:rFonts w:ascii="Arial" w:cs="Arial" w:eastAsia="Arial" w:hAnsi="Arial"/>
                <w:sz w:val="20"/>
                <w:szCs w:val="20"/>
                <w:color w:val="auto"/>
              </w:rPr>
              <w:t>Hugo</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3400061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1440" w:type="dxa"/>
            <w:vAlign w:val="bottom"/>
          </w:tcPr>
          <w:p>
            <w:pPr>
              <w:spacing w:after="0"/>
              <w:rPr>
                <w:sz w:val="20"/>
                <w:szCs w:val="20"/>
                <w:color w:val="auto"/>
              </w:rPr>
            </w:pPr>
            <w:r>
              <w:rPr>
                <w:rFonts w:ascii="Arial" w:cs="Arial" w:eastAsia="Arial" w:hAnsi="Arial"/>
                <w:sz w:val="20"/>
                <w:szCs w:val="20"/>
                <w:color w:val="auto"/>
              </w:rPr>
              <w:t>Idabel</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3400507</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1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7"/>
              </w:rPr>
              <w:t>Jena Aggregates</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1601298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200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w w:val="95"/>
              </w:rPr>
              <w:t>Jones Mill Quarry</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301586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3"/>
              </w:rPr>
              <w:t>Koontz McCombs</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Pit</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4105048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Mill Creek</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3401285</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Mill Creek TXI</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3401859</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3</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602</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New Braunfels</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4104264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1</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Perryville</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Aggregates TXI</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1601417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Poteet (Sand</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Plant)</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4101342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4103594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S.T. Porter Pit</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4102673</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7"/>
              </w:rPr>
              <w:t>San Pedro Quarry 4101337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Sawyer</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3401634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Snyder</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3401651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w w:val="95"/>
              </w:rPr>
              <w:t>South Texas Port</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No.2</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4104204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Tin Top SG TXI</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4102852</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Washita Quarry</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3402049</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Webberville TXI</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4104363</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Woodworth</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Aggregates TXI</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1601070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3"/>
              </w:rPr>
              <w:t>Northern Portable</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Plant #3</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504361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w w:val="93"/>
              </w:rPr>
              <w:t>Northern Portable</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Plant #19</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504382</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3"/>
              </w:rPr>
              <w:t>Cottonwood Sand</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504418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200</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w w:val="87"/>
              </w:rPr>
              <w:t>Fountain Sand and</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503821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Granite Canyon</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4800018</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Greeley 35th</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Ready Mix</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503215</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624</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8"/>
              </w:rPr>
              <w:t>Greeley 35th Sand</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504613</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Guernsey</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4800004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5"/>
              </w:rPr>
              <w:t>Gypsum Portable</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4 - 11</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504320</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Mamm Creek</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Portable 15</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504647</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Milford</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4202177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Mustang Quarry</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2602484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Parkdale Quarry</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504635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7</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1,763</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w w:val="92"/>
              </w:rPr>
              <w:t>Portable Crushing</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503984</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w w:val="96"/>
              </w:rPr>
              <w:t>Portable Plant 10</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503984</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w w:val="97"/>
              </w:rPr>
              <w:t>Portable Recycle</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18</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501057</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w w:val="88"/>
              </w:rPr>
              <w:t>Portable Recycle 2</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504360</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w w:val="97"/>
              </w:rPr>
              <w:t>Portable Recycle</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21</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504520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Powers Portable</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504531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Red Canyon</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504136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Riverbend Sand</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504841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Sievers Portable</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19 - 20</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504531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Spanish Springs</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Co 2</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2600803</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w w:val="96"/>
              </w:rPr>
              <w:t>Spec Agg Quarry</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500860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100</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Table Mountain</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404847</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Taft Sand and</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504526</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504735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w w:val="97"/>
              </w:rPr>
              <w:t>California District</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400011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Hunter Cement</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4102820</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2</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Midlothian</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Cement TXI</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4100071</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3</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3"/>
              </w:rPr>
              <w:t>Riverside Cement</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 OG Distrib</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400011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tcPr>
          <w:p>
            <w:pPr>
              <w:spacing w:after="0" w:line="227" w:lineRule="exact"/>
              <w:rPr>
                <w:sz w:val="20"/>
                <w:szCs w:val="20"/>
                <w:color w:val="auto"/>
              </w:rPr>
            </w:pPr>
            <w:r>
              <w:rPr>
                <w:rFonts w:ascii="Arial" w:cs="Arial" w:eastAsia="Arial" w:hAnsi="Arial"/>
                <w:sz w:val="20"/>
                <w:szCs w:val="20"/>
                <w:color w:val="auto"/>
              </w:rPr>
              <w:t>Riverside CMT -</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20" w:type="dxa"/>
            <w:vAlign w:val="bottom"/>
            <w:gridSpan w:val="2"/>
          </w:tcPr>
          <w:p>
            <w:pPr>
              <w:spacing w:after="0"/>
              <w:rPr>
                <w:sz w:val="20"/>
                <w:szCs w:val="20"/>
                <w:color w:val="auto"/>
              </w:rPr>
            </w:pPr>
            <w:r>
              <w:rPr>
                <w:rFonts w:ascii="Arial" w:cs="Arial" w:eastAsia="Arial" w:hAnsi="Arial"/>
                <w:sz w:val="20"/>
                <w:szCs w:val="20"/>
                <w:color w:val="auto"/>
              </w:rPr>
              <w:t>Crestmore TXI</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rPr>
              <w:t>400010</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Riverside CMT -</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Oro Grande TXI</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400011</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Salisbury Shop</w:t>
            </w:r>
          </w:p>
        </w:tc>
        <w:tc>
          <w:tcPr>
            <w:tcW w:w="900" w:type="dxa"/>
            <w:vAlign w:val="bottom"/>
          </w:tcPr>
          <w:p>
            <w:pPr>
              <w:jc w:val="right"/>
              <w:ind w:right="101"/>
              <w:spacing w:after="0"/>
              <w:rPr>
                <w:sz w:val="20"/>
                <w:szCs w:val="20"/>
                <w:color w:val="auto"/>
              </w:rPr>
            </w:pPr>
            <w:r>
              <w:rPr>
                <w:rFonts w:ascii="Arial" w:cs="Arial" w:eastAsia="Arial" w:hAnsi="Arial"/>
                <w:sz w:val="20"/>
                <w:szCs w:val="20"/>
                <w:color w:val="auto"/>
                <w:w w:val="87"/>
              </w:rPr>
              <w:t>3101235</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North Troy</w:t>
            </w:r>
          </w:p>
        </w:tc>
        <w:tc>
          <w:tcPr>
            <w:tcW w:w="9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7"/>
              </w:rPr>
              <w:t>3401905</w:t>
            </w:r>
          </w:p>
        </w:tc>
        <w:tc>
          <w:tcPr>
            <w:tcW w:w="66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2"/>
        </w:trPr>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Arial" w:cs="Arial" w:eastAsia="Arial" w:hAnsi="Arial"/>
                <w:sz w:val="20"/>
                <w:szCs w:val="20"/>
                <w:color w:val="auto"/>
                <w:w w:val="89"/>
              </w:rPr>
              <w:t>Appendix 1</w:t>
            </w:r>
          </w:p>
        </w:tc>
      </w:tr>
      <w:tr>
        <w:trPr>
          <w:trHeight w:val="452"/>
        </w:trPr>
        <w:tc>
          <w:tcPr>
            <w:tcW w:w="1220" w:type="dxa"/>
            <w:vAlign w:val="bottom"/>
          </w:tcPr>
          <w:p>
            <w:pPr>
              <w:spacing w:after="0"/>
              <w:rPr>
                <w:sz w:val="20"/>
                <w:szCs w:val="20"/>
                <w:color w:val="auto"/>
              </w:rPr>
            </w:pPr>
            <w:r>
              <w:rPr>
                <w:rFonts w:ascii="Arial" w:cs="Arial" w:eastAsia="Arial" w:hAnsi="Arial"/>
                <w:sz w:val="20"/>
                <w:szCs w:val="20"/>
                <w:color w:val="auto"/>
              </w:rPr>
              <w:t>North Troy</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6"/>
        </w:trPr>
        <w:tc>
          <w:tcPr>
            <w:tcW w:w="1220" w:type="dxa"/>
            <w:vAlign w:val="bottom"/>
          </w:tcPr>
          <w:p>
            <w:pPr>
              <w:spacing w:after="0"/>
              <w:rPr>
                <w:sz w:val="20"/>
                <w:szCs w:val="20"/>
                <w:color w:val="auto"/>
              </w:rPr>
            </w:pPr>
            <w:r>
              <w:rPr>
                <w:rFonts w:ascii="Arial" w:cs="Arial" w:eastAsia="Arial" w:hAnsi="Arial"/>
                <w:sz w:val="20"/>
                <w:szCs w:val="20"/>
                <w:color w:val="auto"/>
              </w:rPr>
              <w:t>Portable</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3401949</w:t>
            </w:r>
          </w:p>
        </w:tc>
        <w:tc>
          <w:tcPr>
            <w:tcW w:w="720" w:type="dxa"/>
            <w:vAlign w:val="bottom"/>
          </w:tcPr>
          <w:p>
            <w:pPr>
              <w:jc w:val="center"/>
              <w:ind w:right="81"/>
              <w:spacing w:after="0"/>
              <w:rPr>
                <w:sz w:val="20"/>
                <w:szCs w:val="20"/>
                <w:color w:val="auto"/>
              </w:rPr>
            </w:pPr>
            <w:r>
              <w:rPr>
                <w:rFonts w:ascii="Arial" w:cs="Arial" w:eastAsia="Arial" w:hAnsi="Arial"/>
                <w:sz w:val="20"/>
                <w:szCs w:val="20"/>
                <w:color w:val="auto"/>
                <w:w w:val="89"/>
              </w:rPr>
              <w:t>0</w:t>
            </w:r>
          </w:p>
        </w:tc>
        <w:tc>
          <w:tcPr>
            <w:tcW w:w="7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6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1220" w:type="dxa"/>
            <w:vAlign w:val="bottom"/>
            <w:shd w:val="clear" w:color="auto" w:fill="CFF0FC"/>
          </w:tcPr>
          <w:p>
            <w:pPr>
              <w:spacing w:after="0"/>
              <w:rPr>
                <w:sz w:val="20"/>
                <w:szCs w:val="20"/>
                <w:color w:val="auto"/>
              </w:rPr>
            </w:pPr>
            <w:r>
              <w:rPr>
                <w:rFonts w:ascii="Arial" w:cs="Arial" w:eastAsia="Arial" w:hAnsi="Arial"/>
                <w:sz w:val="20"/>
                <w:szCs w:val="20"/>
                <w:color w:val="auto"/>
              </w:rPr>
              <w:t>Woodville</w:t>
            </w:r>
          </w:p>
        </w:tc>
        <w:tc>
          <w:tcPr>
            <w:tcW w:w="11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3300156</w:t>
            </w:r>
          </w:p>
        </w:tc>
        <w:tc>
          <w:tcPr>
            <w:tcW w:w="720" w:type="dxa"/>
            <w:vAlign w:val="bottom"/>
            <w:shd w:val="clear" w:color="auto" w:fill="CFF0FC"/>
          </w:tcPr>
          <w:p>
            <w:pPr>
              <w:jc w:val="center"/>
              <w:ind w:right="81"/>
              <w:spacing w:after="0"/>
              <w:rPr>
                <w:sz w:val="20"/>
                <w:szCs w:val="20"/>
                <w:color w:val="auto"/>
              </w:rPr>
            </w:pPr>
            <w:r>
              <w:rPr>
                <w:rFonts w:ascii="Arial" w:cs="Arial" w:eastAsia="Arial" w:hAnsi="Arial"/>
                <w:sz w:val="20"/>
                <w:szCs w:val="20"/>
                <w:color w:val="auto"/>
                <w:w w:val="89"/>
              </w:rPr>
              <w:t>1</w:t>
            </w:r>
          </w:p>
        </w:tc>
        <w:tc>
          <w:tcPr>
            <w:tcW w:w="7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2,193</w:t>
            </w:r>
          </w:p>
        </w:tc>
        <w:tc>
          <w:tcPr>
            <w:tcW w:w="5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56"/>
        </w:trPr>
        <w:tc>
          <w:tcPr>
            <w:tcW w:w="1220" w:type="dxa"/>
            <w:vAlign w:val="bottom"/>
          </w:tcPr>
          <w:p>
            <w:pPr>
              <w:spacing w:after="0"/>
              <w:rPr>
                <w:sz w:val="20"/>
                <w:szCs w:val="20"/>
                <w:color w:val="auto"/>
              </w:rPr>
            </w:pPr>
            <w:r>
              <w:rPr>
                <w:rFonts w:ascii="Arial" w:cs="Arial" w:eastAsia="Arial" w:hAnsi="Arial"/>
                <w:sz w:val="20"/>
                <w:szCs w:val="20"/>
                <w:b w:val="1"/>
                <w:bCs w:val="1"/>
                <w:color w:val="auto"/>
              </w:rPr>
              <w:t>TOTALS:</w:t>
            </w:r>
          </w:p>
        </w:tc>
        <w:tc>
          <w:tcPr>
            <w:tcW w:w="1160" w:type="dxa"/>
            <w:vAlign w:val="bottom"/>
          </w:tcPr>
          <w:p>
            <w:pPr>
              <w:spacing w:after="0"/>
              <w:rPr>
                <w:sz w:val="22"/>
                <w:szCs w:val="22"/>
                <w:color w:val="auto"/>
              </w:rPr>
            </w:pPr>
          </w:p>
        </w:tc>
        <w:tc>
          <w:tcPr>
            <w:tcW w:w="720" w:type="dxa"/>
            <w:vAlign w:val="bottom"/>
          </w:tcPr>
          <w:p>
            <w:pPr>
              <w:jc w:val="center"/>
              <w:ind w:right="101"/>
              <w:spacing w:after="0"/>
              <w:rPr>
                <w:sz w:val="20"/>
                <w:szCs w:val="20"/>
                <w:color w:val="auto"/>
              </w:rPr>
            </w:pPr>
            <w:r>
              <w:rPr>
                <w:rFonts w:ascii="Arial" w:cs="Arial" w:eastAsia="Arial" w:hAnsi="Arial"/>
                <w:sz w:val="20"/>
                <w:szCs w:val="20"/>
                <w:b w:val="1"/>
                <w:bCs w:val="1"/>
                <w:color w:val="auto"/>
                <w:w w:val="89"/>
              </w:rPr>
              <w:t>52</w:t>
            </w:r>
          </w:p>
        </w:tc>
        <w:tc>
          <w:tcPr>
            <w:tcW w:w="780" w:type="dxa"/>
            <w:vAlign w:val="bottom"/>
          </w:tcPr>
          <w:p>
            <w:pPr>
              <w:jc w:val="right"/>
              <w:ind w:right="221"/>
              <w:spacing w:after="0"/>
              <w:rPr>
                <w:sz w:val="20"/>
                <w:szCs w:val="20"/>
                <w:color w:val="auto"/>
              </w:rPr>
            </w:pPr>
            <w:r>
              <w:rPr>
                <w:rFonts w:ascii="Arial" w:cs="Arial" w:eastAsia="Arial" w:hAnsi="Arial"/>
                <w:sz w:val="20"/>
                <w:szCs w:val="20"/>
                <w:b w:val="1"/>
                <w:bCs w:val="1"/>
                <w:color w:val="auto"/>
              </w:rPr>
              <w:t>0</w:t>
            </w:r>
          </w:p>
        </w:tc>
        <w:tc>
          <w:tcPr>
            <w:tcW w:w="74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1</w:t>
            </w:r>
          </w:p>
        </w:tc>
        <w:tc>
          <w:tcPr>
            <w:tcW w:w="4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b w:val="1"/>
                <w:bCs w:val="1"/>
                <w:color w:val="auto"/>
              </w:rPr>
              <w:t>29,242</w:t>
            </w:r>
          </w:p>
        </w:tc>
        <w:tc>
          <w:tcPr>
            <w:tcW w:w="560" w:type="dxa"/>
            <w:vAlign w:val="bottom"/>
          </w:tcPr>
          <w:p>
            <w:pPr>
              <w:jc w:val="right"/>
              <w:ind w:right="181"/>
              <w:spacing w:after="0"/>
              <w:rPr>
                <w:sz w:val="20"/>
                <w:szCs w:val="20"/>
                <w:color w:val="auto"/>
              </w:rPr>
            </w:pPr>
            <w:r>
              <w:rPr>
                <w:rFonts w:ascii="Arial" w:cs="Arial" w:eastAsia="Arial" w:hAnsi="Arial"/>
                <w:sz w:val="20"/>
                <w:szCs w:val="20"/>
                <w:b w:val="1"/>
                <w:bCs w:val="1"/>
                <w:color w:val="auto"/>
              </w:rPr>
              <w:t>1</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14</w:t>
            </w:r>
          </w:p>
        </w:tc>
        <w:tc>
          <w:tcPr>
            <w:tcW w:w="400" w:type="dxa"/>
            <w:vAlign w:val="bottom"/>
          </w:tcPr>
          <w:p>
            <w:pPr>
              <w:jc w:val="right"/>
              <w:spacing w:after="0"/>
              <w:rPr>
                <w:sz w:val="20"/>
                <w:szCs w:val="20"/>
                <w:color w:val="auto"/>
              </w:rPr>
            </w:pPr>
            <w:r>
              <w:rPr>
                <w:rFonts w:ascii="Arial" w:cs="Arial" w:eastAsia="Arial" w:hAnsi="Arial"/>
                <w:sz w:val="20"/>
                <w:szCs w:val="20"/>
                <w:b w:val="1"/>
                <w:bCs w:val="1"/>
                <w:color w:val="auto"/>
              </w:rPr>
              <w:t>6</w:t>
            </w:r>
          </w:p>
        </w:tc>
        <w:tc>
          <w:tcPr>
            <w:tcW w:w="960" w:type="dxa"/>
            <w:vAlign w:val="bottom"/>
          </w:tcPr>
          <w:p>
            <w:pPr>
              <w:jc w:val="center"/>
              <w:ind w:left="181"/>
              <w:spacing w:after="0"/>
              <w:rPr>
                <w:sz w:val="20"/>
                <w:szCs w:val="20"/>
                <w:color w:val="auto"/>
              </w:rPr>
            </w:pPr>
            <w:r>
              <w:rPr>
                <w:rFonts w:ascii="Arial" w:cs="Arial" w:eastAsia="Arial" w:hAnsi="Arial"/>
                <w:sz w:val="20"/>
                <w:szCs w:val="20"/>
                <w:b w:val="1"/>
                <w:bCs w:val="1"/>
                <w:color w:val="auto"/>
                <w:w w:val="89"/>
              </w:rPr>
              <w:t>11</w:t>
            </w:r>
          </w:p>
        </w:tc>
      </w:tr>
    </w:tbl>
    <w:p>
      <w:pPr>
        <w:spacing w:after="0" w:line="78" w:lineRule="exact"/>
        <w:rPr>
          <w:sz w:val="20"/>
          <w:szCs w:val="20"/>
          <w:color w:val="auto"/>
        </w:rPr>
      </w:pPr>
    </w:p>
    <w:p>
      <w:pPr>
        <w:jc w:val="both"/>
        <w:ind w:left="80"/>
        <w:spacing w:after="0" w:line="282" w:lineRule="auto"/>
        <w:rPr>
          <w:sz w:val="20"/>
          <w:szCs w:val="20"/>
          <w:color w:val="auto"/>
        </w:rPr>
      </w:pPr>
      <w:r>
        <w:rPr>
          <w:rFonts w:ascii="Arial" w:cs="Arial" w:eastAsia="Arial" w:hAnsi="Arial"/>
          <w:sz w:val="18"/>
          <w:szCs w:val="18"/>
          <w:color w:val="auto"/>
        </w:rPr>
        <w:t>*Of the 14 legal actions pending on March 31, 2016, 10 were contests of citations or orders referenced in Subpart B of CFR Part 2700, which includes contests of citations and orders issued under Section 104 of the Mine Act and contests of imminent danger orders under Section 107 of the Mine Act and four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3"/>
    </w:lvl>
  </w:abstractNum>
  <w:abstractNum w:abstractNumId="9">
    <w:nsid w:val="440BADFC"/>
    <w:multiLevelType w:val="hybridMultilevel"/>
    <w:lvl w:ilvl="0">
      <w:lvlJc w:val="left"/>
      <w:lvlText w:val="%1."/>
      <w:numFmt w:val="decimal"/>
      <w:start w:val="4"/>
    </w:lvl>
  </w:abstractNum>
  <w:abstractNum w:abstractNumId="10">
    <w:nsid w:val="5072367"/>
    <w:multiLevelType w:val="hybridMultilevel"/>
    <w:lvl w:ilvl="0">
      <w:lvlJc w:val="left"/>
      <w:lvlText w:val="%1."/>
      <w:numFmt w:val="decimal"/>
      <w:start w:val="7"/>
    </w:lvl>
  </w:abstractNum>
  <w:abstractNum w:abstractNumId="11">
    <w:nsid w:val="3804823E"/>
    <w:multiLevelType w:val="hybridMultilevel"/>
    <w:lvl w:ilvl="0">
      <w:lvlJc w:val="left"/>
      <w:lvlText w:val="%1."/>
      <w:numFmt w:val="decimal"/>
      <w:start w:val="8"/>
    </w:lvl>
  </w:abstractNum>
  <w:abstractNum w:abstractNumId="12">
    <w:nsid w:val="77465F01"/>
    <w:multiLevelType w:val="hybridMultilevel"/>
    <w:lvl w:ilvl="0">
      <w:lvlJc w:val="left"/>
      <w:lvlText w:val="%1."/>
      <w:numFmt w:val="decimal"/>
      <w:start w:val="8"/>
    </w:lvl>
  </w:abstractNum>
  <w:abstractNum w:abstractNumId="13">
    <w:nsid w:val="7724C67E"/>
    <w:multiLevelType w:val="hybridMultilevel"/>
    <w:lvl w:ilvl="0">
      <w:lvlJc w:val="left"/>
      <w:lvlText w:val="%1."/>
      <w:numFmt w:val="decimal"/>
      <w:start w:val="9"/>
    </w:lvl>
  </w:abstractNum>
  <w:abstractNum w:abstractNumId="14">
    <w:nsid w:val="5C482A97"/>
    <w:multiLevelType w:val="hybridMultilevel"/>
    <w:lvl w:ilvl="0">
      <w:lvlJc w:val="left"/>
      <w:lvlText w:val="%1."/>
      <w:numFmt w:val="decimal"/>
      <w:start w:val="10"/>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2"/>
    </w:lvl>
  </w:abstractNum>
  <w:abstractNum w:abstractNumId="25">
    <w:nsid w:val="1D4ED43B"/>
    <w:multiLevelType w:val="hybridMultilevel"/>
    <w:lvl w:ilvl="0">
      <w:lvlJc w:val="left"/>
      <w:lvlText w:val="%1."/>
      <w:numFmt w:val="decimal"/>
      <w:start w:val="4"/>
    </w:lvl>
  </w:abstractNum>
  <w:abstractNum w:abstractNumId="26">
    <w:nsid w:val="725A06FB"/>
    <w:multiLevelType w:val="hybridMultilevel"/>
    <w:lvl w:ilvl="0">
      <w:lvlJc w:val="left"/>
      <w:lvlText w:val="%1."/>
      <w:numFmt w:val="decimal"/>
      <w:start w:val="5"/>
    </w:lvl>
  </w:abstractNum>
  <w:abstractNum w:abstractNumId="27">
    <w:nsid w:val="2CD89A32"/>
    <w:multiLevelType w:val="hybridMultilevel"/>
    <w:lvl w:ilvl="0">
      <w:lvlJc w:val="left"/>
      <w:lvlText w:val="%1."/>
      <w:numFmt w:val="decimal"/>
      <w:start w:val="6"/>
    </w:lvl>
  </w:abstractNum>
  <w:abstractNum w:abstractNumId="28">
    <w:nsid w:val="57E4CCAF"/>
    <w:multiLevelType w:val="hybridMultilevel"/>
    <w:lvl w:ilvl="0">
      <w:lvlJc w:val="left"/>
      <w:lvlText w:val="%1."/>
      <w:numFmt w:val="decimal"/>
      <w:start w:val="7"/>
    </w:lvl>
    <w:lvl w:ilvl="1">
      <w:lvlJc w:val="left"/>
      <w:lvlText w:val="(%2)"/>
      <w:numFmt w:val="lowerLetter"/>
      <w:start w:val="1"/>
    </w:lvl>
  </w:abstractNum>
  <w:abstractNum w:abstractNumId="29">
    <w:nsid w:val="7A6D8D3C"/>
    <w:multiLevelType w:val="hybridMultilevel"/>
    <w:lvl w:ilvl="0">
      <w:lvlJc w:val="left"/>
      <w:lvlText w:val="%1."/>
      <w:numFmt w:val="decimal"/>
      <w:start w:val="8"/>
    </w:lvl>
  </w:abstractNum>
  <w:abstractNum w:abstractNumId="30">
    <w:nsid w:val="4B588F54"/>
    <w:multiLevelType w:val="hybridMultilevel"/>
    <w:lvl w:ilvl="0">
      <w:lvlJc w:val="left"/>
      <w:lvlText w:val="%1."/>
      <w:numFmt w:val="decimal"/>
      <w:start w:val="9"/>
    </w:lvl>
    <w:lvl w:ilvl="1">
      <w:lvlJc w:val="left"/>
      <w:lvlText w:val="(%2)"/>
      <w:numFmt w:val="lowerLetter"/>
      <w:start w:val="1"/>
    </w:lvl>
  </w:abstractNum>
  <w:abstractNum w:abstractNumId="31">
    <w:nsid w:val="542289EC"/>
    <w:multiLevelType w:val="hybridMultilevel"/>
    <w:lvl w:ilvl="0">
      <w:lvlJc w:val="left"/>
      <w:lvlText w:val="%1."/>
      <w:numFmt w:val="decimal"/>
      <w:start w:val="11"/>
    </w:lvl>
  </w:abstractNum>
  <w:abstractNum w:abstractNumId="32">
    <w:nsid w:val="6DE91B18"/>
    <w:multiLevelType w:val="hybridMultilevel"/>
    <w:lvl w:ilvl="0">
      <w:lvlJc w:val="left"/>
      <w:lvlText w:val="%1."/>
      <w:numFmt w:val="decimal"/>
      <w:start w:val="12"/>
    </w:lvl>
    <w:lvl w:ilvl="1">
      <w:lvlJc w:val="left"/>
      <w:lvlText w:val="(%2)"/>
      <w:numFmt w:val="lowerLetter"/>
      <w:start w:val="1"/>
    </w:lvl>
  </w:abstractNum>
  <w:abstractNum w:abstractNumId="33">
    <w:nsid w:val="38437FDB"/>
    <w:multiLevelType w:val="hybridMultilevel"/>
    <w:lvl w:ilvl="0">
      <w:lvlJc w:val="left"/>
      <w:lvlText w:val="%1."/>
      <w:numFmt w:val="decimal"/>
      <w:start w:val="13"/>
    </w:lvl>
  </w:abstractNum>
  <w:abstractNum w:abstractNumId="34">
    <w:nsid w:val="7644A45C"/>
    <w:multiLevelType w:val="hybridMultilevel"/>
    <w:lvl w:ilvl="0">
      <w:lvlJc w:val="left"/>
      <w:lvlText w:val="%1."/>
      <w:numFmt w:val="decimal"/>
      <w:start w:val="14"/>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2"/>
    </w:lvl>
  </w:abstractNum>
  <w:abstractNum w:abstractNumId="37">
    <w:nsid w:val="579478FE"/>
    <w:multiLevelType w:val="hybridMultilevel"/>
    <w:lvl w:ilvl="0">
      <w:lvlJc w:val="left"/>
      <w:lvlText w:val="%1."/>
      <w:numFmt w:val="decimal"/>
      <w:start w:val="4"/>
    </w:lvl>
    <w:lvl w:ilvl="1">
      <w:lvlJc w:val="left"/>
      <w:lvlText w:val="(%2)"/>
      <w:numFmt w:val="lowerLetter"/>
      <w:start w:val="1"/>
    </w:lvl>
  </w:abstractNum>
  <w:abstractNum w:abstractNumId="38">
    <w:nsid w:val="749ABB43"/>
    <w:multiLevelType w:val="hybridMultilevel"/>
    <w:lvl w:ilvl="0">
      <w:lvlJc w:val="left"/>
      <w:lvlText w:val="%1"/>
      <w:numFmt w:val="decimal"/>
      <w:start w:val="1"/>
    </w:lvl>
    <w:lvl w:ilvl="1">
      <w:lvlJc w:val="left"/>
      <w:lvlText w:val="(%2)"/>
      <w:numFmt w:val="lowerLetter"/>
      <w:start w:val="3"/>
    </w:lvl>
  </w:abstractNum>
  <w:abstractNum w:abstractNumId="39">
    <w:nsid w:val="3DC240FB"/>
    <w:multiLevelType w:val="hybridMultilevel"/>
    <w:lvl w:ilvl="0">
      <w:lvlJc w:val="left"/>
      <w:lvlText w:val="%1."/>
      <w:numFmt w:val="decimal"/>
      <w:start w:val="5"/>
    </w:lvl>
    <w:lvl w:ilvl="1">
      <w:lvlJc w:val="left"/>
      <w:lvlText w:val="%2"/>
      <w:numFmt w:val="lowerLetter"/>
      <w:start w:val="1"/>
    </w:lvl>
  </w:abstractNum>
  <w:abstractNum w:abstractNumId="40">
    <w:nsid w:val="1BA026FA"/>
    <w:multiLevelType w:val="hybridMultilevel"/>
    <w:lvl w:ilvl="0">
      <w:lvlJc w:val="left"/>
      <w:lvlText w:val="%1."/>
      <w:numFmt w:val="decimal"/>
      <w:start w:val="6"/>
    </w:lvl>
  </w:abstractNum>
  <w:abstractNum w:abstractNumId="41">
    <w:nsid w:val="79A1DEAA"/>
    <w:multiLevelType w:val="hybridMultilevel"/>
    <w:lvl w:ilvl="0">
      <w:lvlJc w:val="left"/>
      <w:lvlText w:val="%1."/>
      <w:numFmt w:val="decimal"/>
      <w:start w:val="7"/>
    </w:lvl>
    <w:lvl w:ilvl="1">
      <w:lvlJc w:val="left"/>
      <w:lvlText w:val="(%2)"/>
      <w:numFmt w:val="lowerLetter"/>
      <w:start w:val="1"/>
    </w:lvl>
  </w:abstractNum>
  <w:abstractNum w:abstractNumId="42">
    <w:nsid w:val="75C6C33A"/>
    <w:multiLevelType w:val="hybridMultilevel"/>
    <w:lvl w:ilvl="0">
      <w:lvlJc w:val="left"/>
      <w:lvlText w:val="%1"/>
      <w:numFmt w:val="decimal"/>
      <w:start w:val="1"/>
    </w:lvl>
    <w:lvl w:ilvl="1">
      <w:lvlJc w:val="left"/>
      <w:lvlText w:val="(%2)"/>
      <w:numFmt w:val="lowerLetter"/>
      <w:start w:val="3"/>
    </w:lvl>
  </w:abstractNum>
  <w:abstractNum w:abstractNumId="43">
    <w:nsid w:val="12E685FB"/>
    <w:multiLevelType w:val="hybridMultilevel"/>
    <w:lvl w:ilvl="0">
      <w:lvlJc w:val="left"/>
      <w:lvlText w:val="%1."/>
      <w:numFmt w:val="decimal"/>
      <w:start w:val="8"/>
    </w:lvl>
    <w:lvl w:ilvl="1">
      <w:lvlJc w:val="left"/>
      <w:lvlText w:val="%2"/>
      <w:numFmt w:val="lowerLetter"/>
      <w:start w:val="1"/>
    </w:lvl>
  </w:abstractNum>
  <w:abstractNum w:abstractNumId="44">
    <w:nsid w:val="70C6A529"/>
    <w:multiLevelType w:val="hybridMultilevel"/>
    <w:lvl w:ilvl="0">
      <w:lvlJc w:val="left"/>
      <w:lvlText w:val="%1."/>
      <w:numFmt w:val="decimal"/>
      <w:start w:val="9"/>
    </w:lvl>
  </w:abstractNum>
  <w:abstractNum w:abstractNumId="45">
    <w:nsid w:val="520EEDD1"/>
    <w:multiLevelType w:val="hybridMultilevel"/>
    <w:lvl w:ilvl="0">
      <w:lvlJc w:val="left"/>
      <w:lvlText w:val="%1."/>
      <w:numFmt w:val="decimal"/>
      <w:start w:val="10"/>
    </w:lvl>
  </w:abstractNum>
  <w:abstractNum w:abstractNumId="46">
    <w:nsid w:val="374A3FE6"/>
    <w:multiLevelType w:val="hybridMultilevel"/>
    <w:lvl w:ilvl="0">
      <w:lvlJc w:val="left"/>
      <w:lvlText w:val="(%1)"/>
      <w:numFmt w:val="upperLetter"/>
      <w:start w:val="2"/>
    </w:lvl>
  </w:abstractNum>
  <w:abstractNum w:abstractNumId="47">
    <w:nsid w:val="4F4EF005"/>
    <w:multiLevelType w:val="hybridMultilevel"/>
    <w:lvl w:ilvl="0">
      <w:lvlJc w:val="left"/>
      <w:lvlText w:val="%1."/>
      <w:numFmt w:val="decimal"/>
      <w:start w:val="11"/>
    </w:lvl>
  </w:abstractNum>
  <w:abstractNum w:abstractNumId="48">
    <w:nsid w:val="23F9C13C"/>
    <w:multiLevelType w:val="hybridMultilevel"/>
    <w:lvl w:ilvl="0">
      <w:lvlJc w:val="left"/>
      <w:lvlText w:val="%1."/>
      <w:numFmt w:val="decimal"/>
      <w:start w:val="12"/>
    </w:lvl>
    <w:lvl w:ilvl="1">
      <w:lvlJc w:val="left"/>
      <w:lvlText w:val="(%2)"/>
      <w:numFmt w:val="lowerLetter"/>
      <w:start w:val="1"/>
    </w:lvl>
  </w:abstractNum>
  <w:abstractNum w:abstractNumId="49">
    <w:nsid w:val="649BB77C"/>
    <w:multiLevelType w:val="hybridMultilevel"/>
    <w:lvl w:ilvl="0">
      <w:lvlJc w:val="left"/>
      <w:lvlText w:val="%1"/>
      <w:numFmt w:val="decimal"/>
      <w:start w:val="1"/>
    </w:lvl>
    <w:lvl w:ilvl="1">
      <w:lvlJc w:val="left"/>
      <w:lvlText w:val="(%2)"/>
      <w:numFmt w:val="lowerLetter"/>
      <w:start w:val="5"/>
    </w:lvl>
  </w:abstractNum>
  <w:abstractNum w:abstractNumId="50">
    <w:nsid w:val="275AC794"/>
    <w:multiLevelType w:val="hybridMultilevel"/>
    <w:lvl w:ilvl="0">
      <w:lvlJc w:val="left"/>
      <w:lvlText w:val="%1."/>
      <w:numFmt w:val="decimal"/>
      <w:start w:val="13"/>
    </w:lvl>
    <w:lvl w:ilvl="1">
      <w:lvlJc w:val="left"/>
      <w:lvlText w:val="%2"/>
      <w:numFmt w:val="lowerLetter"/>
      <w:start w:val="1"/>
    </w:lvl>
  </w:abstractNum>
  <w:abstractNum w:abstractNumId="51">
    <w:nsid w:val="39386575"/>
    <w:multiLevelType w:val="hybridMultilevel"/>
    <w:lvl w:ilvl="0">
      <w:lvlJc w:val="left"/>
      <w:lvlText w:val="%1."/>
      <w:numFmt w:val="decimal"/>
      <w:start w:val="14"/>
    </w:lvl>
  </w:abstractNum>
  <w:abstractNum w:abstractNumId="52">
    <w:nsid w:val="1CF10FD8"/>
    <w:multiLevelType w:val="hybridMultilevel"/>
    <w:lvl w:ilvl="0">
      <w:lvlJc w:val="left"/>
      <w:lvlText w:val="%1."/>
      <w:numFmt w:val="decimal"/>
      <w:start w:val="1"/>
    </w:lvl>
    <w:lvl w:ilvl="1">
      <w:lvlJc w:val="left"/>
      <w:lvlText w:val="%2."/>
      <w:numFmt w:val="lowerLetter"/>
      <w:start w:val="1"/>
    </w:lvl>
  </w:abstractNum>
  <w:abstractNum w:abstractNumId="53">
    <w:nsid w:val="180115BE"/>
    <w:multiLevelType w:val="hybridMultilevel"/>
    <w:lvl w:ilvl="0">
      <w:lvlJc w:val="left"/>
      <w:lvlText w:val="%1."/>
      <w:numFmt w:val="decimal"/>
      <w:start w:val="5"/>
    </w:lvl>
    <w:lvl w:ilvl="1">
      <w:lvlJc w:val="left"/>
      <w:lvlText w:val="%2."/>
      <w:numFmt w:val="lowerLetter"/>
      <w:start w:val="1"/>
    </w:lvl>
  </w:abstractNum>
  <w:abstractNum w:abstractNumId="54">
    <w:nsid w:val="235BA861"/>
    <w:multiLevelType w:val="hybridMultilevel"/>
    <w:lvl w:ilvl="0">
      <w:lvlJc w:val="left"/>
      <w:lvlText w:val="%1."/>
      <w:numFmt w:val="decimal"/>
      <w:start w:val="1"/>
    </w:lvl>
    <w:lvl w:ilvl="1">
      <w:lvlJc w:val="left"/>
      <w:lvlText w:val="%2."/>
      <w:numFmt w:val="lowerLetter"/>
      <w:start w:val="1"/>
    </w:lvl>
  </w:abstractNum>
  <w:abstractNum w:abstractNumId="55">
    <w:nsid w:val="47398C89"/>
    <w:multiLevelType w:val="hybridMultilevel"/>
    <w:lvl w:ilvl="0">
      <w:lvlJc w:val="left"/>
      <w:lvlText w:val="%1."/>
      <w:numFmt w:val="decimal"/>
      <w:start w:val="5"/>
    </w:lvl>
    <w:lvl w:ilvl="1">
      <w:lvlJc w:val="left"/>
      <w:lvlText w:val="%2."/>
      <w:numFmt w:val="lowerLetter"/>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2019-12-29T12:06:06Z</dcterms:created>
  <dcterms:modified xsi:type="dcterms:W3CDTF">2019-12-29T12:06:06Z</dcterms:modified>
</cp:coreProperties>
</file>