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WASHINGTON, D.C. 20549</w:t>
      </w:r>
    </w:p>
    <w:p>
      <w:pPr>
        <w:spacing w:after="0" w:line="211"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_________________</w:t>
      </w:r>
    </w:p>
    <w:p>
      <w:pPr>
        <w:spacing w:after="0" w:line="227" w:lineRule="exact"/>
        <w:rPr>
          <w:sz w:val="24"/>
          <w:szCs w:val="24"/>
          <w:color w:val="auto"/>
        </w:rPr>
      </w:pPr>
    </w:p>
    <w:p>
      <w:pPr>
        <w:jc w:val="center"/>
        <w:ind w:right="280"/>
        <w:spacing w:after="0"/>
        <w:rPr>
          <w:sz w:val="20"/>
          <w:szCs w:val="20"/>
          <w:color w:val="auto"/>
        </w:rPr>
      </w:pPr>
      <w:r>
        <w:rPr>
          <w:rFonts w:ascii="Arial" w:cs="Arial" w:eastAsia="Arial" w:hAnsi="Arial"/>
          <w:sz w:val="29"/>
          <w:szCs w:val="29"/>
          <w:b w:val="1"/>
          <w:bCs w:val="1"/>
          <w:color w:val="auto"/>
        </w:rPr>
        <w:t>FORM 11-K</w:t>
      </w:r>
    </w:p>
    <w:p>
      <w:pPr>
        <w:spacing w:after="0" w:line="25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line="290" w:lineRule="exact"/>
        <w:rPr>
          <w:sz w:val="24"/>
          <w:szCs w:val="24"/>
          <w:color w:val="auto"/>
        </w:rPr>
      </w:pPr>
    </w:p>
    <w:p>
      <w:pPr>
        <w:jc w:val="center"/>
        <w:ind w:left="3080" w:right="400" w:hanging="3078"/>
        <w:spacing w:after="0" w:line="462"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 xml:space="preserve">ANNUAL REPORT PURSUANT TO SECTION 15(d) OF THE SECURITIES EXCHANGE ACT OF 1934 </w:t>
      </w:r>
      <w:r>
        <w:rPr>
          <w:rFonts w:ascii="Arial" w:cs="Arial" w:eastAsia="Arial" w:hAnsi="Arial"/>
          <w:sz w:val="22"/>
          <w:szCs w:val="22"/>
          <w:color w:val="auto"/>
        </w:rPr>
        <w:t>For the fiscal year ended December 31, 2025</w:t>
      </w:r>
    </w:p>
    <w:p>
      <w:pPr>
        <w:jc w:val="center"/>
        <w:ind w:right="280"/>
        <w:spacing w:after="0"/>
        <w:rPr>
          <w:sz w:val="20"/>
          <w:szCs w:val="20"/>
          <w:color w:val="auto"/>
        </w:rPr>
      </w:pPr>
      <w:r>
        <w:rPr>
          <w:rFonts w:ascii="Arial" w:cs="Arial" w:eastAsia="Arial" w:hAnsi="Arial"/>
          <w:sz w:val="22"/>
          <w:szCs w:val="22"/>
          <w:color w:val="auto"/>
        </w:rPr>
        <w:t>OR</w:t>
      </w:r>
    </w:p>
    <w:p>
      <w:pPr>
        <w:spacing w:after="0" w:line="231" w:lineRule="exact"/>
        <w:rPr>
          <w:sz w:val="24"/>
          <w:szCs w:val="24"/>
          <w:color w:val="auto"/>
        </w:rPr>
      </w:pPr>
    </w:p>
    <w:p>
      <w:pPr>
        <w:spacing w:after="0"/>
        <w:rPr>
          <w:sz w:val="24"/>
          <w:szCs w:val="24"/>
          <w:color w:val="auto"/>
        </w:rPr>
      </w:pPr>
      <w:r>
        <w:rPr>
          <w:rFonts w:ascii="Arial" w:cs="Arial" w:eastAsia="Arial" w:hAnsi="Arial"/>
          <w:sz w:val="22"/>
          <w:szCs w:val="22"/>
          <w:b w:val="1"/>
          <w:bCs w:val="1"/>
          <w:color w:val="auto"/>
        </w:rPr>
        <w:t>TRANSITION REPORT PURSUANT TO SECTION 15(d) OF THE SECURITIES EXCHANGE ACT OF 1934</w:t>
      </w:r>
    </w:p>
    <w:p>
      <w:pPr>
        <w:spacing w:after="0" w:line="235" w:lineRule="exact"/>
        <w:rPr>
          <w:sz w:val="24"/>
          <w:szCs w:val="24"/>
          <w:color w:val="auto"/>
        </w:rPr>
      </w:pPr>
    </w:p>
    <w:p>
      <w:pPr>
        <w:ind w:left="3100"/>
        <w:spacing w:after="0"/>
        <w:tabs>
          <w:tab w:leader="none" w:pos="6860" w:val="left"/>
          <w:tab w:leader="none" w:pos="722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3761740</wp:posOffset>
            </wp:positionH>
            <wp:positionV relativeFrom="paragraph">
              <wp:posOffset>-14605</wp:posOffset>
            </wp:positionV>
            <wp:extent cx="57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u w:val="single" w:color="auto"/>
          <w:color w:val="auto"/>
        </w:rPr>
        <w:t>1-12744</w:t>
      </w:r>
    </w:p>
    <w:p>
      <w:pPr>
        <w:spacing w:after="0" w:line="200" w:lineRule="exact"/>
        <w:rPr>
          <w:sz w:val="24"/>
          <w:szCs w:val="24"/>
          <w:color w:val="auto"/>
        </w:rPr>
      </w:pPr>
    </w:p>
    <w:p>
      <w:pPr>
        <w:spacing w:after="0" w:line="278"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MARTIN MARIETTA</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SAVINGS and INVESTMENT PLAN</w:t>
      </w:r>
    </w:p>
    <w:p>
      <w:pPr>
        <w:ind w:left="2940"/>
        <w:spacing w:after="0" w:line="231" w:lineRule="auto"/>
        <w:rPr>
          <w:sz w:val="20"/>
          <w:szCs w:val="20"/>
          <w:color w:val="auto"/>
        </w:rPr>
      </w:pPr>
      <w:r>
        <w:rPr>
          <w:rFonts w:ascii="Arial" w:cs="Arial" w:eastAsia="Arial" w:hAnsi="Arial"/>
          <w:sz w:val="22"/>
          <w:szCs w:val="22"/>
          <w:color w:val="auto"/>
        </w:rPr>
        <w:t>(Full title of the plan and the address of the plan,</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if different from that of the issuer named below)</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MARTIN MARIETTA MATERIALS, INC.</w:t>
      </w:r>
    </w:p>
    <w:p>
      <w:pPr>
        <w:spacing w:after="0" w:line="18"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4123 Parklake Avenue</w:t>
      </w:r>
    </w:p>
    <w:p>
      <w:pPr>
        <w:jc w:val="center"/>
        <w:ind w:right="280"/>
        <w:spacing w:after="0" w:line="230" w:lineRule="auto"/>
        <w:rPr>
          <w:sz w:val="20"/>
          <w:szCs w:val="20"/>
          <w:color w:val="auto"/>
        </w:rPr>
      </w:pPr>
      <w:r>
        <w:rPr>
          <w:rFonts w:ascii="Arial" w:cs="Arial" w:eastAsia="Arial" w:hAnsi="Arial"/>
          <w:sz w:val="22"/>
          <w:szCs w:val="22"/>
          <w:b w:val="1"/>
          <w:bCs w:val="1"/>
          <w:color w:val="auto"/>
        </w:rPr>
        <w:t>Raleigh, North Carolina 27612</w:t>
      </w:r>
    </w:p>
    <w:p>
      <w:pPr>
        <w:jc w:val="center"/>
        <w:ind w:right="340"/>
        <w:spacing w:after="0" w:line="231" w:lineRule="auto"/>
        <w:rPr>
          <w:sz w:val="20"/>
          <w:szCs w:val="20"/>
          <w:color w:val="auto"/>
        </w:rPr>
      </w:pPr>
      <w:r>
        <w:rPr>
          <w:rFonts w:ascii="Arial" w:cs="Arial" w:eastAsia="Arial" w:hAnsi="Arial"/>
          <w:sz w:val="22"/>
          <w:szCs w:val="22"/>
          <w:color w:val="auto"/>
        </w:rPr>
        <w:t>(Name of issuer of the securities held pursuant to the plan and the address</w:t>
      </w:r>
    </w:p>
    <w:p>
      <w:pPr>
        <w:jc w:val="center"/>
        <w:ind w:right="280"/>
        <w:spacing w:after="0"/>
        <w:rPr>
          <w:sz w:val="20"/>
          <w:szCs w:val="20"/>
          <w:color w:val="auto"/>
        </w:rPr>
      </w:pPr>
      <w:r>
        <w:rPr>
          <w:rFonts w:ascii="Arial" w:cs="Arial" w:eastAsia="Arial" w:hAnsi="Arial"/>
          <w:sz w:val="22"/>
          <w:szCs w:val="22"/>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1991360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478155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00" w:top="1440" w:right="439" w:bottom="1440" w:gutter="0" w:footer="0" w:header="0"/>
        </w:sectPr>
      </w:pPr>
    </w:p>
    <w:bookmarkStart w:id="1" w:name="page2"/>
    <w:bookmarkEnd w:id="1"/>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inancial</w:t>
      </w:r>
      <w:r>
        <w:rPr>
          <w:rFonts w:ascii="Arial" w:cs="Arial" w:eastAsia="Arial" w:hAnsi="Arial"/>
          <w:sz w:val="22"/>
          <w:szCs w:val="22"/>
          <w:color w:val="auto"/>
        </w:rPr>
        <w:t xml:space="preserve"> S</w:t>
      </w:r>
      <w:r>
        <w:rPr>
          <w:rFonts w:ascii="Arial" w:cs="Arial" w:eastAsia="Arial" w:hAnsi="Arial"/>
          <w:sz w:val="14"/>
          <w:szCs w:val="14"/>
          <w:color w:val="auto"/>
        </w:rPr>
        <w:t>tatements and supplemental schedule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As of December 31, 2025 and 2024</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563880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 w:name="page3"/>
    <w:bookmarkEnd w:id="2"/>
    <w:p>
      <w:pPr>
        <w:spacing w:after="0" w:line="24" w:lineRule="exact"/>
        <w:rPr>
          <w:sz w:val="20"/>
          <w:szCs w:val="20"/>
          <w:color w:val="auto"/>
        </w:rPr>
      </w:pPr>
    </w:p>
    <w:p>
      <w:pPr>
        <w:jc w:val="center"/>
        <w:ind w:left="520" w:right="1560"/>
        <w:spacing w:after="0" w:line="475" w:lineRule="auto"/>
        <w:rPr>
          <w:sz w:val="20"/>
          <w:szCs w:val="20"/>
          <w:color w:val="auto"/>
        </w:rPr>
      </w:pPr>
      <w:r>
        <w:rPr>
          <w:rFonts w:ascii="Arial" w:cs="Arial" w:eastAsia="Arial" w:hAnsi="Arial"/>
          <w:sz w:val="22"/>
          <w:szCs w:val="22"/>
          <w:color w:val="auto"/>
        </w:rPr>
        <w:t>Martin Marietta Savings and Investment Plan Audited Financial Statements and Supplemental Schedule As of December 31, 2025 and 2024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Contents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6160" w:type="dxa"/>
            <w:vAlign w:val="bottom"/>
            <w:gridSpan w:val="5"/>
          </w:tcPr>
          <w:p>
            <w:pPr>
              <w:spacing w:after="0"/>
              <w:rPr>
                <w:sz w:val="20"/>
                <w:szCs w:val="20"/>
                <w:color w:val="auto"/>
              </w:rPr>
            </w:pPr>
            <w:r>
              <w:rPr>
                <w:rFonts w:ascii="Arial" w:cs="Arial" w:eastAsia="Arial" w:hAnsi="Arial"/>
                <w:sz w:val="22"/>
                <w:szCs w:val="22"/>
                <w:color w:val="0000FF"/>
              </w:rPr>
              <w:t>Report of Independent Registered Public Accounting Firm</w:t>
            </w:r>
          </w:p>
        </w:tc>
        <w:tc>
          <w:tcPr>
            <w:tcW w:w="4780" w:type="dxa"/>
            <w:vAlign w:val="bottom"/>
          </w:tcPr>
          <w:p>
            <w:pPr>
              <w:ind w:left="454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160" w:type="dxa"/>
            <w:vAlign w:val="bottom"/>
            <w:gridSpan w:val="5"/>
          </w:tcPr>
          <w:p>
            <w:pPr>
              <w:spacing w:after="0"/>
              <w:rPr>
                <w:sz w:val="20"/>
                <w:szCs w:val="20"/>
                <w:color w:val="auto"/>
              </w:rPr>
            </w:pPr>
            <w:r>
              <w:rPr>
                <w:rFonts w:ascii="Arial" w:cs="Arial" w:eastAsia="Arial" w:hAnsi="Arial"/>
                <w:sz w:val="22"/>
                <w:szCs w:val="22"/>
                <w:color w:val="auto"/>
              </w:rPr>
              <w:t>Audited Financial Statements:</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5"/>
          </w:tcPr>
          <w:p>
            <w:pPr>
              <w:spacing w:after="0"/>
              <w:rPr>
                <w:sz w:val="20"/>
                <w:szCs w:val="20"/>
                <w:color w:val="auto"/>
              </w:rPr>
            </w:pPr>
            <w:r>
              <w:rPr>
                <w:rFonts w:ascii="Arial" w:cs="Arial" w:eastAsia="Arial" w:hAnsi="Arial"/>
                <w:sz w:val="22"/>
                <w:szCs w:val="22"/>
                <w:color w:val="0000FF"/>
              </w:rPr>
              <w:t>Statements of Net Assets Available for Benefits</w:t>
            </w:r>
          </w:p>
        </w:tc>
        <w:tc>
          <w:tcPr>
            <w:tcW w:w="4780" w:type="dxa"/>
            <w:vAlign w:val="bottom"/>
          </w:tcPr>
          <w:p>
            <w:pPr>
              <w:ind w:left="454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80" w:type="dxa"/>
            <w:vAlign w:val="bottom"/>
            <w:vMerge w:val="restart"/>
          </w:tcPr>
          <w:p>
            <w:pPr>
              <w:ind w:left="4540"/>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6160" w:type="dxa"/>
            <w:vAlign w:val="bottom"/>
            <w:gridSpan w:val="5"/>
          </w:tcPr>
          <w:p>
            <w:pPr>
              <w:spacing w:after="0" w:line="223" w:lineRule="exact"/>
              <w:rPr>
                <w:sz w:val="20"/>
                <w:szCs w:val="20"/>
                <w:color w:val="auto"/>
              </w:rPr>
            </w:pPr>
            <w:r>
              <w:rPr>
                <w:rFonts w:ascii="Arial" w:cs="Arial" w:eastAsia="Arial" w:hAnsi="Arial"/>
                <w:sz w:val="22"/>
                <w:szCs w:val="22"/>
                <w:color w:val="0000FF"/>
              </w:rPr>
              <w:t>Statement of Changes in Net Assets Available for Benefits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left w:val="single" w:sz="8" w:color="0000FF"/>
            </w:tcBorders>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80" w:type="dxa"/>
            <w:vAlign w:val="bottom"/>
            <w:vMerge w:val="restart"/>
          </w:tcPr>
          <w:p>
            <w:pPr>
              <w:ind w:left="454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line="20" w:lineRule="exact"/>
              <w:rPr>
                <w:sz w:val="1"/>
                <w:szCs w:val="1"/>
                <w:color w:val="auto"/>
              </w:rPr>
            </w:pPr>
          </w:p>
        </w:tc>
      </w:tr>
      <w:tr>
        <w:trPr>
          <w:trHeight w:val="223"/>
        </w:trPr>
        <w:tc>
          <w:tcPr>
            <w:tcW w:w="6160" w:type="dxa"/>
            <w:vAlign w:val="bottom"/>
            <w:gridSpan w:val="5"/>
          </w:tcPr>
          <w:p>
            <w:pPr>
              <w:spacing w:after="0" w:line="223" w:lineRule="exact"/>
              <w:rPr>
                <w:sz w:val="20"/>
                <w:szCs w:val="20"/>
                <w:color w:val="auto"/>
              </w:rPr>
            </w:pPr>
            <w:r>
              <w:rPr>
                <w:rFonts w:ascii="Arial" w:cs="Arial" w:eastAsia="Arial" w:hAnsi="Arial"/>
                <w:sz w:val="22"/>
                <w:szCs w:val="22"/>
                <w:color w:val="0000FF"/>
              </w:rPr>
              <w:t>Notes to Financial Statements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160" w:type="dxa"/>
            <w:vAlign w:val="bottom"/>
            <w:gridSpan w:val="5"/>
          </w:tcPr>
          <w:p>
            <w:pPr>
              <w:spacing w:after="0"/>
              <w:rPr>
                <w:sz w:val="20"/>
                <w:szCs w:val="20"/>
                <w:color w:val="auto"/>
              </w:rPr>
            </w:pPr>
            <w:r>
              <w:rPr>
                <w:rFonts w:ascii="Arial" w:cs="Arial" w:eastAsia="Arial" w:hAnsi="Arial"/>
                <w:sz w:val="22"/>
                <w:szCs w:val="22"/>
                <w:color w:val="auto"/>
              </w:rPr>
              <w:t>Supplemental Schedule:</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5"/>
          </w:tcPr>
          <w:p>
            <w:pPr>
              <w:spacing w:after="0"/>
              <w:rPr>
                <w:sz w:val="20"/>
                <w:szCs w:val="20"/>
                <w:color w:val="auto"/>
              </w:rPr>
            </w:pPr>
            <w:r>
              <w:rPr>
                <w:rFonts w:ascii="Arial" w:cs="Arial" w:eastAsia="Arial" w:hAnsi="Arial"/>
                <w:sz w:val="22"/>
                <w:szCs w:val="22"/>
                <w:color w:val="0000FF"/>
                <w:w w:val="98"/>
              </w:rPr>
              <w:t>Schedule H, Line 4(i) - Schedule of Assets (Held at End of Year)</w:t>
            </w:r>
          </w:p>
        </w:tc>
        <w:tc>
          <w:tcPr>
            <w:tcW w:w="4780" w:type="dxa"/>
            <w:vAlign w:val="bottom"/>
          </w:tcPr>
          <w:p>
            <w:pPr>
              <w:ind w:left="4540"/>
              <w:spacing w:after="0"/>
              <w:rPr>
                <w:sz w:val="20"/>
                <w:szCs w:val="20"/>
                <w:color w:val="auto"/>
              </w:rPr>
            </w:pPr>
            <w:r>
              <w:rPr>
                <w:rFonts w:ascii="Arial" w:cs="Arial" w:eastAsia="Arial" w:hAnsi="Arial"/>
                <w:sz w:val="22"/>
                <w:szCs w:val="22"/>
                <w:color w:val="auto"/>
                <w:w w:val="89"/>
              </w:rPr>
              <w:t>17</w:t>
            </w: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563880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20" w:top="1440" w:right="539" w:bottom="1440" w:gutter="0" w:footer="0" w:header="0"/>
        </w:sectPr>
      </w:pPr>
    </w:p>
    <w:bookmarkStart w:id="3" w:name="page4"/>
    <w:bookmarkEnd w:id="3"/>
    <w:p>
      <w:pPr>
        <w:ind w:left="2640"/>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To the Plan Administrator and Plan Participants</w:t>
      </w:r>
    </w:p>
    <w:p>
      <w:pPr>
        <w:spacing w:after="0"/>
        <w:rPr>
          <w:sz w:val="20"/>
          <w:szCs w:val="20"/>
          <w:color w:val="auto"/>
        </w:rPr>
      </w:pPr>
      <w:r>
        <w:rPr>
          <w:rFonts w:ascii="Arial" w:cs="Arial" w:eastAsia="Arial" w:hAnsi="Arial"/>
          <w:sz w:val="22"/>
          <w:szCs w:val="22"/>
          <w:color w:val="auto"/>
        </w:rPr>
        <w:t>Martin Marietta Savings and Investment Plan</w:t>
      </w:r>
    </w:p>
    <w:p>
      <w:pPr>
        <w:spacing w:after="0"/>
        <w:rPr>
          <w:sz w:val="20"/>
          <w:szCs w:val="20"/>
          <w:color w:val="auto"/>
        </w:rPr>
      </w:pPr>
      <w:r>
        <w:rPr>
          <w:rFonts w:ascii="Arial" w:cs="Arial" w:eastAsia="Arial" w:hAnsi="Arial"/>
          <w:sz w:val="22"/>
          <w:szCs w:val="22"/>
          <w:color w:val="auto"/>
        </w:rPr>
        <w:t>Raleigh, North Carolina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Opinion on the Financial Statements</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audited the accompanying statements of net assets available for benefits of Martin Marietta Savings and Investment Plan (the “Plan”) as of December 31, 2025 and 2024, the related statement of changes in net assets available for benefits for the year ended December 31, 2025, and the related notes and schedule (collectively referred to as the “financial statements”). In our opinion, the financial statements referred to above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Basis of Opinion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These financial statements are the responsibility of Martin Marietta Materials, Inc. management, as Plan administrator. Our responsibility is to express an opinion on these financial statements based on our audits.</w:t>
      </w:r>
    </w:p>
    <w:p>
      <w:pPr>
        <w:spacing w:after="0" w:line="48" w:lineRule="exact"/>
        <w:rPr>
          <w:sz w:val="20"/>
          <w:szCs w:val="20"/>
          <w:color w:val="auto"/>
        </w:rPr>
      </w:pPr>
    </w:p>
    <w:p>
      <w:pPr>
        <w:jc w:val="both"/>
        <w:ind w:right="20"/>
        <w:spacing w:after="0" w:line="262" w:lineRule="auto"/>
        <w:rPr>
          <w:sz w:val="20"/>
          <w:szCs w:val="20"/>
          <w:color w:val="auto"/>
        </w:rPr>
      </w:pPr>
      <w:r>
        <w:rPr>
          <w:rFonts w:ascii="Arial" w:cs="Arial" w:eastAsia="Arial" w:hAnsi="Arial"/>
          <w:sz w:val="21"/>
          <w:szCs w:val="21"/>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4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i w:val="1"/>
          <w:iCs w:val="1"/>
          <w:color w:val="auto"/>
        </w:rPr>
        <w:t>Report on Supplemental Information</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supplemental information in 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schedule. In forming our opinion on the supplemental information, we evaluated whether the supplemental information, including its form and content, is presented in conformity with the Department of Labor’s Rules and Regulations for Reporting and Disclosure under the </w:t>
      </w:r>
      <w:r>
        <w:rPr>
          <w:rFonts w:ascii="Arial" w:cs="Arial" w:eastAsia="Arial" w:hAnsi="Arial"/>
          <w:sz w:val="22"/>
          <w:szCs w:val="22"/>
          <w:i w:val="1"/>
          <w:iCs w:val="1"/>
          <w:color w:val="auto"/>
        </w:rPr>
        <w:t>Employee Retirement Income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Security Act of 1974 </w:t>
      </w:r>
      <w:r>
        <w:rPr>
          <w:rFonts w:ascii="Arial" w:cs="Arial" w:eastAsia="Arial" w:hAnsi="Arial"/>
          <w:sz w:val="22"/>
          <w:szCs w:val="22"/>
          <w:color w:val="auto"/>
        </w:rPr>
        <w:t>. In our opinion, the supplemental information is fairly stated, in all material respects, in relation</w:t>
      </w:r>
      <w:r>
        <w:rPr>
          <w:rFonts w:ascii="Arial" w:cs="Arial" w:eastAsia="Arial" w:hAnsi="Arial"/>
          <w:sz w:val="22"/>
          <w:szCs w:val="22"/>
          <w:i w:val="1"/>
          <w:iCs w:val="1"/>
          <w:color w:val="auto"/>
        </w:rPr>
        <w:t xml:space="preserve"> </w:t>
      </w:r>
      <w:r>
        <w:rPr>
          <w:rFonts w:ascii="Arial" w:cs="Arial" w:eastAsia="Arial" w:hAnsi="Arial"/>
          <w:sz w:val="22"/>
          <w:szCs w:val="22"/>
          <w:color w:val="auto"/>
        </w:rPr>
        <w:t>to the basic financial statements taken as a whole.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 Forvis Mazars, LLP</w:t>
      </w:r>
    </w:p>
    <w:p>
      <w:pPr>
        <w:spacing w:after="0"/>
        <w:rPr>
          <w:sz w:val="20"/>
          <w:szCs w:val="20"/>
          <w:color w:val="auto"/>
        </w:rPr>
      </w:pPr>
      <w:r>
        <w:rPr>
          <w:rFonts w:ascii="Arial" w:cs="Arial" w:eastAsia="Arial" w:hAnsi="Arial"/>
          <w:sz w:val="22"/>
          <w:szCs w:val="22"/>
          <w:color w:val="auto"/>
        </w:rPr>
        <w:t>We have served as the Plan's auditor since 2006.</w:t>
      </w:r>
    </w:p>
    <w:p>
      <w:pPr>
        <w:spacing w:after="0" w:line="230" w:lineRule="auto"/>
        <w:rPr>
          <w:sz w:val="20"/>
          <w:szCs w:val="20"/>
          <w:color w:val="auto"/>
        </w:rPr>
      </w:pPr>
      <w:r>
        <w:rPr>
          <w:rFonts w:ascii="Arial" w:cs="Arial" w:eastAsia="Arial" w:hAnsi="Arial"/>
          <w:sz w:val="22"/>
          <w:szCs w:val="22"/>
          <w:color w:val="auto"/>
        </w:rPr>
        <w:t>Raleigh,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June 18, 2026</w:t>
      </w:r>
    </w:p>
    <w:p>
      <w:pPr>
        <w:spacing w:after="0" w:line="1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gridSpan w:val="3"/>
          </w:tcPr>
          <w:p>
            <w:pPr>
              <w:jc w:val="right"/>
              <w:ind w:right="80"/>
              <w:spacing w:after="0"/>
              <w:rPr>
                <w:sz w:val="20"/>
                <w:szCs w:val="20"/>
                <w:color w:val="auto"/>
              </w:rPr>
            </w:pPr>
            <w:r>
              <w:rPr>
                <w:rFonts w:ascii="Arial" w:cs="Arial" w:eastAsia="Arial" w:hAnsi="Arial"/>
                <w:sz w:val="22"/>
                <w:szCs w:val="22"/>
                <w:b w:val="1"/>
                <w:bCs w:val="1"/>
                <w:color w:val="auto"/>
              </w:rPr>
              <w:t>December 31</w:t>
            </w:r>
          </w:p>
        </w:tc>
        <w:tc>
          <w:tcPr>
            <w:tcW w:w="1220" w:type="dxa"/>
            <w:vAlign w:val="bottom"/>
          </w:tcPr>
          <w:p>
            <w:pPr>
              <w:spacing w:after="0"/>
              <w:rPr>
                <w:sz w:val="21"/>
                <w:szCs w:val="21"/>
                <w:color w:val="auto"/>
              </w:rPr>
            </w:pPr>
          </w:p>
        </w:tc>
      </w:tr>
      <w:tr>
        <w:trPr>
          <w:trHeight w:val="271"/>
        </w:trPr>
        <w:tc>
          <w:tcPr>
            <w:tcW w:w="74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592"/>
              <w:spacing w:after="0"/>
              <w:rPr>
                <w:sz w:val="20"/>
                <w:szCs w:val="20"/>
                <w:color w:val="auto"/>
              </w:rPr>
            </w:pPr>
            <w:r>
              <w:rPr>
                <w:rFonts w:ascii="Arial" w:cs="Arial" w:eastAsia="Arial" w:hAnsi="Arial"/>
                <w:sz w:val="22"/>
                <w:szCs w:val="22"/>
                <w:b w:val="1"/>
                <w:bCs w:val="1"/>
                <w:color w:val="auto"/>
              </w:rPr>
              <w:t>2025</w:t>
            </w:r>
          </w:p>
        </w:tc>
        <w:tc>
          <w:tcPr>
            <w:tcW w:w="2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22"/>
                <w:szCs w:val="22"/>
                <w:color w:val="auto"/>
              </w:rPr>
              <w:t>2024</w:t>
            </w:r>
          </w:p>
        </w:tc>
      </w:tr>
      <w:tr>
        <w:trPr>
          <w:trHeight w:val="237"/>
        </w:trPr>
        <w:tc>
          <w:tcPr>
            <w:tcW w:w="7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3"/>
          </w:tcPr>
          <w:p>
            <w:pPr>
              <w:jc w:val="right"/>
              <w:ind w:right="20"/>
              <w:spacing w:after="0" w:line="237" w:lineRule="exact"/>
              <w:rPr>
                <w:sz w:val="20"/>
                <w:szCs w:val="20"/>
                <w:color w:val="auto"/>
              </w:rPr>
            </w:pPr>
            <w:r>
              <w:rPr>
                <w:rFonts w:ascii="Arial" w:cs="Arial" w:eastAsia="Arial" w:hAnsi="Arial"/>
                <w:sz w:val="22"/>
                <w:szCs w:val="22"/>
                <w:i w:val="1"/>
                <w:iCs w:val="1"/>
                <w:color w:val="auto"/>
              </w:rPr>
              <w:t>(In Thousands)</w:t>
            </w:r>
          </w:p>
        </w:tc>
        <w:tc>
          <w:tcPr>
            <w:tcW w:w="1220" w:type="dxa"/>
            <w:vAlign w:val="bottom"/>
          </w:tcPr>
          <w:p>
            <w:pPr>
              <w:spacing w:after="0"/>
              <w:rPr>
                <w:sz w:val="20"/>
                <w:szCs w:val="20"/>
                <w:color w:val="auto"/>
              </w:rPr>
            </w:pPr>
          </w:p>
        </w:tc>
      </w:tr>
      <w:tr>
        <w:trPr>
          <w:trHeight w:val="243"/>
        </w:trPr>
        <w:tc>
          <w:tcPr>
            <w:tcW w:w="7400" w:type="dxa"/>
            <w:vAlign w:val="bottom"/>
            <w:shd w:val="clear" w:color="auto" w:fill="CFF0FC"/>
          </w:tcPr>
          <w:p>
            <w:pPr>
              <w:spacing w:after="0" w:line="243" w:lineRule="exact"/>
              <w:rPr>
                <w:sz w:val="20"/>
                <w:szCs w:val="20"/>
                <w:color w:val="auto"/>
              </w:rPr>
            </w:pPr>
            <w:r>
              <w:rPr>
                <w:rFonts w:ascii="Arial" w:cs="Arial" w:eastAsia="Arial" w:hAnsi="Arial"/>
                <w:sz w:val="22"/>
                <w:szCs w:val="22"/>
                <w:b w:val="1"/>
                <w:bCs w:val="1"/>
                <w:color w:val="auto"/>
              </w:rPr>
              <w:t>Assets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43"/>
        </w:trPr>
        <w:tc>
          <w:tcPr>
            <w:tcW w:w="7400" w:type="dxa"/>
            <w:vAlign w:val="bottom"/>
          </w:tcPr>
          <w:p>
            <w:pPr>
              <w:spacing w:after="0" w:line="243" w:lineRule="exact"/>
              <w:rPr>
                <w:sz w:val="20"/>
                <w:szCs w:val="20"/>
                <w:color w:val="auto"/>
              </w:rPr>
            </w:pPr>
            <w:r>
              <w:rPr>
                <w:rFonts w:ascii="Arial" w:cs="Arial" w:eastAsia="Arial" w:hAnsi="Arial"/>
                <w:sz w:val="22"/>
                <w:szCs w:val="22"/>
                <w:color w:val="auto"/>
              </w:rPr>
              <w:t>Investments at fair value:</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400" w:type="dxa"/>
            <w:vAlign w:val="bottom"/>
            <w:shd w:val="clear" w:color="auto" w:fill="CFF0FC"/>
          </w:tcPr>
          <w:p>
            <w:pPr>
              <w:ind w:left="100"/>
              <w:spacing w:after="0" w:line="243" w:lineRule="exact"/>
              <w:rPr>
                <w:sz w:val="20"/>
                <w:szCs w:val="20"/>
                <w:color w:val="auto"/>
              </w:rPr>
            </w:pPr>
            <w:r>
              <w:rPr>
                <w:rFonts w:ascii="Arial" w:cs="Arial" w:eastAsia="Arial" w:hAnsi="Arial"/>
                <w:sz w:val="22"/>
                <w:szCs w:val="22"/>
                <w:color w:val="auto"/>
              </w:rPr>
              <w:t>Collective trust funds</w:t>
            </w:r>
          </w:p>
        </w:tc>
        <w:tc>
          <w:tcPr>
            <w:tcW w:w="360" w:type="dxa"/>
            <w:vAlign w:val="bottom"/>
            <w:shd w:val="clear" w:color="auto" w:fill="CFF0FC"/>
          </w:tcPr>
          <w:p>
            <w:pPr>
              <w:jc w:val="right"/>
              <w:ind w:right="132"/>
              <w:spacing w:after="0" w:line="243" w:lineRule="exact"/>
              <w:rPr>
                <w:sz w:val="20"/>
                <w:szCs w:val="20"/>
                <w:color w:val="auto"/>
              </w:rPr>
            </w:pPr>
            <w:r>
              <w:rPr>
                <w:rFonts w:ascii="Arial" w:cs="Arial" w:eastAsia="Arial" w:hAnsi="Arial"/>
                <w:sz w:val="22"/>
                <w:szCs w:val="22"/>
                <w:b w:val="1"/>
                <w:bCs w:val="1"/>
                <w:color w:val="auto"/>
                <w:w w:val="81"/>
              </w:rPr>
              <w:t>$</w:t>
            </w:r>
          </w:p>
        </w:tc>
        <w:tc>
          <w:tcPr>
            <w:tcW w:w="14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b w:val="1"/>
                <w:bCs w:val="1"/>
                <w:color w:val="auto"/>
              </w:rPr>
              <w:t>839,306</w:t>
            </w:r>
          </w:p>
        </w:tc>
        <w:tc>
          <w:tcPr>
            <w:tcW w:w="840" w:type="dxa"/>
            <w:vAlign w:val="bottom"/>
            <w:gridSpan w:val="2"/>
            <w:shd w:val="clear" w:color="auto" w:fill="CFF0FC"/>
          </w:tcPr>
          <w:p>
            <w:pPr>
              <w:jc w:val="right"/>
              <w:ind w:right="440"/>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693,656</w:t>
            </w: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Mutual funds</w:t>
            </w:r>
          </w:p>
        </w:tc>
        <w:tc>
          <w:tcPr>
            <w:tcW w:w="3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141,373</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128,266</w:t>
            </w:r>
          </w:p>
        </w:tc>
      </w:tr>
      <w:tr>
        <w:trPr>
          <w:trHeight w:val="243"/>
        </w:trPr>
        <w:tc>
          <w:tcPr>
            <w:tcW w:w="7400" w:type="dxa"/>
            <w:vAlign w:val="bottom"/>
            <w:tcBorders>
              <w:bottom w:val="single" w:sz="8" w:color="CFF0FC"/>
            </w:tcBorders>
            <w:shd w:val="clear" w:color="auto" w:fill="CFF0FC"/>
          </w:tcPr>
          <w:p>
            <w:pPr>
              <w:ind w:left="180"/>
              <w:spacing w:after="0" w:line="243" w:lineRule="exact"/>
              <w:rPr>
                <w:sz w:val="20"/>
                <w:szCs w:val="20"/>
                <w:color w:val="auto"/>
              </w:rPr>
            </w:pPr>
            <w:r>
              <w:rPr>
                <w:rFonts w:ascii="Arial" w:cs="Arial" w:eastAsia="Arial" w:hAnsi="Arial"/>
                <w:sz w:val="22"/>
                <w:szCs w:val="22"/>
                <w:color w:val="auto"/>
              </w:rPr>
              <w:t>Martin Marietta Materials, Inc. Common Stock</w:t>
            </w:r>
          </w:p>
        </w:tc>
        <w:tc>
          <w:tcPr>
            <w:tcW w:w="3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line="243" w:lineRule="exact"/>
              <w:rPr>
                <w:sz w:val="20"/>
                <w:szCs w:val="20"/>
                <w:color w:val="auto"/>
              </w:rPr>
            </w:pPr>
            <w:r>
              <w:rPr>
                <w:rFonts w:ascii="Arial" w:cs="Arial" w:eastAsia="Arial" w:hAnsi="Arial"/>
                <w:sz w:val="22"/>
                <w:szCs w:val="22"/>
                <w:b w:val="1"/>
                <w:bCs w:val="1"/>
                <w:color w:val="auto"/>
              </w:rPr>
              <w:t>60,667</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line="243" w:lineRule="exact"/>
              <w:rPr>
                <w:sz w:val="20"/>
                <w:szCs w:val="20"/>
                <w:color w:val="auto"/>
              </w:rPr>
            </w:pPr>
            <w:r>
              <w:rPr>
                <w:rFonts w:ascii="Arial" w:cs="Arial" w:eastAsia="Arial" w:hAnsi="Arial"/>
                <w:sz w:val="22"/>
                <w:szCs w:val="22"/>
                <w:color w:val="auto"/>
              </w:rPr>
              <w:t>56,373</w:t>
            </w:r>
          </w:p>
        </w:tc>
      </w:tr>
      <w:tr>
        <w:trPr>
          <w:trHeight w:val="236"/>
        </w:trPr>
        <w:tc>
          <w:tcPr>
            <w:tcW w:w="7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1,041,346</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878,295</w:t>
            </w:r>
          </w:p>
        </w:tc>
      </w:tr>
      <w:tr>
        <w:trPr>
          <w:trHeight w:val="237"/>
        </w:trPr>
        <w:tc>
          <w:tcPr>
            <w:tcW w:w="7400" w:type="dxa"/>
            <w:vAlign w:val="bottom"/>
            <w:shd w:val="clear" w:color="auto" w:fill="CFF0FC"/>
          </w:tcPr>
          <w:p>
            <w:pPr>
              <w:spacing w:after="0" w:line="237" w:lineRule="exact"/>
              <w:rPr>
                <w:sz w:val="20"/>
                <w:szCs w:val="20"/>
                <w:color w:val="auto"/>
              </w:rPr>
            </w:pPr>
            <w:r>
              <w:rPr>
                <w:rFonts w:ascii="Arial" w:cs="Arial" w:eastAsia="Arial" w:hAnsi="Arial"/>
                <w:sz w:val="22"/>
                <w:szCs w:val="22"/>
                <w:color w:val="auto"/>
              </w:rPr>
              <w:t>Receivables:</w:t>
            </w:r>
          </w:p>
        </w:tc>
        <w:tc>
          <w:tcPr>
            <w:tcW w:w="3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Employee contributions</w:t>
            </w:r>
          </w:p>
        </w:tc>
        <w:tc>
          <w:tcPr>
            <w:tcW w:w="3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77</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842</w:t>
            </w:r>
          </w:p>
        </w:tc>
      </w:tr>
      <w:tr>
        <w:trPr>
          <w:trHeight w:val="243"/>
        </w:trPr>
        <w:tc>
          <w:tcPr>
            <w:tcW w:w="7400" w:type="dxa"/>
            <w:vAlign w:val="bottom"/>
            <w:shd w:val="clear" w:color="auto" w:fill="CFF0FC"/>
          </w:tcPr>
          <w:p>
            <w:pPr>
              <w:ind w:left="180"/>
              <w:spacing w:after="0" w:line="243" w:lineRule="exact"/>
              <w:rPr>
                <w:sz w:val="20"/>
                <w:szCs w:val="20"/>
                <w:color w:val="auto"/>
              </w:rPr>
            </w:pPr>
            <w:r>
              <w:rPr>
                <w:rFonts w:ascii="Arial" w:cs="Arial" w:eastAsia="Arial" w:hAnsi="Arial"/>
                <w:sz w:val="22"/>
                <w:szCs w:val="22"/>
                <w:color w:val="auto"/>
              </w:rPr>
              <w:t>Martin Marietta Materials, Inc. contributions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b w:val="1"/>
                <w:bCs w:val="1"/>
                <w:color w:val="auto"/>
              </w:rPr>
              <w:t>27</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317</w:t>
            </w: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Notes receivable from participants</w:t>
            </w:r>
          </w:p>
        </w:tc>
        <w:tc>
          <w:tcPr>
            <w:tcW w:w="3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26,990</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24,014</w:t>
            </w:r>
          </w:p>
        </w:tc>
      </w:tr>
      <w:tr>
        <w:trPr>
          <w:trHeight w:val="237"/>
        </w:trPr>
        <w:tc>
          <w:tcPr>
            <w:tcW w:w="74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237" w:lineRule="exact"/>
              <w:rPr>
                <w:sz w:val="20"/>
                <w:szCs w:val="20"/>
                <w:color w:val="auto"/>
              </w:rPr>
            </w:pPr>
            <w:r>
              <w:rPr>
                <w:rFonts w:ascii="Arial" w:cs="Arial" w:eastAsia="Arial" w:hAnsi="Arial"/>
                <w:sz w:val="22"/>
                <w:szCs w:val="22"/>
                <w:b w:val="1"/>
                <w:bCs w:val="1"/>
                <w:color w:val="auto"/>
              </w:rPr>
              <w:t>27,094</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237" w:lineRule="exact"/>
              <w:rPr>
                <w:sz w:val="20"/>
                <w:szCs w:val="20"/>
                <w:color w:val="auto"/>
              </w:rPr>
            </w:pPr>
            <w:r>
              <w:rPr>
                <w:rFonts w:ascii="Arial" w:cs="Arial" w:eastAsia="Arial" w:hAnsi="Arial"/>
                <w:sz w:val="22"/>
                <w:szCs w:val="22"/>
                <w:color w:val="auto"/>
              </w:rPr>
              <w:t>25,173</w:t>
            </w:r>
          </w:p>
        </w:tc>
      </w:tr>
      <w:tr>
        <w:trPr>
          <w:trHeight w:val="237"/>
        </w:trPr>
        <w:tc>
          <w:tcPr>
            <w:tcW w:w="7400" w:type="dxa"/>
            <w:vAlign w:val="bottom"/>
          </w:tcPr>
          <w:p>
            <w:pPr>
              <w:spacing w:after="0" w:line="237" w:lineRule="exact"/>
              <w:rPr>
                <w:sz w:val="20"/>
                <w:szCs w:val="20"/>
                <w:color w:val="auto"/>
              </w:rPr>
            </w:pPr>
            <w:r>
              <w:rPr>
                <w:rFonts w:ascii="Arial" w:cs="Arial" w:eastAsia="Arial" w:hAnsi="Arial"/>
                <w:sz w:val="22"/>
                <w:szCs w:val="22"/>
                <w:color w:val="auto"/>
              </w:rPr>
              <w:t>Net assets available for benefits</w:t>
            </w:r>
          </w:p>
        </w:tc>
        <w:tc>
          <w:tcPr>
            <w:tcW w:w="360" w:type="dxa"/>
            <w:vAlign w:val="bottom"/>
          </w:tcPr>
          <w:p>
            <w:pPr>
              <w:jc w:val="right"/>
              <w:ind w:right="132"/>
              <w:spacing w:after="0" w:line="237" w:lineRule="exact"/>
              <w:rPr>
                <w:sz w:val="20"/>
                <w:szCs w:val="20"/>
                <w:color w:val="auto"/>
              </w:rPr>
            </w:pPr>
            <w:r>
              <w:rPr>
                <w:rFonts w:ascii="Arial" w:cs="Arial" w:eastAsia="Arial" w:hAnsi="Arial"/>
                <w:sz w:val="22"/>
                <w:szCs w:val="22"/>
                <w:b w:val="1"/>
                <w:bCs w:val="1"/>
                <w:color w:val="auto"/>
                <w:w w:val="81"/>
              </w:rPr>
              <w:t>$</w:t>
            </w:r>
          </w:p>
        </w:tc>
        <w:tc>
          <w:tcPr>
            <w:tcW w:w="142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1,068,440</w:t>
            </w:r>
          </w:p>
        </w:tc>
        <w:tc>
          <w:tcPr>
            <w:tcW w:w="840" w:type="dxa"/>
            <w:vAlign w:val="bottom"/>
            <w:gridSpan w:val="2"/>
          </w:tcPr>
          <w:p>
            <w:pPr>
              <w:jc w:val="right"/>
              <w:ind w:right="440"/>
              <w:spacing w:after="0" w:line="237" w:lineRule="exact"/>
              <w:rPr>
                <w:sz w:val="20"/>
                <w:szCs w:val="20"/>
                <w:color w:val="auto"/>
              </w:rPr>
            </w:pPr>
            <w:r>
              <w:rPr>
                <w:rFonts w:ascii="Arial" w:cs="Arial" w:eastAsia="Arial" w:hAnsi="Arial"/>
                <w:sz w:val="22"/>
                <w:szCs w:val="22"/>
                <w:color w:val="auto"/>
              </w:rPr>
              <w:t>$</w:t>
            </w:r>
          </w:p>
        </w:tc>
        <w:tc>
          <w:tcPr>
            <w:tcW w:w="1220" w:type="dxa"/>
            <w:vAlign w:val="bottom"/>
          </w:tcPr>
          <w:p>
            <w:pPr>
              <w:jc w:val="right"/>
              <w:spacing w:after="0" w:line="237" w:lineRule="exact"/>
              <w:rPr>
                <w:sz w:val="20"/>
                <w:szCs w:val="20"/>
                <w:color w:val="auto"/>
              </w:rPr>
            </w:pPr>
            <w:r>
              <w:rPr>
                <w:rFonts w:ascii="Arial" w:cs="Arial" w:eastAsia="Arial" w:hAnsi="Arial"/>
                <w:sz w:val="22"/>
                <w:szCs w:val="22"/>
                <w:color w:val="auto"/>
              </w:rPr>
              <w:t>903,468</w:t>
            </w:r>
          </w:p>
        </w:tc>
      </w:tr>
      <w:tr>
        <w:trPr>
          <w:trHeight w:val="20"/>
        </w:trPr>
        <w:tc>
          <w:tcPr>
            <w:tcW w:w="7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-1139190</wp:posOffset>
            </wp:positionV>
            <wp:extent cx="171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171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Changes in Net Assets Available for Benefits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the Year Ended December 31, 2025</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8680" w:type="dxa"/>
            <w:vAlign w:val="bottom"/>
          </w:tcPr>
          <w:p>
            <w:pPr>
              <w:ind w:left="120"/>
              <w:spacing w:after="0"/>
              <w:rPr>
                <w:sz w:val="20"/>
                <w:szCs w:val="20"/>
                <w:color w:val="auto"/>
              </w:rPr>
            </w:pPr>
            <w:r>
              <w:rPr>
                <w:rFonts w:ascii="Arial" w:cs="Arial" w:eastAsia="Arial" w:hAnsi="Arial"/>
                <w:sz w:val="22"/>
                <w:szCs w:val="22"/>
                <w:color w:val="auto"/>
              </w:rPr>
              <w:t>Investment income:</w:t>
            </w:r>
          </w:p>
        </w:tc>
        <w:tc>
          <w:tcPr>
            <w:tcW w:w="8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3"/>
        </w:trPr>
        <w:tc>
          <w:tcPr>
            <w:tcW w:w="8680" w:type="dxa"/>
            <w:vAlign w:val="bottom"/>
            <w:shd w:val="clear" w:color="auto" w:fill="CFF0FC"/>
          </w:tcPr>
          <w:p>
            <w:pPr>
              <w:ind w:left="240"/>
              <w:spacing w:after="0" w:line="243" w:lineRule="exact"/>
              <w:rPr>
                <w:sz w:val="20"/>
                <w:szCs w:val="20"/>
                <w:color w:val="auto"/>
              </w:rPr>
            </w:pPr>
            <w:r>
              <w:rPr>
                <w:rFonts w:ascii="Arial" w:cs="Arial" w:eastAsia="Arial" w:hAnsi="Arial"/>
                <w:sz w:val="22"/>
                <w:szCs w:val="22"/>
                <w:color w:val="auto"/>
              </w:rPr>
              <w:t>Net appreciation in fair value of investments</w:t>
            </w:r>
          </w:p>
        </w:tc>
        <w:tc>
          <w:tcPr>
            <w:tcW w:w="800" w:type="dxa"/>
            <w:vAlign w:val="bottom"/>
            <w:shd w:val="clear" w:color="auto" w:fill="CFF0FC"/>
          </w:tcPr>
          <w:p>
            <w:pPr>
              <w:jc w:val="right"/>
              <w:ind w:right="572"/>
              <w:spacing w:after="0" w:line="243" w:lineRule="exact"/>
              <w:rPr>
                <w:sz w:val="20"/>
                <w:szCs w:val="20"/>
                <w:color w:val="auto"/>
              </w:rPr>
            </w:pPr>
            <w:r>
              <w:rPr>
                <w:rFonts w:ascii="Arial" w:cs="Arial" w:eastAsia="Arial" w:hAnsi="Arial"/>
                <w:sz w:val="22"/>
                <w:szCs w:val="22"/>
                <w:color w:val="auto"/>
                <w:w w:val="81"/>
              </w:rPr>
              <w:t>$</w:t>
            </w:r>
          </w:p>
        </w:tc>
        <w:tc>
          <w:tcPr>
            <w:tcW w:w="1760" w:type="dxa"/>
            <w:vAlign w:val="bottom"/>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129,720</w:t>
            </w:r>
          </w:p>
        </w:tc>
      </w:tr>
      <w:tr>
        <w:trPr>
          <w:trHeight w:val="243"/>
        </w:trPr>
        <w:tc>
          <w:tcPr>
            <w:tcW w:w="8680" w:type="dxa"/>
            <w:vAlign w:val="bottom"/>
          </w:tcPr>
          <w:p>
            <w:pPr>
              <w:ind w:left="240"/>
              <w:spacing w:after="0" w:line="243" w:lineRule="exact"/>
              <w:rPr>
                <w:sz w:val="20"/>
                <w:szCs w:val="20"/>
                <w:color w:val="auto"/>
              </w:rPr>
            </w:pPr>
            <w:r>
              <w:rPr>
                <w:rFonts w:ascii="Arial" w:cs="Arial" w:eastAsia="Arial" w:hAnsi="Arial"/>
                <w:sz w:val="22"/>
                <w:szCs w:val="22"/>
                <w:color w:val="auto"/>
              </w:rPr>
              <w:t>Interest and dividend income</w:t>
            </w:r>
          </w:p>
        </w:tc>
        <w:tc>
          <w:tcPr>
            <w:tcW w:w="8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10,882</w:t>
            </w:r>
          </w:p>
        </w:tc>
      </w:tr>
      <w:tr>
        <w:trPr>
          <w:trHeight w:val="237"/>
        </w:trPr>
        <w:tc>
          <w:tcPr>
            <w:tcW w:w="86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2"/>
              <w:spacing w:after="0" w:line="237" w:lineRule="exact"/>
              <w:rPr>
                <w:sz w:val="20"/>
                <w:szCs w:val="20"/>
                <w:color w:val="auto"/>
              </w:rPr>
            </w:pPr>
            <w:r>
              <w:rPr>
                <w:rFonts w:ascii="Arial" w:cs="Arial" w:eastAsia="Arial" w:hAnsi="Arial"/>
                <w:sz w:val="22"/>
                <w:szCs w:val="22"/>
                <w:color w:val="auto"/>
              </w:rPr>
              <w:t>140,602</w:t>
            </w:r>
          </w:p>
        </w:tc>
      </w:tr>
      <w:tr>
        <w:trPr>
          <w:trHeight w:val="237"/>
        </w:trPr>
        <w:tc>
          <w:tcPr>
            <w:tcW w:w="8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3"/>
        </w:trPr>
        <w:tc>
          <w:tcPr>
            <w:tcW w:w="8680" w:type="dxa"/>
            <w:vAlign w:val="bottom"/>
            <w:tcBorders>
              <w:bottom w:val="single" w:sz="8" w:color="CFF0FC"/>
            </w:tcBorders>
            <w:shd w:val="clear" w:color="auto" w:fill="CFF0FC"/>
          </w:tcPr>
          <w:p>
            <w:pPr>
              <w:ind w:left="120"/>
              <w:spacing w:after="0" w:line="243" w:lineRule="exact"/>
              <w:rPr>
                <w:sz w:val="20"/>
                <w:szCs w:val="20"/>
                <w:color w:val="auto"/>
              </w:rPr>
            </w:pPr>
            <w:r>
              <w:rPr>
                <w:rFonts w:ascii="Arial" w:cs="Arial" w:eastAsia="Arial" w:hAnsi="Arial"/>
                <w:sz w:val="22"/>
                <w:szCs w:val="22"/>
                <w:color w:val="auto"/>
              </w:rPr>
              <w:t>Interest on notes receivable from participants</w:t>
            </w:r>
          </w:p>
        </w:tc>
        <w:tc>
          <w:tcPr>
            <w:tcW w:w="8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2,091</w:t>
            </w:r>
          </w:p>
        </w:tc>
      </w:tr>
      <w:tr>
        <w:trPr>
          <w:trHeight w:val="236"/>
        </w:trPr>
        <w:tc>
          <w:tcPr>
            <w:tcW w:w="8680" w:type="dxa"/>
            <w:vAlign w:val="bottom"/>
          </w:tcPr>
          <w:p>
            <w:pPr>
              <w:ind w:left="120"/>
              <w:spacing w:after="0" w:line="237" w:lineRule="exact"/>
              <w:rPr>
                <w:sz w:val="20"/>
                <w:szCs w:val="20"/>
                <w:color w:val="auto"/>
              </w:rPr>
            </w:pPr>
            <w:r>
              <w:rPr>
                <w:rFonts w:ascii="Arial" w:cs="Arial" w:eastAsia="Arial" w:hAnsi="Arial"/>
                <w:sz w:val="22"/>
                <w:szCs w:val="22"/>
                <w:color w:val="auto"/>
              </w:rPr>
              <w:t>Contributions:</w:t>
            </w:r>
          </w:p>
        </w:tc>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3"/>
        </w:trPr>
        <w:tc>
          <w:tcPr>
            <w:tcW w:w="8680" w:type="dxa"/>
            <w:vAlign w:val="bottom"/>
            <w:shd w:val="clear" w:color="auto" w:fill="CFF0FC"/>
          </w:tcPr>
          <w:p>
            <w:pPr>
              <w:ind w:left="240"/>
              <w:spacing w:after="0" w:line="243" w:lineRule="exact"/>
              <w:rPr>
                <w:sz w:val="20"/>
                <w:szCs w:val="20"/>
                <w:color w:val="auto"/>
              </w:rPr>
            </w:pPr>
            <w:r>
              <w:rPr>
                <w:rFonts w:ascii="Arial" w:cs="Arial" w:eastAsia="Arial" w:hAnsi="Arial"/>
                <w:sz w:val="22"/>
                <w:szCs w:val="22"/>
                <w:color w:val="auto"/>
              </w:rPr>
              <w:t>Employees</w:t>
            </w:r>
          </w:p>
        </w:tc>
        <w:tc>
          <w:tcPr>
            <w:tcW w:w="8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58,702</w:t>
            </w:r>
          </w:p>
        </w:tc>
      </w:tr>
      <w:tr>
        <w:trPr>
          <w:trHeight w:val="243"/>
        </w:trPr>
        <w:tc>
          <w:tcPr>
            <w:tcW w:w="8680" w:type="dxa"/>
            <w:vAlign w:val="bottom"/>
          </w:tcPr>
          <w:p>
            <w:pPr>
              <w:ind w:left="240"/>
              <w:spacing w:after="0" w:line="243" w:lineRule="exact"/>
              <w:rPr>
                <w:sz w:val="20"/>
                <w:szCs w:val="20"/>
                <w:color w:val="auto"/>
              </w:rPr>
            </w:pPr>
            <w:r>
              <w:rPr>
                <w:rFonts w:ascii="Arial" w:cs="Arial" w:eastAsia="Arial" w:hAnsi="Arial"/>
                <w:sz w:val="22"/>
                <w:szCs w:val="22"/>
                <w:color w:val="auto"/>
              </w:rPr>
              <w:t>Martin Marietta Materials, Inc.</w:t>
            </w:r>
          </w:p>
        </w:tc>
        <w:tc>
          <w:tcPr>
            <w:tcW w:w="800" w:type="dxa"/>
            <w:vAlign w:val="bottom"/>
          </w:tcPr>
          <w:p>
            <w:pPr>
              <w:spacing w:after="0"/>
              <w:rPr>
                <w:sz w:val="21"/>
                <w:szCs w:val="21"/>
                <w:color w:val="auto"/>
              </w:rPr>
            </w:pPr>
          </w:p>
        </w:tc>
        <w:tc>
          <w:tcPr>
            <w:tcW w:w="17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23,055</w:t>
            </w:r>
          </w:p>
        </w:tc>
      </w:tr>
      <w:tr>
        <w:trPr>
          <w:trHeight w:val="243"/>
        </w:trPr>
        <w:tc>
          <w:tcPr>
            <w:tcW w:w="8680" w:type="dxa"/>
            <w:vAlign w:val="bottom"/>
            <w:tcBorders>
              <w:bottom w:val="single" w:sz="8" w:color="CFF0FC"/>
            </w:tcBorders>
            <w:shd w:val="clear" w:color="auto" w:fill="CFF0FC"/>
          </w:tcPr>
          <w:p>
            <w:pPr>
              <w:ind w:left="240"/>
              <w:spacing w:after="0" w:line="243" w:lineRule="exact"/>
              <w:rPr>
                <w:sz w:val="20"/>
                <w:szCs w:val="20"/>
                <w:color w:val="auto"/>
              </w:rPr>
            </w:pPr>
            <w:r>
              <w:rPr>
                <w:rFonts w:ascii="Arial" w:cs="Arial" w:eastAsia="Arial" w:hAnsi="Arial"/>
                <w:sz w:val="22"/>
                <w:szCs w:val="22"/>
                <w:color w:val="auto"/>
              </w:rPr>
              <w:t>Rollovers</w:t>
            </w:r>
          </w:p>
        </w:tc>
        <w:tc>
          <w:tcPr>
            <w:tcW w:w="8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11,417</w:t>
            </w:r>
          </w:p>
        </w:tc>
      </w:tr>
      <w:tr>
        <w:trPr>
          <w:trHeight w:val="237"/>
        </w:trPr>
        <w:tc>
          <w:tcPr>
            <w:tcW w:w="8680" w:type="dxa"/>
            <w:vAlign w:val="bottom"/>
          </w:tcPr>
          <w:p>
            <w:pPr>
              <w:spacing w:after="0" w:line="237" w:lineRule="exact"/>
              <w:rPr>
                <w:sz w:val="20"/>
                <w:szCs w:val="20"/>
                <w:color w:val="auto"/>
              </w:rPr>
            </w:pPr>
            <w:r>
              <w:rPr>
                <w:rFonts w:ascii="Arial" w:cs="Arial" w:eastAsia="Arial" w:hAnsi="Arial"/>
                <w:sz w:val="22"/>
                <w:szCs w:val="22"/>
                <w:color w:val="auto"/>
              </w:rPr>
              <w:t>Total contributions</w:t>
            </w:r>
          </w:p>
        </w:tc>
        <w:tc>
          <w:tcPr>
            <w:tcW w:w="8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93,174</w:t>
            </w:r>
          </w:p>
        </w:tc>
      </w:tr>
      <w:tr>
        <w:trPr>
          <w:trHeight w:val="237"/>
        </w:trPr>
        <w:tc>
          <w:tcPr>
            <w:tcW w:w="86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color w:val="auto"/>
              </w:rPr>
              <w:t>Deductions from net assets attributed to:</w:t>
            </w: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8680" w:type="dxa"/>
            <w:vAlign w:val="bottom"/>
            <w:shd w:val="clear" w:color="auto" w:fill="CFF0FC"/>
          </w:tcPr>
          <w:p>
            <w:pPr>
              <w:ind w:left="120"/>
              <w:spacing w:after="0" w:line="243" w:lineRule="exact"/>
              <w:rPr>
                <w:sz w:val="20"/>
                <w:szCs w:val="20"/>
                <w:color w:val="auto"/>
              </w:rPr>
            </w:pPr>
            <w:r>
              <w:rPr>
                <w:rFonts w:ascii="Arial" w:cs="Arial" w:eastAsia="Arial" w:hAnsi="Arial"/>
                <w:sz w:val="22"/>
                <w:szCs w:val="22"/>
                <w:color w:val="auto"/>
              </w:rPr>
              <w:t>Benefits paid to participants</w:t>
            </w:r>
          </w:p>
        </w:tc>
        <w:tc>
          <w:tcPr>
            <w:tcW w:w="8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105,393</w:t>
            </w:r>
          </w:p>
        </w:tc>
      </w:tr>
      <w:tr>
        <w:trPr>
          <w:trHeight w:val="243"/>
        </w:trPr>
        <w:tc>
          <w:tcPr>
            <w:tcW w:w="8680" w:type="dxa"/>
            <w:vAlign w:val="bottom"/>
          </w:tcPr>
          <w:p>
            <w:pPr>
              <w:ind w:left="120"/>
              <w:spacing w:after="0" w:line="243" w:lineRule="exact"/>
              <w:rPr>
                <w:sz w:val="20"/>
                <w:szCs w:val="20"/>
                <w:color w:val="auto"/>
              </w:rPr>
            </w:pPr>
            <w:r>
              <w:rPr>
                <w:rFonts w:ascii="Arial" w:cs="Arial" w:eastAsia="Arial" w:hAnsi="Arial"/>
                <w:sz w:val="22"/>
                <w:szCs w:val="22"/>
                <w:color w:val="auto"/>
              </w:rPr>
              <w:t>Administrative expenses</w:t>
            </w:r>
          </w:p>
        </w:tc>
        <w:tc>
          <w:tcPr>
            <w:tcW w:w="8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689</w:t>
            </w:r>
          </w:p>
        </w:tc>
      </w:tr>
      <w:tr>
        <w:trPr>
          <w:trHeight w:val="237"/>
        </w:trPr>
        <w:tc>
          <w:tcPr>
            <w:tcW w:w="8680" w:type="dxa"/>
            <w:vAlign w:val="bottom"/>
            <w:tcBorders>
              <w:bottom w:val="single" w:sz="8" w:color="CFF0FC"/>
            </w:tcBorders>
            <w:shd w:val="clear" w:color="auto" w:fill="CFF0FC"/>
          </w:tcPr>
          <w:p>
            <w:pPr>
              <w:spacing w:after="0" w:line="237" w:lineRule="exact"/>
              <w:rPr>
                <w:sz w:val="20"/>
                <w:szCs w:val="20"/>
                <w:color w:val="auto"/>
              </w:rPr>
            </w:pPr>
            <w:r>
              <w:rPr>
                <w:rFonts w:ascii="Arial" w:cs="Arial" w:eastAsia="Arial" w:hAnsi="Arial"/>
                <w:sz w:val="22"/>
                <w:szCs w:val="22"/>
                <w:color w:val="auto"/>
              </w:rPr>
              <w:t>Total deductions</w:t>
            </w:r>
          </w:p>
        </w:tc>
        <w:tc>
          <w:tcPr>
            <w:tcW w:w="8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2"/>
              <w:spacing w:after="0" w:line="237" w:lineRule="exact"/>
              <w:rPr>
                <w:sz w:val="20"/>
                <w:szCs w:val="20"/>
                <w:color w:val="auto"/>
              </w:rPr>
            </w:pPr>
            <w:r>
              <w:rPr>
                <w:rFonts w:ascii="Arial" w:cs="Arial" w:eastAsia="Arial" w:hAnsi="Arial"/>
                <w:sz w:val="22"/>
                <w:szCs w:val="22"/>
                <w:color w:val="auto"/>
              </w:rPr>
              <w:t>106,082</w:t>
            </w:r>
          </w:p>
        </w:tc>
      </w:tr>
      <w:tr>
        <w:trPr>
          <w:trHeight w:val="237"/>
        </w:trPr>
        <w:tc>
          <w:tcPr>
            <w:tcW w:w="8680" w:type="dxa"/>
            <w:vAlign w:val="bottom"/>
          </w:tcPr>
          <w:p>
            <w:pPr>
              <w:spacing w:after="0" w:line="237" w:lineRule="exact"/>
              <w:rPr>
                <w:sz w:val="20"/>
                <w:szCs w:val="20"/>
                <w:color w:val="auto"/>
              </w:rPr>
            </w:pPr>
            <w:r>
              <w:rPr>
                <w:rFonts w:ascii="Arial" w:cs="Arial" w:eastAsia="Arial" w:hAnsi="Arial"/>
                <w:sz w:val="22"/>
                <w:szCs w:val="22"/>
                <w:color w:val="auto"/>
              </w:rPr>
              <w:t>Net change</w:t>
            </w:r>
          </w:p>
        </w:tc>
        <w:tc>
          <w:tcPr>
            <w:tcW w:w="800" w:type="dxa"/>
            <w:vAlign w:val="bottom"/>
          </w:tcPr>
          <w:p>
            <w:pPr>
              <w:spacing w:after="0"/>
              <w:rPr>
                <w:sz w:val="20"/>
                <w:szCs w:val="20"/>
                <w:color w:val="auto"/>
              </w:rPr>
            </w:pPr>
          </w:p>
        </w:tc>
        <w:tc>
          <w:tcPr>
            <w:tcW w:w="1760" w:type="dxa"/>
            <w:vAlign w:val="bottom"/>
          </w:tcPr>
          <w:p>
            <w:pPr>
              <w:jc w:val="right"/>
              <w:ind w:right="12"/>
              <w:spacing w:after="0" w:line="237" w:lineRule="exact"/>
              <w:rPr>
                <w:sz w:val="20"/>
                <w:szCs w:val="20"/>
                <w:color w:val="auto"/>
              </w:rPr>
            </w:pPr>
            <w:r>
              <w:rPr>
                <w:rFonts w:ascii="Arial" w:cs="Arial" w:eastAsia="Arial" w:hAnsi="Arial"/>
                <w:sz w:val="22"/>
                <w:szCs w:val="22"/>
                <w:color w:val="auto"/>
              </w:rPr>
              <w:t>129,785</w:t>
            </w:r>
          </w:p>
        </w:tc>
      </w:tr>
      <w:tr>
        <w:trPr>
          <w:trHeight w:val="243"/>
        </w:trPr>
        <w:tc>
          <w:tcPr>
            <w:tcW w:w="86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43"/>
        </w:trPr>
        <w:tc>
          <w:tcPr>
            <w:tcW w:w="8680" w:type="dxa"/>
            <w:vAlign w:val="bottom"/>
          </w:tcPr>
          <w:p>
            <w:pPr>
              <w:ind w:left="120"/>
              <w:spacing w:after="0" w:line="243" w:lineRule="exact"/>
              <w:rPr>
                <w:sz w:val="20"/>
                <w:szCs w:val="20"/>
                <w:color w:val="auto"/>
              </w:rPr>
            </w:pPr>
            <w:r>
              <w:rPr>
                <w:rFonts w:ascii="Arial" w:cs="Arial" w:eastAsia="Arial" w:hAnsi="Arial"/>
                <w:sz w:val="22"/>
                <w:szCs w:val="22"/>
                <w:color w:val="auto"/>
              </w:rPr>
              <w:t>Transfer from other plan due to merger</w:t>
            </w:r>
          </w:p>
        </w:tc>
        <w:tc>
          <w:tcPr>
            <w:tcW w:w="800" w:type="dxa"/>
            <w:vAlign w:val="bottom"/>
          </w:tcPr>
          <w:p>
            <w:pPr>
              <w:spacing w:after="0"/>
              <w:rPr>
                <w:sz w:val="21"/>
                <w:szCs w:val="21"/>
                <w:color w:val="auto"/>
              </w:rPr>
            </w:pPr>
          </w:p>
        </w:tc>
        <w:tc>
          <w:tcPr>
            <w:tcW w:w="17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35,187</w:t>
            </w:r>
          </w:p>
        </w:tc>
      </w:tr>
      <w:tr>
        <w:trPr>
          <w:trHeight w:val="243"/>
        </w:trPr>
        <w:tc>
          <w:tcPr>
            <w:tcW w:w="86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color w:val="auto"/>
              </w:rPr>
              <w:t>Net assets available for benefits:</w:t>
            </w: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8680" w:type="dxa"/>
            <w:vAlign w:val="bottom"/>
            <w:tcBorders>
              <w:bottom w:val="single" w:sz="8" w:color="CFF0FC"/>
            </w:tcBorders>
            <w:shd w:val="clear" w:color="auto" w:fill="CFF0FC"/>
          </w:tcPr>
          <w:p>
            <w:pPr>
              <w:ind w:left="120"/>
              <w:spacing w:after="0" w:line="243" w:lineRule="exact"/>
              <w:rPr>
                <w:sz w:val="20"/>
                <w:szCs w:val="20"/>
                <w:color w:val="auto"/>
              </w:rPr>
            </w:pPr>
            <w:r>
              <w:rPr>
                <w:rFonts w:ascii="Arial" w:cs="Arial" w:eastAsia="Arial" w:hAnsi="Arial"/>
                <w:sz w:val="22"/>
                <w:szCs w:val="22"/>
                <w:color w:val="auto"/>
              </w:rPr>
              <w:t>Beginning of year</w:t>
            </w:r>
          </w:p>
        </w:tc>
        <w:tc>
          <w:tcPr>
            <w:tcW w:w="8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903,468</w:t>
            </w:r>
          </w:p>
        </w:tc>
      </w:tr>
      <w:tr>
        <w:trPr>
          <w:trHeight w:val="236"/>
        </w:trPr>
        <w:tc>
          <w:tcPr>
            <w:tcW w:w="8680" w:type="dxa"/>
            <w:vAlign w:val="bottom"/>
          </w:tcPr>
          <w:p>
            <w:pPr>
              <w:ind w:left="120"/>
              <w:spacing w:after="0" w:line="237" w:lineRule="exact"/>
              <w:rPr>
                <w:sz w:val="20"/>
                <w:szCs w:val="20"/>
                <w:color w:val="auto"/>
              </w:rPr>
            </w:pPr>
            <w:r>
              <w:rPr>
                <w:rFonts w:ascii="Arial" w:cs="Arial" w:eastAsia="Arial" w:hAnsi="Arial"/>
                <w:sz w:val="22"/>
                <w:szCs w:val="22"/>
                <w:color w:val="auto"/>
              </w:rPr>
              <w:t>End of year</w:t>
            </w:r>
          </w:p>
        </w:tc>
        <w:tc>
          <w:tcPr>
            <w:tcW w:w="800" w:type="dxa"/>
            <w:vAlign w:val="bottom"/>
            <w:tcBorders>
              <w:bottom w:val="single" w:sz="8" w:color="auto"/>
            </w:tcBorders>
          </w:tcPr>
          <w:p>
            <w:pPr>
              <w:jc w:val="right"/>
              <w:ind w:right="572"/>
              <w:spacing w:after="0" w:line="237" w:lineRule="exact"/>
              <w:rPr>
                <w:sz w:val="20"/>
                <w:szCs w:val="20"/>
                <w:color w:val="auto"/>
              </w:rPr>
            </w:pPr>
            <w:r>
              <w:rPr>
                <w:rFonts w:ascii="Arial" w:cs="Arial" w:eastAsia="Arial" w:hAnsi="Arial"/>
                <w:sz w:val="22"/>
                <w:szCs w:val="22"/>
                <w:color w:val="auto"/>
                <w:w w:val="81"/>
              </w:rPr>
              <w:t>$</w:t>
            </w:r>
          </w:p>
        </w:tc>
        <w:tc>
          <w:tcPr>
            <w:tcW w:w="176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1,068,440</w:t>
            </w:r>
          </w:p>
        </w:tc>
      </w:tr>
      <w:tr>
        <w:trPr>
          <w:trHeight w:val="20"/>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the financial statements.</w:t>
      </w:r>
    </w:p>
    <w:p>
      <w:pPr>
        <w:spacing w:after="0" w:line="2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31" w:lineRule="exact"/>
        <w:rPr>
          <w:sz w:val="20"/>
          <w:szCs w:val="20"/>
          <w:color w:val="auto"/>
        </w:rPr>
      </w:pPr>
    </w:p>
    <w:p>
      <w:pPr>
        <w:jc w:val="both"/>
        <w:ind w:left="380" w:right="8760" w:hanging="372"/>
        <w:spacing w:after="0" w:line="349" w:lineRule="auto"/>
        <w:tabs>
          <w:tab w:leader="none" w:pos="380" w:val="left"/>
        </w:tabs>
        <w:numPr>
          <w:ilvl w:val="0"/>
          <w:numId w:val="3"/>
        </w:numPr>
        <w:rPr>
          <w:rFonts w:ascii="Arial" w:cs="Arial" w:eastAsia="Arial" w:hAnsi="Arial"/>
          <w:sz w:val="19"/>
          <w:szCs w:val="19"/>
          <w:b w:val="1"/>
          <w:bCs w:val="1"/>
          <w:color w:val="auto"/>
        </w:rPr>
      </w:pPr>
      <w:r>
        <w:rPr>
          <w:rFonts w:ascii="Arial" w:cs="Arial" w:eastAsia="Arial" w:hAnsi="Arial"/>
          <w:sz w:val="21"/>
          <w:szCs w:val="21"/>
          <w:b w:val="1"/>
          <w:bCs w:val="1"/>
          <w:color w:val="auto"/>
        </w:rPr>
        <w:t>Accounting Policies Basis of Accounting</w:t>
      </w:r>
    </w:p>
    <w:p>
      <w:pPr>
        <w:spacing w:after="0" w:line="1" w:lineRule="exact"/>
        <w:rPr>
          <w:rFonts w:ascii="Arial" w:cs="Arial" w:eastAsia="Arial" w:hAnsi="Arial"/>
          <w:sz w:val="19"/>
          <w:szCs w:val="19"/>
          <w:b w:val="1"/>
          <w:bCs w:val="1"/>
          <w:color w:val="auto"/>
        </w:rPr>
      </w:pPr>
    </w:p>
    <w:p>
      <w:pPr>
        <w:jc w:val="both"/>
        <w:ind w:left="380"/>
        <w:spacing w:after="0" w:line="245" w:lineRule="auto"/>
        <w:rPr>
          <w:rFonts w:ascii="Arial" w:cs="Arial" w:eastAsia="Arial" w:hAnsi="Arial"/>
          <w:sz w:val="19"/>
          <w:szCs w:val="19"/>
          <w:b w:val="1"/>
          <w:bCs w:val="1"/>
          <w:color w:val="auto"/>
        </w:rPr>
      </w:pPr>
      <w:r>
        <w:rPr>
          <w:rFonts w:ascii="Arial" w:cs="Arial" w:eastAsia="Arial" w:hAnsi="Arial"/>
          <w:sz w:val="22"/>
          <w:szCs w:val="22"/>
          <w:color w:val="auto"/>
        </w:rPr>
        <w:t>The financial statements of the Martin Marietta Savings and Investment Plan (the Plan) are prepared on the accrual basis of accounting in conformity with accounting principles generally accepted in the United States of America (GAAP).</w:t>
      </w:r>
    </w:p>
    <w:p>
      <w:pPr>
        <w:spacing w:after="0" w:line="168"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Use of Estimates</w:t>
      </w:r>
    </w:p>
    <w:p>
      <w:pPr>
        <w:spacing w:after="0" w:line="208" w:lineRule="exact"/>
        <w:rPr>
          <w:rFonts w:ascii="Arial" w:cs="Arial" w:eastAsia="Arial" w:hAnsi="Arial"/>
          <w:sz w:val="19"/>
          <w:szCs w:val="19"/>
          <w:b w:val="1"/>
          <w:bCs w:val="1"/>
          <w:color w:val="auto"/>
        </w:rPr>
      </w:pPr>
    </w:p>
    <w:p>
      <w:pPr>
        <w:jc w:val="both"/>
        <w:ind w:left="380"/>
        <w:spacing w:after="0" w:line="245" w:lineRule="auto"/>
        <w:rPr>
          <w:rFonts w:ascii="Arial" w:cs="Arial" w:eastAsia="Arial" w:hAnsi="Arial"/>
          <w:sz w:val="19"/>
          <w:szCs w:val="19"/>
          <w:b w:val="1"/>
          <w:bCs w:val="1"/>
          <w:color w:val="auto"/>
        </w:rPr>
      </w:pPr>
      <w:r>
        <w:rPr>
          <w:rFonts w:ascii="Arial" w:cs="Arial" w:eastAsia="Arial" w:hAnsi="Arial"/>
          <w:sz w:val="22"/>
          <w:szCs w:val="22"/>
          <w:color w:val="auto"/>
        </w:rPr>
        <w:t>The preparation of financial statements in conformity with GAAP requires management to make estimates and assumptions that affect certain reported amounts, changes therein and related disclosures. Accordingly, actual results could differ from those estimates and assumptions.</w:t>
      </w:r>
    </w:p>
    <w:p>
      <w:pPr>
        <w:spacing w:after="0" w:line="168"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Investment Valuation and Income Recognition</w:t>
      </w:r>
    </w:p>
    <w:p>
      <w:pPr>
        <w:spacing w:after="0" w:line="100" w:lineRule="exact"/>
        <w:rPr>
          <w:rFonts w:ascii="Arial" w:cs="Arial" w:eastAsia="Arial" w:hAnsi="Arial"/>
          <w:sz w:val="19"/>
          <w:szCs w:val="19"/>
          <w:b w:val="1"/>
          <w:bCs w:val="1"/>
          <w:color w:val="auto"/>
        </w:rPr>
      </w:pPr>
    </w:p>
    <w:p>
      <w:pPr>
        <w:jc w:val="both"/>
        <w:ind w:left="380"/>
        <w:spacing w:after="0" w:line="245" w:lineRule="auto"/>
        <w:rPr>
          <w:rFonts w:ascii="Arial" w:cs="Arial" w:eastAsia="Arial" w:hAnsi="Arial"/>
          <w:sz w:val="19"/>
          <w:szCs w:val="19"/>
          <w:b w:val="1"/>
          <w:bCs w:val="1"/>
          <w:color w:val="auto"/>
        </w:rPr>
      </w:pPr>
      <w:r>
        <w:rPr>
          <w:rFonts w:ascii="Arial" w:cs="Arial" w:eastAsia="Arial" w:hAnsi="Arial"/>
          <w:sz w:val="22"/>
          <w:szCs w:val="22"/>
          <w:color w:val="auto"/>
        </w:rPr>
        <w:t>Investments are reported at fair value. Fair value, as defined under GAAP, is the price that would be received to sell an asset or paid to transfer a liability in an orderly transaction between market participants at the measurement date. See Note 3 for discussion of fair value measurements.</w:t>
      </w:r>
    </w:p>
    <w:p>
      <w:pPr>
        <w:spacing w:after="0" w:line="62" w:lineRule="exact"/>
        <w:rPr>
          <w:rFonts w:ascii="Arial" w:cs="Arial" w:eastAsia="Arial" w:hAnsi="Arial"/>
          <w:sz w:val="19"/>
          <w:szCs w:val="19"/>
          <w:b w:val="1"/>
          <w:bCs w:val="1"/>
          <w:color w:val="auto"/>
        </w:rPr>
      </w:pPr>
    </w:p>
    <w:p>
      <w:pPr>
        <w:jc w:val="both"/>
        <w:ind w:left="380"/>
        <w:spacing w:after="0" w:line="245" w:lineRule="auto"/>
        <w:rPr>
          <w:rFonts w:ascii="Arial" w:cs="Arial" w:eastAsia="Arial" w:hAnsi="Arial"/>
          <w:sz w:val="19"/>
          <w:szCs w:val="19"/>
          <w:b w:val="1"/>
          <w:bCs w:val="1"/>
          <w:color w:val="auto"/>
        </w:rPr>
      </w:pPr>
      <w:r>
        <w:rPr>
          <w:rFonts w:ascii="Arial" w:cs="Arial" w:eastAsia="Arial" w:hAnsi="Arial"/>
          <w:sz w:val="22"/>
          <w:szCs w:val="22"/>
          <w:color w:val="auto"/>
        </w:rPr>
        <w:t>Purchases and sales of securities are recorded on a trade-date basis. Interest income is recognized on the accrual basis. Dividends are recorded on the ex-dividend date. Net appreciation or depreciation includes the Plan’s gains and losses on investments purchased and sold as well as held during the year.</w:t>
      </w:r>
    </w:p>
    <w:p>
      <w:pPr>
        <w:spacing w:after="0" w:line="168"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Notes Receivable from Participants</w:t>
      </w:r>
    </w:p>
    <w:p>
      <w:pPr>
        <w:spacing w:after="0" w:line="100" w:lineRule="exact"/>
        <w:rPr>
          <w:rFonts w:ascii="Arial" w:cs="Arial" w:eastAsia="Arial" w:hAnsi="Arial"/>
          <w:sz w:val="19"/>
          <w:szCs w:val="19"/>
          <w:b w:val="1"/>
          <w:bCs w:val="1"/>
          <w:color w:val="auto"/>
        </w:rPr>
      </w:pPr>
    </w:p>
    <w:p>
      <w:pPr>
        <w:jc w:val="both"/>
        <w:ind w:left="380"/>
        <w:spacing w:after="0" w:line="245" w:lineRule="auto"/>
        <w:rPr>
          <w:rFonts w:ascii="Arial" w:cs="Arial" w:eastAsia="Arial" w:hAnsi="Arial"/>
          <w:sz w:val="19"/>
          <w:szCs w:val="19"/>
          <w:b w:val="1"/>
          <w:bCs w:val="1"/>
          <w:color w:val="auto"/>
        </w:rPr>
      </w:pPr>
      <w:r>
        <w:rPr>
          <w:rFonts w:ascii="Arial" w:cs="Arial" w:eastAsia="Arial" w:hAnsi="Arial"/>
          <w:sz w:val="22"/>
          <w:szCs w:val="22"/>
          <w:color w:val="auto"/>
        </w:rPr>
        <w:t>Notes receivable from participants are measured at their unpaid principal balance plus any accrued but unpaid interest. Related fees are recorded as administrative expenses and are expensed when they are incurred. Delinquent participant loans are reclassified as distributions based upon the terms of the Plan.</w:t>
      </w:r>
    </w:p>
    <w:p>
      <w:pPr>
        <w:spacing w:after="0" w:line="195"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Payments of Benefits</w:t>
      </w:r>
    </w:p>
    <w:p>
      <w:pPr>
        <w:spacing w:after="0" w:line="100" w:lineRule="exact"/>
        <w:rPr>
          <w:rFonts w:ascii="Arial" w:cs="Arial" w:eastAsia="Arial" w:hAnsi="Arial"/>
          <w:sz w:val="19"/>
          <w:szCs w:val="19"/>
          <w:b w:val="1"/>
          <w:bCs w:val="1"/>
          <w:color w:val="auto"/>
        </w:rPr>
      </w:pPr>
    </w:p>
    <w:p>
      <w:pPr>
        <w:ind w:left="380" w:right="20"/>
        <w:spacing w:after="0" w:line="259" w:lineRule="auto"/>
        <w:rPr>
          <w:rFonts w:ascii="Arial" w:cs="Arial" w:eastAsia="Arial" w:hAnsi="Arial"/>
          <w:sz w:val="19"/>
          <w:szCs w:val="19"/>
          <w:b w:val="1"/>
          <w:bCs w:val="1"/>
          <w:color w:val="auto"/>
        </w:rPr>
      </w:pPr>
      <w:r>
        <w:rPr>
          <w:rFonts w:ascii="Arial" w:cs="Arial" w:eastAsia="Arial" w:hAnsi="Arial"/>
          <w:sz w:val="22"/>
          <w:szCs w:val="22"/>
          <w:color w:val="auto"/>
        </w:rPr>
        <w:t>Benefits are recorded upon distribution; therefore, no liability is recorded for distributions to participants who terminated during the year but have chosen to defer payments.</w:t>
      </w:r>
    </w:p>
    <w:p>
      <w:pPr>
        <w:spacing w:after="0" w:line="154"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Administrative Expenses</w:t>
      </w:r>
    </w:p>
    <w:p>
      <w:pPr>
        <w:spacing w:after="0" w:line="100" w:lineRule="exact"/>
        <w:rPr>
          <w:rFonts w:ascii="Arial" w:cs="Arial" w:eastAsia="Arial" w:hAnsi="Arial"/>
          <w:sz w:val="19"/>
          <w:szCs w:val="19"/>
          <w:b w:val="1"/>
          <w:bCs w:val="1"/>
          <w:color w:val="auto"/>
        </w:rPr>
      </w:pPr>
    </w:p>
    <w:p>
      <w:pPr>
        <w:jc w:val="both"/>
        <w:ind w:left="380"/>
        <w:spacing w:after="0"/>
        <w:rPr>
          <w:rFonts w:ascii="Arial" w:cs="Arial" w:eastAsia="Arial" w:hAnsi="Arial"/>
          <w:sz w:val="19"/>
          <w:szCs w:val="19"/>
          <w:b w:val="1"/>
          <w:bCs w:val="1"/>
          <w:color w:val="auto"/>
        </w:rPr>
      </w:pPr>
      <w:r>
        <w:rPr>
          <w:rFonts w:ascii="Arial" w:cs="Arial" w:eastAsia="Arial" w:hAnsi="Arial"/>
          <w:sz w:val="22"/>
          <w:szCs w:val="22"/>
          <w:color w:val="auto"/>
        </w:rPr>
        <w:t>The Plan's administrative expenses are paid by either the Plan or Martin Marietta Materials, Inc. (the Company), as provided by the plan document. Certain administrative functions are performed by employees of the Company. No such employee receives compensation from the Plan. Expenses relating to specific participant transactions (notes receivable and distributions) are charged directly to the participant's account.</w:t>
      </w:r>
    </w:p>
    <w:p>
      <w:pPr>
        <w:spacing w:after="0" w:line="174"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Subsequent Events</w:t>
      </w:r>
    </w:p>
    <w:p>
      <w:pPr>
        <w:spacing w:after="0" w:line="100" w:lineRule="exact"/>
        <w:rPr>
          <w:rFonts w:ascii="Arial" w:cs="Arial" w:eastAsia="Arial" w:hAnsi="Arial"/>
          <w:sz w:val="19"/>
          <w:szCs w:val="19"/>
          <w:b w:val="1"/>
          <w:bCs w:val="1"/>
          <w:color w:val="auto"/>
        </w:rPr>
      </w:pPr>
    </w:p>
    <w:p>
      <w:pPr>
        <w:ind w:left="380"/>
        <w:spacing w:after="0"/>
        <w:rPr>
          <w:rFonts w:ascii="Arial" w:cs="Arial" w:eastAsia="Arial" w:hAnsi="Arial"/>
          <w:sz w:val="19"/>
          <w:szCs w:val="19"/>
          <w:b w:val="1"/>
          <w:bCs w:val="1"/>
          <w:color w:val="auto"/>
        </w:rPr>
      </w:pPr>
      <w:r>
        <w:rPr>
          <w:rFonts w:ascii="Arial" w:cs="Arial" w:eastAsia="Arial" w:hAnsi="Arial"/>
          <w:sz w:val="22"/>
          <w:szCs w:val="22"/>
          <w:color w:val="auto"/>
        </w:rPr>
        <w:t>Plan management has evaluated subsequent events through the date of filing this Form 11-K.</w:t>
      </w:r>
    </w:p>
    <w:p>
      <w:pPr>
        <w:spacing w:after="0" w:line="31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 (continued)</w:t>
      </w:r>
    </w:p>
    <w:p>
      <w:pPr>
        <w:spacing w:after="0" w:line="200" w:lineRule="exact"/>
        <w:rPr>
          <w:sz w:val="20"/>
          <w:szCs w:val="20"/>
          <w:color w:val="auto"/>
        </w:rPr>
      </w:pPr>
    </w:p>
    <w:p>
      <w:pPr>
        <w:spacing w:after="0" w:line="24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the Plan</w:t>
      </w:r>
    </w:p>
    <w:p>
      <w:pPr>
        <w:spacing w:after="0" w:line="100" w:lineRule="exact"/>
        <w:rPr>
          <w:rFonts w:ascii="Arial" w:cs="Arial" w:eastAsia="Arial" w:hAnsi="Arial"/>
          <w:sz w:val="22"/>
          <w:szCs w:val="22"/>
          <w:b w:val="1"/>
          <w:bCs w:val="1"/>
          <w:color w:val="auto"/>
        </w:rPr>
      </w:pPr>
    </w:p>
    <w:p>
      <w:pPr>
        <w:ind w:left="380"/>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The following description of the Plan provides only general information. Participants should refer to the plan document or the summary plan description for a more complete description of the Plan’s provisions.</w:t>
      </w:r>
    </w:p>
    <w:p>
      <w:pPr>
        <w:spacing w:after="0" w:line="154" w:lineRule="exact"/>
        <w:rPr>
          <w:rFonts w:ascii="Arial" w:cs="Arial" w:eastAsia="Arial" w:hAnsi="Arial"/>
          <w:sz w:val="22"/>
          <w:szCs w:val="22"/>
          <w:b w:val="1"/>
          <w:bCs w:val="1"/>
          <w:color w:val="auto"/>
        </w:rPr>
      </w:pPr>
    </w:p>
    <w:p>
      <w:pPr>
        <w:ind w:left="3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00" w:lineRule="exact"/>
        <w:rPr>
          <w:rFonts w:ascii="Arial" w:cs="Arial" w:eastAsia="Arial" w:hAnsi="Arial"/>
          <w:sz w:val="22"/>
          <w:szCs w:val="22"/>
          <w:b w:val="1"/>
          <w:bCs w:val="1"/>
          <w:color w:val="auto"/>
        </w:rPr>
      </w:pPr>
    </w:p>
    <w:p>
      <w:pPr>
        <w:jc w:val="both"/>
        <w:ind w:left="380"/>
        <w:spacing w:after="0" w:line="255" w:lineRule="auto"/>
        <w:rPr>
          <w:rFonts w:ascii="Arial" w:cs="Arial" w:eastAsia="Arial" w:hAnsi="Arial"/>
          <w:sz w:val="22"/>
          <w:szCs w:val="22"/>
          <w:b w:val="1"/>
          <w:bCs w:val="1"/>
          <w:color w:val="auto"/>
        </w:rPr>
      </w:pPr>
      <w:r>
        <w:rPr>
          <w:rFonts w:ascii="Arial" w:cs="Arial" w:eastAsia="Arial" w:hAnsi="Arial"/>
          <w:sz w:val="21"/>
          <w:szCs w:val="21"/>
          <w:color w:val="auto"/>
        </w:rPr>
        <w:t>The Plan is a defined contribution plan providing eligible employees of the Company an opportunity to participate in an individual savings and investment program providing tax-deferred savings or tax-free growth. The Plan is subject to the provisions of the Employee Retirement Income Security Act of 1974. Fidelity Management Trust Company (Fidelity) is the Plan’s trustee and recordkeeper. The Company serves as the Plan Administrator.</w:t>
      </w:r>
    </w:p>
    <w:p>
      <w:pPr>
        <w:spacing w:after="0" w:line="53" w:lineRule="exact"/>
        <w:rPr>
          <w:rFonts w:ascii="Arial" w:cs="Arial" w:eastAsia="Arial" w:hAnsi="Arial"/>
          <w:sz w:val="22"/>
          <w:szCs w:val="22"/>
          <w:b w:val="1"/>
          <w:bCs w:val="1"/>
          <w:color w:val="auto"/>
        </w:rPr>
      </w:pPr>
    </w:p>
    <w:p>
      <w:pPr>
        <w:jc w:val="both"/>
        <w:ind w:left="380"/>
        <w:spacing w:after="0" w:line="235" w:lineRule="auto"/>
        <w:rPr>
          <w:rFonts w:ascii="Arial" w:cs="Arial" w:eastAsia="Arial" w:hAnsi="Arial"/>
          <w:sz w:val="22"/>
          <w:szCs w:val="22"/>
          <w:b w:val="1"/>
          <w:bCs w:val="1"/>
          <w:color w:val="auto"/>
        </w:rPr>
      </w:pPr>
      <w:r>
        <w:rPr>
          <w:rFonts w:ascii="Arial" w:cs="Arial" w:eastAsia="Arial" w:hAnsi="Arial"/>
          <w:sz w:val="22"/>
          <w:szCs w:val="22"/>
          <w:color w:val="auto"/>
        </w:rPr>
        <w:t>Employees are eligible to enroll in the Plan as soon as administratively possible upon hire. Participants may elect to contribute basic contributions as defined in the Plan document as the first 6% of their base pay, subject to applicable Internal Revenue Code (the Code) limitations on allowable compensation. The Company begins to match the participants’ annual basic contributions as soon as administratively possible upon hire, regardless of the type of contribution (before-tax, after-tax or Roth). The amount of the Company’s match is equal to 100% for the first percent of basic contributions and 50% of the next 5% of basic contributions. The match is credited to participant accounts each pay period. Certain participants are not eligible for the Company’s contributions, as defined by the Plan.</w:t>
      </w:r>
    </w:p>
    <w:p>
      <w:pPr>
        <w:spacing w:after="0" w:line="70" w:lineRule="exact"/>
        <w:rPr>
          <w:rFonts w:ascii="Arial" w:cs="Arial" w:eastAsia="Arial" w:hAnsi="Arial"/>
          <w:sz w:val="22"/>
          <w:szCs w:val="22"/>
          <w:b w:val="1"/>
          <w:bCs w:val="1"/>
          <w:color w:val="auto"/>
        </w:rPr>
      </w:pPr>
    </w:p>
    <w:p>
      <w:pPr>
        <w:jc w:val="both"/>
        <w:ind w:left="380"/>
        <w:spacing w:after="0"/>
        <w:rPr>
          <w:rFonts w:ascii="Arial" w:cs="Arial" w:eastAsia="Arial" w:hAnsi="Arial"/>
          <w:sz w:val="22"/>
          <w:szCs w:val="22"/>
          <w:b w:val="1"/>
          <w:bCs w:val="1"/>
          <w:color w:val="auto"/>
        </w:rPr>
      </w:pPr>
      <w:r>
        <w:rPr>
          <w:rFonts w:ascii="Arial" w:cs="Arial" w:eastAsia="Arial" w:hAnsi="Arial"/>
          <w:sz w:val="22"/>
          <w:szCs w:val="22"/>
          <w:color w:val="auto"/>
        </w:rPr>
        <w:t>Certain participants may also elect to make additional supplemental contributions, which are not considered for purposes of computing the Company’s match. A participant’s before-tax combined basic and supplemental contributions may not exceed the lesser of 25% of that participant’s base pay or $70,000 for 2025. Participants age 50 or older may make additional before-tax contributions that are not subject to the 25% Plan limit.</w:t>
      </w:r>
    </w:p>
    <w:p>
      <w:pPr>
        <w:spacing w:after="0" w:line="68" w:lineRule="exact"/>
        <w:rPr>
          <w:rFonts w:ascii="Arial" w:cs="Arial" w:eastAsia="Arial" w:hAnsi="Arial"/>
          <w:sz w:val="22"/>
          <w:szCs w:val="22"/>
          <w:b w:val="1"/>
          <w:bCs w:val="1"/>
          <w:color w:val="auto"/>
        </w:rPr>
      </w:pPr>
    </w:p>
    <w:p>
      <w:pPr>
        <w:jc w:val="both"/>
        <w:ind w:left="3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Unless an affirmative election as defined by the Plan is made, employees are automatically enrolled in the Plan and deemed to have elected to contribute 3% of base pay. The 3% contribution increases by 1% on the second January 1 after automatic enrollment begins and every January 1 thereafter until the before-tax contribution reaches 7% of base pay. Participants may make an affirmative election at any time to contribute a different amount.</w:t>
      </w:r>
    </w:p>
    <w:p>
      <w:pPr>
        <w:spacing w:after="0" w:line="28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 w:name="page10"/>
    <w:bookmarkEnd w:id="9"/>
    <w:p>
      <w:pPr>
        <w:jc w:val="center"/>
        <w:ind w:right="380"/>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Notes to Financial Statements (continued)</w:t>
      </w:r>
    </w:p>
    <w:p>
      <w:pPr>
        <w:spacing w:after="0" w:line="3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Contributions are automatically invested in a target date fund that is closest to the date the participant attains age 65, unless otherwise designated by the participant. The target date funds seek to provide investors with an appropriate level of risk and return by investing in a mix of stocks, bonds and cash. The allocation is adjusted to become more conservative (investing more in bonds and cash) as the target date approaches and the participant begins to use the funds on or around the target date. At target date, some exposure to equities is retained to continue to provide investment returns during retirement.</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Plan provides the option of making after-tax contributions up to 17% of base pay to the Plan, in addition to, or in lieu of, before-tax contributions. However, the combined amount of after-tax and before-tax contributions cannot exceed a total of 25% of base pay, subject to certain restrictions for highly compensated employees.</w:t>
      </w:r>
    </w:p>
    <w:p>
      <w:pPr>
        <w:spacing w:after="0" w:line="6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Plan also provides the option for Roth 401(k) contributions. Under this option, a participant pays the federal and state income taxes on the amount contributed at the time of contribution. Any earnings on Roth 401(k) contributions are not taxed as long as the participant’s distribution is a qualified distribution. A participant’s Roth 401(k) contributions are subject to the same limits as regular before-tax basic and supplemental contributions. Additionally, the combined amount of before-tax, after-tax and Roth 401(k) contributions cannot exceed a total of 25% of base pay, subject to certain restrictions for highly compensated employees.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Participants may change the overall percentage of their contributions in 1% increments and may change investment elections for future before-tax, after-tax, Roth 401(k) and matching contributions. In addition, participants may change the investment mix of the accumulated value of prior contributions among the investment options daily. The Plan also allows for spot transfers in which a specific dollar amount may be transferred from one investment option to another.</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563880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04" w:right="339" w:bottom="1440" w:gutter="0" w:footer="0" w:header="0"/>
        </w:sectPr>
      </w:pPr>
    </w:p>
    <w:bookmarkStart w:id="10" w:name="page11"/>
    <w:bookmarkEnd w:id="10"/>
    <w:p>
      <w:pPr>
        <w:jc w:val="center"/>
        <w:ind w:right="380"/>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Notes to Financial Statements (continued)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Merger</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Effective December 31, 2025, the Premier Magnesia LLC Savings and Profit Sharing Plan (the Premier Plan) merged into the Plan. Total assets transferred into the Plan from the Premier Plan were approximately $35,187,000.</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Options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Participants direct the investment of their accounts into the following investment options offered by the Plan: BlackRock LifePath® Portfolios Class O; BlackRock Equity Index Fund J; BlackRock Mid Cap Equity Index Fund M; BlackRock Russell 2000 Index Fund M; BlackRock US Debt Index Fund M; Galliard Stable Return Fund E; Fidelity Government Money Market Fund Class K6; Harbor Capital Appreciation CIT Class R; Dodge &amp; Cox Income Fund Class X; Vanguard International Growth Fund Admiral Shares; Vanguard Explorer Fund Admiral Shares; American Funds Washington Mutual Investors Fund Class R-6; iShares MSCI Europe, Australasia and Far East (EAFE®) International Index Fund Class K; Galliard Retirement Income Fund Class F35. Contributions, allocations and transfers to Martin Marietta Materials, Inc. Common Stock are no longer an option.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Accounts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Each participant’s account is credited with the participant’s and Company’s contributions and allocations of earnings. The participant’s account is charged with benefit payments, transaction fees related to notes receivable from participants and distributions, and an allocation of gains and losses and administrative expenses. Allocations are based on participant account balances or equally across participant accounts, as defined. The benefit to which a participant is entitled is the benefit that can be provided from the participant’s vested account.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100"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Participants are immediately 100% vested in the value of their accounts plus actual earnings thereon, including Company contributions.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Plan provides for certain participants to borrow from their own investment accounts. All loans must meet specific terms and conditions of the Plan and are subject to applicable regulations of the Code. The minimum loan amount is $1,000. The maximum loan is the lesser of 50% of the total vested account balance or $50,000 minus the highest outstanding loan balance from the past 12 months. Personal loans are available to participants in terms of up to 5 years, and primary residence loans are available for terms of up to 15 years. Such loans bear interest at a fixed rate, established upon loan request, which is equal to the Reuters prime rate plus 1%.</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548640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 (continued)</w:t>
      </w:r>
    </w:p>
    <w:p>
      <w:pPr>
        <w:spacing w:after="0" w:line="200" w:lineRule="exact"/>
        <w:rPr>
          <w:sz w:val="20"/>
          <w:szCs w:val="20"/>
          <w:color w:val="auto"/>
        </w:rPr>
      </w:pPr>
    </w:p>
    <w:p>
      <w:pPr>
        <w:spacing w:after="0" w:line="290" w:lineRule="exact"/>
        <w:rPr>
          <w:sz w:val="20"/>
          <w:szCs w:val="20"/>
          <w:color w:val="auto"/>
        </w:rPr>
      </w:pPr>
    </w:p>
    <w:p>
      <w:pPr>
        <w:jc w:val="both"/>
        <w:ind w:left="380"/>
        <w:spacing w:after="0" w:line="248" w:lineRule="auto"/>
        <w:rPr>
          <w:sz w:val="20"/>
          <w:szCs w:val="20"/>
          <w:color w:val="auto"/>
        </w:rPr>
      </w:pPr>
      <w:r>
        <w:rPr>
          <w:rFonts w:ascii="Arial" w:cs="Arial" w:eastAsia="Arial" w:hAnsi="Arial"/>
          <w:sz w:val="21"/>
          <w:szCs w:val="21"/>
          <w:color w:val="auto"/>
        </w:rPr>
        <w:t>All loans are due in full immediately upon termination of employment unless the borrower makes a timely election, under such procedures as the Plan Administrator may prescribe, to continue to make loan repayments by electronic funds transfer. In addition, the Plan provides for in-service withdrawals to participants that meet specific conditions of financial hardship, as defined in the Plan and in accordance with current specific regulations under the Code. Participants who are still working at the age of 59½ may qualify for special withdrawal rights and privileges as defined in the Plan. At December 31, 2025, interest rates on participant loans outstanding ranged from 4.00% to 10.00%. Principal and interest are repaid ratably through payroll deductions.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Payment of Benefits</w:t>
      </w:r>
    </w:p>
    <w:p>
      <w:pPr>
        <w:spacing w:after="0" w:line="100"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Upon separation from the Company due to death, disability, termination or retirement, participants may receive the full current value of their contributions and the Company’s contributions in either a lump-sum payment or various installment options as provided by the Plan. Amounts contributed on a before-tax basis may be withdrawn, without penalty, only upon demonstration of financial hardship, disability, or after the participant reaches age 59½ years. Participants eligible to receive a distribution from the Plan may elect a lump-sum payment or annual, semi-annual, quarterly or monthly installments over a period elected by the participants (subject to the Code’s required minimum distribution rules). The accounts of participants who receive installment payments remain invested in the funds indicated by the participant.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Plan Termination</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Although the Company expects to continue the Plan indefinitely, the Board of Directors of the Company may terminate the Plan for any reason at any time. If the Plan is terminated, each participant or former participant shall receive a payment equal to the value of the participant's account.</w:t>
      </w:r>
    </w:p>
    <w:p>
      <w:pPr>
        <w:spacing w:after="0" w:line="19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2"/>
          <w:szCs w:val="22"/>
          <w:b w:val="1"/>
          <w:bCs w:val="1"/>
          <w:color w:val="auto"/>
        </w:rPr>
        <w:t>Fair Value Measurements</w:t>
      </w:r>
    </w:p>
    <w:p>
      <w:pPr>
        <w:spacing w:after="0" w:line="100" w:lineRule="exact"/>
        <w:rPr>
          <w:rFonts w:ascii="Arial" w:cs="Arial" w:eastAsia="Arial" w:hAnsi="Arial"/>
          <w:sz w:val="20"/>
          <w:szCs w:val="20"/>
          <w:b w:val="1"/>
          <w:bCs w:val="1"/>
          <w:color w:val="auto"/>
        </w:rPr>
      </w:pPr>
    </w:p>
    <w:p>
      <w:pPr>
        <w:jc w:val="both"/>
        <w:ind w:left="380"/>
        <w:spacing w:after="0" w:line="238" w:lineRule="auto"/>
        <w:rPr>
          <w:rFonts w:ascii="Arial" w:cs="Arial" w:eastAsia="Arial" w:hAnsi="Arial"/>
          <w:sz w:val="20"/>
          <w:szCs w:val="20"/>
          <w:b w:val="1"/>
          <w:bCs w:val="1"/>
          <w:color w:val="auto"/>
        </w:rPr>
      </w:pPr>
      <w:r>
        <w:rPr>
          <w:rFonts w:ascii="Arial" w:cs="Arial" w:eastAsia="Arial" w:hAnsi="Arial"/>
          <w:sz w:val="22"/>
          <w:szCs w:val="22"/>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GAAP establishes a three-tier fair value hierarchy, which prioritizes the inputs used in measuring fair value. These tiers include:</w:t>
      </w:r>
    </w:p>
    <w:p>
      <w:pPr>
        <w:spacing w:after="0" w:line="176" w:lineRule="exact"/>
        <w:rPr>
          <w:rFonts w:ascii="Arial" w:cs="Arial" w:eastAsia="Arial" w:hAnsi="Arial"/>
          <w:sz w:val="20"/>
          <w:szCs w:val="20"/>
          <w:b w:val="1"/>
          <w:bCs w:val="1"/>
          <w:color w:val="auto"/>
        </w:rPr>
      </w:pPr>
    </w:p>
    <w:p>
      <w:pPr>
        <w:ind w:left="1040" w:hanging="377"/>
        <w:spacing w:after="0" w:line="258" w:lineRule="auto"/>
        <w:tabs>
          <w:tab w:leader="none" w:pos="10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Level 1: Quoted prices in active markets for identical assets or liabilities that the Plan can access at the measurement date.</w:t>
      </w:r>
    </w:p>
    <w:p>
      <w:pPr>
        <w:spacing w:after="0" w:line="49" w:lineRule="exact"/>
        <w:rPr>
          <w:rFonts w:ascii="Times New Roman" w:cs="Times New Roman" w:eastAsia="Times New Roman" w:hAnsi="Times New Roman"/>
          <w:sz w:val="22"/>
          <w:szCs w:val="22"/>
          <w:color w:val="auto"/>
        </w:rPr>
      </w:pPr>
    </w:p>
    <w:p>
      <w:pPr>
        <w:ind w:left="1040" w:hanging="377"/>
        <w:spacing w:after="0" w:line="258" w:lineRule="auto"/>
        <w:tabs>
          <w:tab w:leader="none" w:pos="10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Level 2: Inputs other than quoted prices included within Level 1 that are observable for the asset or liability, either directly or indirectly, such as:</w:t>
      </w:r>
    </w:p>
    <w:p>
      <w:pPr>
        <w:spacing w:after="0" w:line="49" w:lineRule="exact"/>
        <w:rPr>
          <w:sz w:val="20"/>
          <w:szCs w:val="20"/>
          <w:color w:val="auto"/>
        </w:rPr>
      </w:pPr>
    </w:p>
    <w:p>
      <w:pPr>
        <w:ind w:left="1500" w:hanging="369"/>
        <w:spacing w:after="0"/>
        <w:tabs>
          <w:tab w:leader="none" w:pos="150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Quoted prices for similar assets or liabilities in active markets</w:t>
      </w:r>
    </w:p>
    <w:p>
      <w:pPr>
        <w:spacing w:after="0" w:line="9" w:lineRule="exact"/>
        <w:rPr>
          <w:rFonts w:ascii="Times New Roman" w:cs="Times New Roman" w:eastAsia="Times New Roman" w:hAnsi="Times New Roman"/>
          <w:sz w:val="22"/>
          <w:szCs w:val="22"/>
          <w:color w:val="auto"/>
        </w:rPr>
      </w:pPr>
    </w:p>
    <w:p>
      <w:pPr>
        <w:ind w:left="1500" w:hanging="369"/>
        <w:spacing w:after="0" w:line="229" w:lineRule="auto"/>
        <w:tabs>
          <w:tab w:leader="none" w:pos="150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Quoted prices for identical or similar assets or liabilities in inactive markets</w:t>
      </w:r>
    </w:p>
    <w:p>
      <w:pPr>
        <w:ind w:left="1500" w:hanging="369"/>
        <w:spacing w:after="0" w:line="232" w:lineRule="auto"/>
        <w:tabs>
          <w:tab w:leader="none" w:pos="150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Inputs other than quoted prices that are observable for the asset or liability</w:t>
      </w:r>
    </w:p>
    <w:p>
      <w:pPr>
        <w:ind w:left="5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2" w:name="page13"/>
    <w:bookmarkEnd w:id="12"/>
    <w:p>
      <w:pPr>
        <w:jc w:val="center"/>
        <w:ind w:right="380"/>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Notes to Financial Statements (continued)</w:t>
      </w:r>
    </w:p>
    <w:p>
      <w:pPr>
        <w:spacing w:after="0" w:line="200" w:lineRule="exact"/>
        <w:rPr>
          <w:sz w:val="20"/>
          <w:szCs w:val="20"/>
          <w:color w:val="auto"/>
        </w:rPr>
      </w:pPr>
    </w:p>
    <w:p>
      <w:pPr>
        <w:spacing w:after="0" w:line="249" w:lineRule="exact"/>
        <w:rPr>
          <w:sz w:val="20"/>
          <w:szCs w:val="20"/>
          <w:color w:val="auto"/>
        </w:rPr>
      </w:pPr>
    </w:p>
    <w:p>
      <w:pPr>
        <w:ind w:left="1120" w:right="20" w:hanging="369"/>
        <w:spacing w:after="0" w:line="258" w:lineRule="auto"/>
        <w:tabs>
          <w:tab w:leader="none" w:pos="11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Inputs that are derived principally from or corroborated by observable market data by correlation or other means.</w:t>
      </w:r>
    </w:p>
    <w:p>
      <w:pPr>
        <w:spacing w:after="0" w:line="49" w:lineRule="exact"/>
        <w:rPr>
          <w:sz w:val="20"/>
          <w:szCs w:val="20"/>
          <w:color w:val="auto"/>
        </w:rPr>
      </w:pPr>
    </w:p>
    <w:p>
      <w:pPr>
        <w:ind w:left="660" w:right="20"/>
        <w:spacing w:after="0" w:line="259"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48" w:lineRule="exact"/>
        <w:rPr>
          <w:sz w:val="20"/>
          <w:szCs w:val="20"/>
          <w:color w:val="auto"/>
        </w:rPr>
      </w:pPr>
    </w:p>
    <w:p>
      <w:pPr>
        <w:ind w:left="660" w:hanging="377"/>
        <w:spacing w:after="0" w:line="258"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Level 3: Unobservable inputs about which little or no market data exists, therefore requiring an entity to develop its own assumptions.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Assets and liabilities are classified in their entirety based on the lowest level of input that is significant to the fair value measurement. The Plan’s assessment of the significance of a particular input to the fair value measurement requires judgment, and may affect the valuation of fair value assets and liabilities and their placement within the fair value hierarchy levels.</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is a description of the valuation methodologies used for assets measured at fair value. The methods described below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these assets could result in a different fair value measurement at the reporting date.</w:t>
      </w:r>
    </w:p>
    <w:p>
      <w:pPr>
        <w:spacing w:after="0" w:line="69" w:lineRule="exact"/>
        <w:rPr>
          <w:sz w:val="20"/>
          <w:szCs w:val="20"/>
          <w:color w:val="auto"/>
        </w:rPr>
      </w:pPr>
    </w:p>
    <w:p>
      <w:pPr>
        <w:ind w:right="1960"/>
        <w:spacing w:after="0" w:line="333" w:lineRule="auto"/>
        <w:rPr>
          <w:sz w:val="20"/>
          <w:szCs w:val="20"/>
          <w:color w:val="auto"/>
        </w:rPr>
      </w:pPr>
      <w:r>
        <w:rPr>
          <w:rFonts w:ascii="Arial" w:cs="Arial" w:eastAsia="Arial" w:hAnsi="Arial"/>
          <w:sz w:val="22"/>
          <w:szCs w:val="22"/>
          <w:color w:val="auto"/>
        </w:rPr>
        <w:t xml:space="preserve">There have been no changes in the methodologies used as of December 31, 2025 and 2024. </w:t>
      </w:r>
      <w:r>
        <w:rPr>
          <w:rFonts w:ascii="Arial" w:cs="Arial" w:eastAsia="Arial" w:hAnsi="Arial"/>
          <w:sz w:val="22"/>
          <w:szCs w:val="22"/>
          <w:i w:val="1"/>
          <w:iCs w:val="1"/>
          <w:color w:val="auto"/>
        </w:rPr>
        <w:t>Mutual funds</w:t>
      </w:r>
    </w:p>
    <w:p>
      <w:pPr>
        <w:jc w:val="both"/>
        <w:ind w:right="20"/>
        <w:spacing w:after="0" w:line="259" w:lineRule="auto"/>
        <w:rPr>
          <w:sz w:val="20"/>
          <w:szCs w:val="20"/>
          <w:color w:val="auto"/>
        </w:rPr>
      </w:pPr>
      <w:r>
        <w:rPr>
          <w:rFonts w:ascii="Arial" w:cs="Arial" w:eastAsia="Arial" w:hAnsi="Arial"/>
          <w:sz w:val="22"/>
          <w:szCs w:val="22"/>
          <w:color w:val="auto"/>
        </w:rPr>
        <w:t>Mutual funds are publicly traded investments and are valued daily at the closing price reported on the active market in which the securities are traded.</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Collective trust funds</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Most of these funds are valued at the net asset value (NAV) of units of a collective trust. The NAV, as provided by the trustee, is used as a practical expedient to estimate fair value. The NAV is based on the fair value of the underlying investments held by the fund less its liabilities. The practical expedient would not be used when it is determined to be probable that the funds will sell the investment for an amount different than the reported NAV. Participant transactions (purchases and sales) may occur daily. Collective trust funds with readily determinable fair values are classified as Level 1 assets within the fair value hierarchy because their values are based on quoted prices in active markets for identical investments.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Stable value collective trust fund</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Plan invests in a stable value collective trust fund for which quoted prices are not available in active markets for identical instruments. The NAV, as provided by the trustee, is used as a practical expedient to estimate fair value. This practical expedient would not be used if it is determined to be probable that the fund will sell the investment for an amount different from the reported NAV. Participant transactions (purchases and sales) may occur daily. If the Plan initiates a full redemption of the stable value collective trust fund, the issuer reserves the right to require a 12-month notification in order to ensure that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548640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 (continued)</w:t>
      </w:r>
    </w:p>
    <w:p>
      <w:pPr>
        <w:spacing w:after="0" w:line="200" w:lineRule="exact"/>
        <w:rPr>
          <w:sz w:val="20"/>
          <w:szCs w:val="20"/>
          <w:color w:val="auto"/>
        </w:rPr>
      </w:pPr>
    </w:p>
    <w:p>
      <w:pPr>
        <w:spacing w:after="0" w:line="357" w:lineRule="exact"/>
        <w:rPr>
          <w:sz w:val="20"/>
          <w:szCs w:val="20"/>
          <w:color w:val="auto"/>
        </w:rPr>
      </w:pPr>
    </w:p>
    <w:p>
      <w:pPr>
        <w:ind w:left="380" w:right="20"/>
        <w:spacing w:after="0" w:line="259" w:lineRule="auto"/>
        <w:rPr>
          <w:sz w:val="20"/>
          <w:szCs w:val="20"/>
          <w:color w:val="auto"/>
        </w:rPr>
      </w:pPr>
      <w:r>
        <w:rPr>
          <w:rFonts w:ascii="Arial" w:cs="Arial" w:eastAsia="Arial" w:hAnsi="Arial"/>
          <w:sz w:val="22"/>
          <w:szCs w:val="22"/>
          <w:color w:val="auto"/>
        </w:rPr>
        <w:t>securities liquidations will be carried out in an orderly business manner. The stable value collective trust fund is not required to be classified within a level on the fair value hierarchy.</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Company's Common Stock</w:t>
      </w:r>
    </w:p>
    <w:p>
      <w:pPr>
        <w:spacing w:after="0" w:line="98" w:lineRule="exact"/>
        <w:rPr>
          <w:sz w:val="20"/>
          <w:szCs w:val="20"/>
          <w:color w:val="auto"/>
        </w:rPr>
      </w:pPr>
    </w:p>
    <w:p>
      <w:pPr>
        <w:ind w:left="380" w:right="20"/>
        <w:spacing w:after="0" w:line="259" w:lineRule="auto"/>
        <w:rPr>
          <w:sz w:val="20"/>
          <w:szCs w:val="20"/>
          <w:color w:val="auto"/>
        </w:rPr>
      </w:pPr>
      <w:r>
        <w:rPr>
          <w:rFonts w:ascii="Arial" w:cs="Arial" w:eastAsia="Arial" w:hAnsi="Arial"/>
          <w:sz w:val="22"/>
          <w:szCs w:val="22"/>
          <w:color w:val="auto"/>
        </w:rPr>
        <w:t>Martin Marietta's common stock is valued at the Company's publicly reported common stock price. Participant transactions, limited to sales only, may occur daily.</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following table sets forth by level, within the fair value hierarchy, the Plan’s assets at fair value as of</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December 31: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3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2"/>
          </w:tcPr>
          <w:p>
            <w:pPr>
              <w:jc w:val="center"/>
              <w:ind w:left="972"/>
              <w:spacing w:after="0"/>
              <w:rPr>
                <w:sz w:val="20"/>
                <w:szCs w:val="20"/>
                <w:color w:val="auto"/>
              </w:rPr>
            </w:pPr>
            <w:r>
              <w:rPr>
                <w:rFonts w:ascii="Arial" w:cs="Arial" w:eastAsia="Arial" w:hAnsi="Arial"/>
                <w:sz w:val="22"/>
                <w:szCs w:val="22"/>
                <w:b w:val="1"/>
                <w:bCs w:val="1"/>
                <w:color w:val="auto"/>
                <w:w w:val="98"/>
              </w:rPr>
              <w:t>2025</w:t>
            </w:r>
          </w:p>
        </w:tc>
        <w:tc>
          <w:tcPr>
            <w:tcW w:w="1640" w:type="dxa"/>
            <w:vAlign w:val="bottom"/>
            <w:tcBorders>
              <w:bottom w:val="single" w:sz="8" w:color="auto"/>
            </w:tcBorders>
          </w:tcPr>
          <w:p>
            <w:pPr>
              <w:spacing w:after="0"/>
              <w:rPr>
                <w:sz w:val="23"/>
                <w:szCs w:val="23"/>
                <w:color w:val="auto"/>
              </w:rPr>
            </w:pPr>
          </w:p>
        </w:tc>
      </w:tr>
      <w:tr>
        <w:trPr>
          <w:trHeight w:val="237"/>
        </w:trPr>
        <w:tc>
          <w:tcPr>
            <w:tcW w:w="6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052"/>
              <w:spacing w:after="0" w:line="237" w:lineRule="exact"/>
              <w:rPr>
                <w:sz w:val="20"/>
                <w:szCs w:val="20"/>
                <w:color w:val="auto"/>
              </w:rPr>
            </w:pPr>
            <w:r>
              <w:rPr>
                <w:rFonts w:ascii="Arial" w:cs="Arial" w:eastAsia="Arial" w:hAnsi="Arial"/>
                <w:sz w:val="22"/>
                <w:szCs w:val="22"/>
                <w:b w:val="1"/>
                <w:bCs w:val="1"/>
                <w:color w:val="auto"/>
              </w:rPr>
              <w:t>Level 1</w:t>
            </w:r>
          </w:p>
        </w:tc>
        <w:tc>
          <w:tcPr>
            <w:tcW w:w="6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52"/>
              <w:spacing w:after="0" w:line="237" w:lineRule="exact"/>
              <w:rPr>
                <w:sz w:val="20"/>
                <w:szCs w:val="20"/>
                <w:color w:val="auto"/>
              </w:rPr>
            </w:pPr>
            <w:r>
              <w:rPr>
                <w:rFonts w:ascii="Arial" w:cs="Arial" w:eastAsia="Arial" w:hAnsi="Arial"/>
                <w:sz w:val="22"/>
                <w:szCs w:val="22"/>
                <w:b w:val="1"/>
                <w:bCs w:val="1"/>
                <w:color w:val="auto"/>
              </w:rPr>
              <w:t>Total</w:t>
            </w:r>
          </w:p>
        </w:tc>
      </w:tr>
      <w:tr>
        <w:trPr>
          <w:trHeight w:val="236"/>
        </w:trPr>
        <w:tc>
          <w:tcPr>
            <w:tcW w:w="6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80" w:type="dxa"/>
            <w:vAlign w:val="bottom"/>
            <w:gridSpan w:val="2"/>
          </w:tcPr>
          <w:p>
            <w:pPr>
              <w:jc w:val="center"/>
              <w:ind w:left="992"/>
              <w:spacing w:after="0" w:line="237" w:lineRule="exact"/>
              <w:rPr>
                <w:sz w:val="20"/>
                <w:szCs w:val="20"/>
                <w:color w:val="auto"/>
              </w:rPr>
            </w:pPr>
            <w:r>
              <w:rPr>
                <w:rFonts w:ascii="Arial" w:cs="Arial" w:eastAsia="Arial" w:hAnsi="Arial"/>
                <w:sz w:val="22"/>
                <w:szCs w:val="22"/>
                <w:i w:val="1"/>
                <w:iCs w:val="1"/>
                <w:color w:val="auto"/>
                <w:w w:val="98"/>
              </w:rPr>
              <w:t>(In Thousands)</w:t>
            </w:r>
          </w:p>
        </w:tc>
        <w:tc>
          <w:tcPr>
            <w:tcW w:w="1640" w:type="dxa"/>
            <w:vAlign w:val="bottom"/>
          </w:tcPr>
          <w:p>
            <w:pPr>
              <w:spacing w:after="0"/>
              <w:rPr>
                <w:sz w:val="20"/>
                <w:szCs w:val="20"/>
                <w:color w:val="auto"/>
              </w:rPr>
            </w:pPr>
          </w:p>
        </w:tc>
      </w:tr>
      <w:tr>
        <w:trPr>
          <w:trHeight w:val="243"/>
        </w:trPr>
        <w:tc>
          <w:tcPr>
            <w:tcW w:w="630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Common stock</w:t>
            </w:r>
          </w:p>
        </w:tc>
        <w:tc>
          <w:tcPr>
            <w:tcW w:w="420" w:type="dxa"/>
            <w:vAlign w:val="bottom"/>
            <w:shd w:val="clear" w:color="auto" w:fill="CFF0FC"/>
          </w:tcPr>
          <w:p>
            <w:pPr>
              <w:jc w:val="right"/>
              <w:ind w:right="192"/>
              <w:spacing w:after="0" w:line="243" w:lineRule="exact"/>
              <w:rPr>
                <w:sz w:val="20"/>
                <w:szCs w:val="20"/>
                <w:color w:val="auto"/>
              </w:rPr>
            </w:pPr>
            <w:r>
              <w:rPr>
                <w:rFonts w:ascii="Arial" w:cs="Arial" w:eastAsia="Arial" w:hAnsi="Arial"/>
                <w:sz w:val="22"/>
                <w:szCs w:val="22"/>
                <w:b w:val="1"/>
                <w:bCs w:val="1"/>
                <w:color w:val="auto"/>
                <w:w w:val="81"/>
              </w:rPr>
              <w:t>$</w:t>
            </w:r>
          </w:p>
        </w:tc>
        <w:tc>
          <w:tcPr>
            <w:tcW w:w="2200" w:type="dxa"/>
            <w:vAlign w:val="bottom"/>
            <w:shd w:val="clear" w:color="auto" w:fill="CFF0FC"/>
          </w:tcPr>
          <w:p>
            <w:pPr>
              <w:jc w:val="right"/>
              <w:ind w:right="312"/>
              <w:spacing w:after="0" w:line="243" w:lineRule="exact"/>
              <w:rPr>
                <w:sz w:val="20"/>
                <w:szCs w:val="20"/>
                <w:color w:val="auto"/>
              </w:rPr>
            </w:pPr>
            <w:r>
              <w:rPr>
                <w:rFonts w:ascii="Arial" w:cs="Arial" w:eastAsia="Arial" w:hAnsi="Arial"/>
                <w:sz w:val="22"/>
                <w:szCs w:val="22"/>
                <w:b w:val="1"/>
                <w:bCs w:val="1"/>
                <w:color w:val="auto"/>
              </w:rPr>
              <w:t>60,667</w:t>
            </w:r>
          </w:p>
        </w:tc>
        <w:tc>
          <w:tcPr>
            <w:tcW w:w="680" w:type="dxa"/>
            <w:vAlign w:val="bottom"/>
            <w:shd w:val="clear" w:color="auto" w:fill="CFF0FC"/>
          </w:tcPr>
          <w:p>
            <w:pPr>
              <w:jc w:val="right"/>
              <w:ind w:right="452"/>
              <w:spacing w:after="0" w:line="243" w:lineRule="exact"/>
              <w:rPr>
                <w:sz w:val="20"/>
                <w:szCs w:val="20"/>
                <w:color w:val="auto"/>
              </w:rPr>
            </w:pPr>
            <w:r>
              <w:rPr>
                <w:rFonts w:ascii="Arial" w:cs="Arial" w:eastAsia="Arial" w:hAnsi="Arial"/>
                <w:sz w:val="22"/>
                <w:szCs w:val="22"/>
                <w:b w:val="1"/>
                <w:bCs w:val="1"/>
                <w:color w:val="auto"/>
                <w:w w:val="81"/>
              </w:rPr>
              <w:t>$</w:t>
            </w:r>
          </w:p>
        </w:tc>
        <w:tc>
          <w:tcPr>
            <w:tcW w:w="1640" w:type="dxa"/>
            <w:vAlign w:val="bottom"/>
            <w:shd w:val="clear" w:color="auto" w:fill="CFF0FC"/>
          </w:tcPr>
          <w:p>
            <w:pPr>
              <w:jc w:val="right"/>
              <w:ind w:right="12"/>
              <w:spacing w:after="0" w:line="243" w:lineRule="exact"/>
              <w:rPr>
                <w:sz w:val="20"/>
                <w:szCs w:val="20"/>
                <w:color w:val="auto"/>
              </w:rPr>
            </w:pPr>
            <w:r>
              <w:rPr>
                <w:rFonts w:ascii="Arial" w:cs="Arial" w:eastAsia="Arial" w:hAnsi="Arial"/>
                <w:sz w:val="22"/>
                <w:szCs w:val="22"/>
                <w:b w:val="1"/>
                <w:bCs w:val="1"/>
                <w:color w:val="auto"/>
              </w:rPr>
              <w:t>60,667</w:t>
            </w:r>
          </w:p>
        </w:tc>
      </w:tr>
      <w:tr>
        <w:trPr>
          <w:trHeight w:val="243"/>
        </w:trPr>
        <w:tc>
          <w:tcPr>
            <w:tcW w:w="6300" w:type="dxa"/>
            <w:vAlign w:val="bottom"/>
          </w:tcPr>
          <w:p>
            <w:pPr>
              <w:spacing w:after="0" w:line="243" w:lineRule="exact"/>
              <w:rPr>
                <w:sz w:val="20"/>
                <w:szCs w:val="20"/>
                <w:color w:val="auto"/>
              </w:rPr>
            </w:pPr>
            <w:r>
              <w:rPr>
                <w:rFonts w:ascii="Arial" w:cs="Arial" w:eastAsia="Arial" w:hAnsi="Arial"/>
                <w:sz w:val="22"/>
                <w:szCs w:val="22"/>
                <w:color w:val="auto"/>
              </w:rPr>
              <w:t>Mutual funds</w:t>
            </w:r>
          </w:p>
        </w:tc>
        <w:tc>
          <w:tcPr>
            <w:tcW w:w="420" w:type="dxa"/>
            <w:vAlign w:val="bottom"/>
          </w:tcPr>
          <w:p>
            <w:pPr>
              <w:spacing w:after="0"/>
              <w:rPr>
                <w:sz w:val="21"/>
                <w:szCs w:val="21"/>
                <w:color w:val="auto"/>
              </w:rPr>
            </w:pPr>
          </w:p>
        </w:tc>
        <w:tc>
          <w:tcPr>
            <w:tcW w:w="2200" w:type="dxa"/>
            <w:vAlign w:val="bottom"/>
          </w:tcPr>
          <w:p>
            <w:pPr>
              <w:jc w:val="right"/>
              <w:ind w:right="312"/>
              <w:spacing w:after="0" w:line="243" w:lineRule="exact"/>
              <w:rPr>
                <w:sz w:val="20"/>
                <w:szCs w:val="20"/>
                <w:color w:val="auto"/>
              </w:rPr>
            </w:pPr>
            <w:r>
              <w:rPr>
                <w:rFonts w:ascii="Arial" w:cs="Arial" w:eastAsia="Arial" w:hAnsi="Arial"/>
                <w:sz w:val="22"/>
                <w:szCs w:val="22"/>
                <w:b w:val="1"/>
                <w:bCs w:val="1"/>
                <w:color w:val="auto"/>
              </w:rPr>
              <w:t>141,373</w:t>
            </w:r>
          </w:p>
        </w:tc>
        <w:tc>
          <w:tcPr>
            <w:tcW w:w="680" w:type="dxa"/>
            <w:vAlign w:val="bottom"/>
          </w:tcPr>
          <w:p>
            <w:pPr>
              <w:spacing w:after="0"/>
              <w:rPr>
                <w:sz w:val="21"/>
                <w:szCs w:val="21"/>
                <w:color w:val="auto"/>
              </w:rPr>
            </w:pPr>
          </w:p>
        </w:tc>
        <w:tc>
          <w:tcPr>
            <w:tcW w:w="1640" w:type="dxa"/>
            <w:vAlign w:val="bottom"/>
          </w:tcPr>
          <w:p>
            <w:pPr>
              <w:jc w:val="right"/>
              <w:ind w:right="12"/>
              <w:spacing w:after="0" w:line="243" w:lineRule="exact"/>
              <w:rPr>
                <w:sz w:val="20"/>
                <w:szCs w:val="20"/>
                <w:color w:val="auto"/>
              </w:rPr>
            </w:pPr>
            <w:r>
              <w:rPr>
                <w:rFonts w:ascii="Arial" w:cs="Arial" w:eastAsia="Arial" w:hAnsi="Arial"/>
                <w:sz w:val="22"/>
                <w:szCs w:val="22"/>
                <w:b w:val="1"/>
                <w:bCs w:val="1"/>
                <w:color w:val="auto"/>
              </w:rPr>
              <w:t>141,373</w:t>
            </w:r>
          </w:p>
        </w:tc>
      </w:tr>
      <w:tr>
        <w:trPr>
          <w:trHeight w:val="243"/>
        </w:trPr>
        <w:tc>
          <w:tcPr>
            <w:tcW w:w="630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Collective trust fund</w:t>
            </w:r>
          </w:p>
        </w:tc>
        <w:tc>
          <w:tcPr>
            <w:tcW w:w="420" w:type="dxa"/>
            <w:vAlign w:val="bottom"/>
            <w:shd w:val="clear" w:color="auto" w:fill="CFF0FC"/>
          </w:tcPr>
          <w:p>
            <w:pPr>
              <w:spacing w:after="0"/>
              <w:rPr>
                <w:sz w:val="21"/>
                <w:szCs w:val="21"/>
                <w:color w:val="auto"/>
              </w:rPr>
            </w:pPr>
          </w:p>
        </w:tc>
        <w:tc>
          <w:tcPr>
            <w:tcW w:w="2200" w:type="dxa"/>
            <w:vAlign w:val="bottom"/>
            <w:shd w:val="clear" w:color="auto" w:fill="CFF0FC"/>
          </w:tcPr>
          <w:p>
            <w:pPr>
              <w:jc w:val="right"/>
              <w:ind w:right="312"/>
              <w:spacing w:after="0" w:line="243" w:lineRule="exact"/>
              <w:rPr>
                <w:sz w:val="20"/>
                <w:szCs w:val="20"/>
                <w:color w:val="auto"/>
              </w:rPr>
            </w:pPr>
            <w:r>
              <w:rPr>
                <w:rFonts w:ascii="Arial" w:cs="Arial" w:eastAsia="Arial" w:hAnsi="Arial"/>
                <w:sz w:val="22"/>
                <w:szCs w:val="22"/>
                <w:b w:val="1"/>
                <w:bCs w:val="1"/>
                <w:color w:val="auto"/>
              </w:rPr>
              <w:t>346</w:t>
            </w:r>
          </w:p>
        </w:tc>
        <w:tc>
          <w:tcPr>
            <w:tcW w:w="6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12"/>
              <w:spacing w:after="0" w:line="243" w:lineRule="exact"/>
              <w:rPr>
                <w:sz w:val="20"/>
                <w:szCs w:val="20"/>
                <w:color w:val="auto"/>
              </w:rPr>
            </w:pPr>
            <w:r>
              <w:rPr>
                <w:rFonts w:ascii="Arial" w:cs="Arial" w:eastAsia="Arial" w:hAnsi="Arial"/>
                <w:sz w:val="22"/>
                <w:szCs w:val="22"/>
                <w:b w:val="1"/>
                <w:bCs w:val="1"/>
                <w:color w:val="auto"/>
              </w:rPr>
              <w:t>346</w:t>
            </w:r>
          </w:p>
        </w:tc>
      </w:tr>
      <w:tr>
        <w:trPr>
          <w:trHeight w:val="243"/>
        </w:trPr>
        <w:tc>
          <w:tcPr>
            <w:tcW w:w="6300" w:type="dxa"/>
            <w:vAlign w:val="bottom"/>
          </w:tcPr>
          <w:p>
            <w:pPr>
              <w:spacing w:after="0" w:line="243" w:lineRule="exact"/>
              <w:rPr>
                <w:sz w:val="20"/>
                <w:szCs w:val="20"/>
                <w:color w:val="auto"/>
              </w:rPr>
            </w:pPr>
            <w:r>
              <w:rPr>
                <w:rFonts w:ascii="Arial" w:cs="Arial" w:eastAsia="Arial" w:hAnsi="Arial"/>
                <w:sz w:val="22"/>
                <w:szCs w:val="22"/>
                <w:color w:val="auto"/>
              </w:rPr>
              <w:t xml:space="preserve">Investments measured at NAV </w:t>
            </w:r>
            <w:r>
              <w:rPr>
                <w:rFonts w:ascii="Arial" w:cs="Arial" w:eastAsia="Arial" w:hAnsi="Arial"/>
                <w:sz w:val="28"/>
                <w:szCs w:val="28"/>
                <w:color w:val="auto"/>
                <w:vertAlign w:val="superscript"/>
              </w:rPr>
              <w:t>(a)</w:t>
            </w:r>
          </w:p>
        </w:tc>
        <w:tc>
          <w:tcPr>
            <w:tcW w:w="4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b w:val="1"/>
                <w:bCs w:val="1"/>
                <w:color w:val="auto"/>
              </w:rPr>
              <w:t>838,960</w:t>
            </w:r>
          </w:p>
        </w:tc>
      </w:tr>
      <w:tr>
        <w:trPr>
          <w:trHeight w:val="277"/>
        </w:trPr>
        <w:tc>
          <w:tcPr>
            <w:tcW w:w="6300" w:type="dxa"/>
            <w:vAlign w:val="bottom"/>
            <w:tcBorders>
              <w:bottom w:val="single" w:sz="8" w:color="CFF0FC"/>
            </w:tcBorders>
            <w:shd w:val="clear" w:color="auto" w:fill="CFF0FC"/>
          </w:tcPr>
          <w:p>
            <w:pPr>
              <w:spacing w:after="0" w:line="237" w:lineRule="exact"/>
              <w:rPr>
                <w:sz w:val="20"/>
                <w:szCs w:val="20"/>
                <w:color w:val="auto"/>
              </w:rPr>
            </w:pPr>
            <w:r>
              <w:rPr>
                <w:rFonts w:ascii="Arial" w:cs="Arial" w:eastAsia="Arial" w:hAnsi="Arial"/>
                <w:sz w:val="22"/>
                <w:szCs w:val="22"/>
                <w:color w:val="auto"/>
              </w:rPr>
              <w:t>Total</w:t>
            </w:r>
          </w:p>
        </w:tc>
        <w:tc>
          <w:tcPr>
            <w:tcW w:w="42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52"/>
              <w:spacing w:after="0" w:line="237" w:lineRule="exact"/>
              <w:rPr>
                <w:sz w:val="20"/>
                <w:szCs w:val="20"/>
                <w:color w:val="auto"/>
              </w:rPr>
            </w:pPr>
            <w:r>
              <w:rPr>
                <w:rFonts w:ascii="Arial" w:cs="Arial" w:eastAsia="Arial" w:hAnsi="Arial"/>
                <w:sz w:val="22"/>
                <w:szCs w:val="22"/>
                <w:b w:val="1"/>
                <w:bCs w:val="1"/>
                <w:color w:val="auto"/>
                <w:w w:val="81"/>
              </w:rPr>
              <w:t>$</w:t>
            </w:r>
          </w:p>
        </w:tc>
        <w:tc>
          <w:tcPr>
            <w:tcW w:w="1640" w:type="dxa"/>
            <w:vAlign w:val="bottom"/>
            <w:tcBorders>
              <w:bottom w:val="single" w:sz="8" w:color="auto"/>
            </w:tcBorders>
            <w:shd w:val="clear" w:color="auto" w:fill="CFF0FC"/>
          </w:tcPr>
          <w:p>
            <w:pPr>
              <w:jc w:val="right"/>
              <w:ind w:right="12"/>
              <w:spacing w:after="0" w:line="237" w:lineRule="exact"/>
              <w:rPr>
                <w:sz w:val="20"/>
                <w:szCs w:val="20"/>
                <w:color w:val="auto"/>
              </w:rPr>
            </w:pPr>
            <w:r>
              <w:rPr>
                <w:rFonts w:ascii="Arial" w:cs="Arial" w:eastAsia="Arial" w:hAnsi="Arial"/>
                <w:sz w:val="22"/>
                <w:szCs w:val="22"/>
                <w:b w:val="1"/>
                <w:bCs w:val="1"/>
                <w:color w:val="auto"/>
              </w:rPr>
              <w:t>1,041,346</w:t>
            </w:r>
          </w:p>
        </w:tc>
      </w:tr>
      <w:tr>
        <w:trPr>
          <w:trHeight w:val="466"/>
        </w:trPr>
        <w:tc>
          <w:tcPr>
            <w:tcW w:w="6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left="972"/>
              <w:spacing w:after="0"/>
              <w:rPr>
                <w:sz w:val="20"/>
                <w:szCs w:val="20"/>
                <w:color w:val="auto"/>
              </w:rPr>
            </w:pPr>
            <w:r>
              <w:rPr>
                <w:rFonts w:ascii="Arial" w:cs="Arial" w:eastAsia="Arial" w:hAnsi="Arial"/>
                <w:sz w:val="22"/>
                <w:szCs w:val="22"/>
                <w:color w:val="auto"/>
                <w:w w:val="98"/>
              </w:rPr>
              <w:t>2024</w:t>
            </w:r>
          </w:p>
        </w:tc>
        <w:tc>
          <w:tcPr>
            <w:tcW w:w="1640" w:type="dxa"/>
            <w:vAlign w:val="bottom"/>
            <w:tcBorders>
              <w:bottom w:val="single" w:sz="8" w:color="auto"/>
            </w:tcBorders>
          </w:tcPr>
          <w:p>
            <w:pPr>
              <w:spacing w:after="0"/>
              <w:rPr>
                <w:sz w:val="24"/>
                <w:szCs w:val="24"/>
                <w:color w:val="auto"/>
              </w:rPr>
            </w:pPr>
          </w:p>
        </w:tc>
      </w:tr>
      <w:tr>
        <w:trPr>
          <w:trHeight w:val="237"/>
        </w:trPr>
        <w:tc>
          <w:tcPr>
            <w:tcW w:w="6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072"/>
              <w:spacing w:after="0" w:line="237" w:lineRule="exact"/>
              <w:rPr>
                <w:sz w:val="20"/>
                <w:szCs w:val="20"/>
                <w:color w:val="auto"/>
              </w:rPr>
            </w:pPr>
            <w:r>
              <w:rPr>
                <w:rFonts w:ascii="Arial" w:cs="Arial" w:eastAsia="Arial" w:hAnsi="Arial"/>
                <w:sz w:val="22"/>
                <w:szCs w:val="22"/>
                <w:color w:val="auto"/>
              </w:rPr>
              <w:t>Level 1</w:t>
            </w:r>
          </w:p>
        </w:tc>
        <w:tc>
          <w:tcPr>
            <w:tcW w:w="6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72"/>
              <w:spacing w:after="0" w:line="237" w:lineRule="exact"/>
              <w:rPr>
                <w:sz w:val="20"/>
                <w:szCs w:val="20"/>
                <w:color w:val="auto"/>
              </w:rPr>
            </w:pPr>
            <w:r>
              <w:rPr>
                <w:rFonts w:ascii="Arial" w:cs="Arial" w:eastAsia="Arial" w:hAnsi="Arial"/>
                <w:sz w:val="22"/>
                <w:szCs w:val="22"/>
                <w:color w:val="auto"/>
              </w:rPr>
              <w:t>Total</w:t>
            </w:r>
          </w:p>
        </w:tc>
      </w:tr>
      <w:tr>
        <w:trPr>
          <w:trHeight w:val="236"/>
        </w:trPr>
        <w:tc>
          <w:tcPr>
            <w:tcW w:w="6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jc w:val="center"/>
              <w:ind w:left="992"/>
              <w:spacing w:after="0" w:line="237" w:lineRule="exact"/>
              <w:rPr>
                <w:sz w:val="20"/>
                <w:szCs w:val="20"/>
                <w:color w:val="auto"/>
              </w:rPr>
            </w:pPr>
            <w:r>
              <w:rPr>
                <w:rFonts w:ascii="Arial" w:cs="Arial" w:eastAsia="Arial" w:hAnsi="Arial"/>
                <w:sz w:val="22"/>
                <w:szCs w:val="22"/>
                <w:i w:val="1"/>
                <w:iCs w:val="1"/>
                <w:color w:val="auto"/>
                <w:w w:val="98"/>
              </w:rPr>
              <w:t>(In Thousands)</w:t>
            </w:r>
          </w:p>
        </w:tc>
        <w:tc>
          <w:tcPr>
            <w:tcW w:w="1640" w:type="dxa"/>
            <w:vAlign w:val="bottom"/>
            <w:shd w:val="clear" w:color="auto" w:fill="CFF0FC"/>
          </w:tcPr>
          <w:p>
            <w:pPr>
              <w:spacing w:after="0"/>
              <w:rPr>
                <w:sz w:val="20"/>
                <w:szCs w:val="20"/>
                <w:color w:val="auto"/>
              </w:rPr>
            </w:pPr>
          </w:p>
        </w:tc>
      </w:tr>
      <w:tr>
        <w:trPr>
          <w:trHeight w:val="243"/>
        </w:trPr>
        <w:tc>
          <w:tcPr>
            <w:tcW w:w="630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42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1"/>
              </w:rPr>
              <w:t>$</w:t>
            </w:r>
          </w:p>
        </w:tc>
        <w:tc>
          <w:tcPr>
            <w:tcW w:w="2200" w:type="dxa"/>
            <w:vAlign w:val="bottom"/>
          </w:tcPr>
          <w:p>
            <w:pPr>
              <w:jc w:val="right"/>
              <w:ind w:right="312"/>
              <w:spacing w:after="0" w:line="243" w:lineRule="exact"/>
              <w:rPr>
                <w:sz w:val="20"/>
                <w:szCs w:val="20"/>
                <w:color w:val="auto"/>
              </w:rPr>
            </w:pPr>
            <w:r>
              <w:rPr>
                <w:rFonts w:ascii="Arial" w:cs="Arial" w:eastAsia="Arial" w:hAnsi="Arial"/>
                <w:sz w:val="22"/>
                <w:szCs w:val="22"/>
                <w:color w:val="auto"/>
              </w:rPr>
              <w:t>56,373</w:t>
            </w:r>
          </w:p>
        </w:tc>
        <w:tc>
          <w:tcPr>
            <w:tcW w:w="6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81"/>
              </w:rPr>
              <w:t>$</w:t>
            </w:r>
          </w:p>
        </w:tc>
        <w:tc>
          <w:tcPr>
            <w:tcW w:w="16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56,373</w:t>
            </w:r>
          </w:p>
        </w:tc>
      </w:tr>
      <w:tr>
        <w:trPr>
          <w:trHeight w:val="243"/>
        </w:trPr>
        <w:tc>
          <w:tcPr>
            <w:tcW w:w="630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Mutual funds</w:t>
            </w:r>
          </w:p>
        </w:tc>
        <w:tc>
          <w:tcPr>
            <w:tcW w:w="420" w:type="dxa"/>
            <w:vAlign w:val="bottom"/>
            <w:shd w:val="clear" w:color="auto" w:fill="CFF0FC"/>
          </w:tcPr>
          <w:p>
            <w:pPr>
              <w:spacing w:after="0"/>
              <w:rPr>
                <w:sz w:val="21"/>
                <w:szCs w:val="21"/>
                <w:color w:val="auto"/>
              </w:rPr>
            </w:pPr>
          </w:p>
        </w:tc>
        <w:tc>
          <w:tcPr>
            <w:tcW w:w="2200" w:type="dxa"/>
            <w:vAlign w:val="bottom"/>
            <w:shd w:val="clear" w:color="auto" w:fill="CFF0FC"/>
          </w:tcPr>
          <w:p>
            <w:pPr>
              <w:jc w:val="right"/>
              <w:ind w:right="312"/>
              <w:spacing w:after="0" w:line="243" w:lineRule="exact"/>
              <w:rPr>
                <w:sz w:val="20"/>
                <w:szCs w:val="20"/>
                <w:color w:val="auto"/>
              </w:rPr>
            </w:pPr>
            <w:r>
              <w:rPr>
                <w:rFonts w:ascii="Arial" w:cs="Arial" w:eastAsia="Arial" w:hAnsi="Arial"/>
                <w:sz w:val="22"/>
                <w:szCs w:val="22"/>
                <w:color w:val="auto"/>
              </w:rPr>
              <w:t>128,266</w:t>
            </w:r>
          </w:p>
        </w:tc>
        <w:tc>
          <w:tcPr>
            <w:tcW w:w="6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12"/>
              <w:spacing w:after="0" w:line="243" w:lineRule="exact"/>
              <w:rPr>
                <w:sz w:val="20"/>
                <w:szCs w:val="20"/>
                <w:color w:val="auto"/>
              </w:rPr>
            </w:pPr>
            <w:r>
              <w:rPr>
                <w:rFonts w:ascii="Arial" w:cs="Arial" w:eastAsia="Arial" w:hAnsi="Arial"/>
                <w:sz w:val="22"/>
                <w:szCs w:val="22"/>
                <w:color w:val="auto"/>
              </w:rPr>
              <w:t>128,266</w:t>
            </w:r>
          </w:p>
        </w:tc>
      </w:tr>
      <w:tr>
        <w:trPr>
          <w:trHeight w:val="243"/>
        </w:trPr>
        <w:tc>
          <w:tcPr>
            <w:tcW w:w="6300" w:type="dxa"/>
            <w:vAlign w:val="bottom"/>
          </w:tcPr>
          <w:p>
            <w:pPr>
              <w:spacing w:after="0" w:line="243" w:lineRule="exact"/>
              <w:rPr>
                <w:sz w:val="20"/>
                <w:szCs w:val="20"/>
                <w:color w:val="auto"/>
              </w:rPr>
            </w:pPr>
            <w:r>
              <w:rPr>
                <w:rFonts w:ascii="Arial" w:cs="Arial" w:eastAsia="Arial" w:hAnsi="Arial"/>
                <w:sz w:val="22"/>
                <w:szCs w:val="22"/>
                <w:color w:val="auto"/>
              </w:rPr>
              <w:t xml:space="preserve">Investments measured at NAV </w:t>
            </w:r>
            <w:r>
              <w:rPr>
                <w:rFonts w:ascii="Arial" w:cs="Arial" w:eastAsia="Arial" w:hAnsi="Arial"/>
                <w:sz w:val="28"/>
                <w:szCs w:val="28"/>
                <w:color w:val="auto"/>
                <w:vertAlign w:val="superscript"/>
              </w:rPr>
              <w:t>(a)</w:t>
            </w:r>
          </w:p>
        </w:tc>
        <w:tc>
          <w:tcPr>
            <w:tcW w:w="4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693,656</w:t>
            </w:r>
          </w:p>
        </w:tc>
      </w:tr>
      <w:tr>
        <w:trPr>
          <w:trHeight w:val="276"/>
        </w:trPr>
        <w:tc>
          <w:tcPr>
            <w:tcW w:w="6300" w:type="dxa"/>
            <w:vAlign w:val="bottom"/>
            <w:tcBorders>
              <w:bottom w:val="single" w:sz="8" w:color="CFF0FC"/>
            </w:tcBorders>
            <w:shd w:val="clear" w:color="auto" w:fill="CFF0FC"/>
          </w:tcPr>
          <w:p>
            <w:pPr>
              <w:spacing w:after="0" w:line="237" w:lineRule="exact"/>
              <w:rPr>
                <w:sz w:val="20"/>
                <w:szCs w:val="20"/>
                <w:color w:val="auto"/>
              </w:rPr>
            </w:pPr>
            <w:r>
              <w:rPr>
                <w:rFonts w:ascii="Arial" w:cs="Arial" w:eastAsia="Arial" w:hAnsi="Arial"/>
                <w:sz w:val="22"/>
                <w:szCs w:val="22"/>
                <w:color w:val="auto"/>
              </w:rPr>
              <w:t>Total</w:t>
            </w:r>
          </w:p>
        </w:tc>
        <w:tc>
          <w:tcPr>
            <w:tcW w:w="42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52"/>
              <w:spacing w:after="0" w:line="237" w:lineRule="exact"/>
              <w:rPr>
                <w:sz w:val="20"/>
                <w:szCs w:val="20"/>
                <w:color w:val="auto"/>
              </w:rPr>
            </w:pPr>
            <w:r>
              <w:rPr>
                <w:rFonts w:ascii="Arial" w:cs="Arial" w:eastAsia="Arial" w:hAnsi="Arial"/>
                <w:sz w:val="22"/>
                <w:szCs w:val="22"/>
                <w:color w:val="auto"/>
                <w:w w:val="81"/>
              </w:rPr>
              <w:t>$</w:t>
            </w:r>
          </w:p>
        </w:tc>
        <w:tc>
          <w:tcPr>
            <w:tcW w:w="1640" w:type="dxa"/>
            <w:vAlign w:val="bottom"/>
            <w:tcBorders>
              <w:bottom w:val="single" w:sz="8" w:color="auto"/>
            </w:tcBorders>
            <w:shd w:val="clear" w:color="auto" w:fill="CFF0FC"/>
          </w:tcPr>
          <w:p>
            <w:pPr>
              <w:jc w:val="right"/>
              <w:ind w:right="12"/>
              <w:spacing w:after="0" w:line="237" w:lineRule="exact"/>
              <w:rPr>
                <w:sz w:val="20"/>
                <w:szCs w:val="20"/>
                <w:color w:val="auto"/>
              </w:rPr>
            </w:pPr>
            <w:r>
              <w:rPr>
                <w:rFonts w:ascii="Arial" w:cs="Arial" w:eastAsia="Arial" w:hAnsi="Arial"/>
                <w:sz w:val="22"/>
                <w:szCs w:val="22"/>
                <w:color w:val="auto"/>
              </w:rPr>
              <w:t>878,295</w:t>
            </w:r>
          </w:p>
        </w:tc>
      </w:tr>
    </w:tbl>
    <w:p>
      <w:pPr>
        <w:spacing w:after="0" w:line="325" w:lineRule="exact"/>
        <w:rPr>
          <w:sz w:val="20"/>
          <w:szCs w:val="20"/>
          <w:color w:val="auto"/>
        </w:rPr>
      </w:pPr>
    </w:p>
    <w:p>
      <w:pPr>
        <w:jc w:val="both"/>
        <w:ind w:left="380" w:hanging="372"/>
        <w:spacing w:after="0" w:line="222" w:lineRule="auto"/>
        <w:tabs>
          <w:tab w:leader="none" w:pos="380" w:val="left"/>
        </w:tabs>
        <w:numPr>
          <w:ilvl w:val="0"/>
          <w:numId w:val="9"/>
        </w:numPr>
        <w:rPr>
          <w:rFonts w:ascii="Arial" w:cs="Arial" w:eastAsia="Arial" w:hAnsi="Arial"/>
          <w:sz w:val="29"/>
          <w:szCs w:val="29"/>
          <w:color w:val="auto"/>
          <w:vertAlign w:val="superscript"/>
        </w:rPr>
      </w:pPr>
      <w:r>
        <w:rPr>
          <w:rFonts w:ascii="Arial" w:cs="Arial" w:eastAsia="Arial" w:hAnsi="Arial"/>
          <w:sz w:val="22"/>
          <w:szCs w:val="22"/>
          <w:color w:val="auto"/>
        </w:rPr>
        <w:t>In accordance with GAAP,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00" w:lineRule="exact"/>
        <w:rPr>
          <w:sz w:val="20"/>
          <w:szCs w:val="20"/>
          <w:color w:val="auto"/>
        </w:rPr>
      </w:pPr>
    </w:p>
    <w:p>
      <w:pPr>
        <w:spacing w:after="0" w:line="30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 (continued)</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21"/>
          <w:szCs w:val="21"/>
          <w:color w:val="auto"/>
        </w:rPr>
        <w:t>The following table sets forth a summary of the Plan’s investment funds with a reported estimated fair value using</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NAV per share at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Fair Value</w:t>
            </w: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Other</w:t>
            </w: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Redemption</w:t>
            </w: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301"/>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Unfunded</w:t>
            </w: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Redemption</w:t>
            </w:r>
          </w:p>
        </w:tc>
        <w:tc>
          <w:tcPr>
            <w:tcW w:w="12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21"/>
              <w:spacing w:after="0" w:line="199" w:lineRule="exact"/>
              <w:rPr>
                <w:sz w:val="20"/>
                <w:szCs w:val="20"/>
                <w:color w:val="auto"/>
              </w:rPr>
            </w:pPr>
            <w:r>
              <w:rPr>
                <w:rFonts w:ascii="Arial" w:cs="Arial" w:eastAsia="Arial" w:hAnsi="Arial"/>
                <w:sz w:val="20"/>
                <w:szCs w:val="20"/>
                <w:color w:val="auto"/>
              </w:rPr>
              <w:t>2024</w:t>
            </w:r>
          </w:p>
        </w:tc>
        <w:tc>
          <w:tcPr>
            <w:tcW w:w="140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Arial" w:cs="Arial" w:eastAsia="Arial" w:hAnsi="Arial"/>
                <w:sz w:val="20"/>
                <w:szCs w:val="20"/>
                <w:b w:val="1"/>
                <w:bCs w:val="1"/>
                <w:color w:val="auto"/>
                <w:w w:val="98"/>
              </w:rPr>
              <w:t>Redemption</w:t>
            </w:r>
          </w:p>
        </w:tc>
        <w:tc>
          <w:tcPr>
            <w:tcW w:w="1240" w:type="dxa"/>
            <w:vAlign w:val="bottom"/>
          </w:tcPr>
          <w:p>
            <w:pPr>
              <w:jc w:val="center"/>
              <w:spacing w:after="0" w:line="199" w:lineRule="exact"/>
              <w:rPr>
                <w:sz w:val="20"/>
                <w:szCs w:val="20"/>
                <w:color w:val="auto"/>
              </w:rPr>
            </w:pPr>
            <w:r>
              <w:rPr>
                <w:rFonts w:ascii="Arial" w:cs="Arial" w:eastAsia="Arial" w:hAnsi="Arial"/>
                <w:sz w:val="20"/>
                <w:szCs w:val="20"/>
                <w:b w:val="1"/>
                <w:bCs w:val="1"/>
                <w:color w:val="auto"/>
              </w:rPr>
              <w:t>Notice</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Commitment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Frequency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Restrictions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Period</w:t>
            </w:r>
          </w:p>
        </w:tc>
        <w:tc>
          <w:tcPr>
            <w:tcW w:w="0" w:type="dxa"/>
            <w:vAlign w:val="bottom"/>
          </w:tcPr>
          <w:p>
            <w:pPr>
              <w:spacing w:after="0"/>
              <w:rPr>
                <w:sz w:val="1"/>
                <w:szCs w:val="1"/>
                <w:color w:val="auto"/>
              </w:rPr>
            </w:pPr>
          </w:p>
        </w:tc>
      </w:tr>
      <w:tr>
        <w:trPr>
          <w:trHeight w:val="209"/>
        </w:trPr>
        <w:tc>
          <w:tcPr>
            <w:tcW w:w="36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80" w:type="dxa"/>
            <w:vAlign w:val="bottom"/>
            <w:gridSpan w:val="4"/>
            <w:shd w:val="clear" w:color="auto" w:fill="CFF0FC"/>
          </w:tcPr>
          <w:p>
            <w:pPr>
              <w:jc w:val="right"/>
              <w:ind w:right="541"/>
              <w:spacing w:after="0" w:line="209" w:lineRule="exact"/>
              <w:rPr>
                <w:sz w:val="20"/>
                <w:szCs w:val="20"/>
                <w:color w:val="auto"/>
              </w:rPr>
            </w:pPr>
            <w:r>
              <w:rPr>
                <w:rFonts w:ascii="Arial" w:cs="Arial" w:eastAsia="Arial" w:hAnsi="Arial"/>
                <w:sz w:val="20"/>
                <w:szCs w:val="20"/>
                <w:i w:val="1"/>
                <w:iCs w:val="1"/>
                <w:color w:val="auto"/>
              </w:rPr>
              <w:t>(In Thousands)</w:t>
            </w:r>
          </w:p>
        </w:tc>
        <w:tc>
          <w:tcPr>
            <w:tcW w:w="1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Arial" w:cs="Arial" w:eastAsia="Arial" w:hAnsi="Arial"/>
                <w:sz w:val="20"/>
                <w:szCs w:val="20"/>
                <w:color w:val="auto"/>
              </w:rPr>
              <w:t>Galliard Stable Return Fund E</w:t>
            </w:r>
          </w:p>
        </w:tc>
        <w:tc>
          <w:tcPr>
            <w:tcW w:w="200" w:type="dxa"/>
            <w:vAlign w:val="bottom"/>
          </w:tcPr>
          <w:p>
            <w:pPr>
              <w:jc w:val="right"/>
              <w:ind w:right="1"/>
              <w:spacing w:after="0" w:line="216" w:lineRule="exact"/>
              <w:rPr>
                <w:sz w:val="20"/>
                <w:szCs w:val="20"/>
                <w:color w:val="auto"/>
              </w:rPr>
            </w:pPr>
            <w:r>
              <w:rPr>
                <w:rFonts w:ascii="Arial" w:cs="Arial" w:eastAsia="Arial" w:hAnsi="Arial"/>
                <w:sz w:val="20"/>
                <w:szCs w:val="20"/>
                <w:b w:val="1"/>
                <w:bCs w:val="1"/>
                <w:color w:val="auto"/>
                <w:w w:val="71"/>
              </w:rPr>
              <w:t>$</w:t>
            </w:r>
          </w:p>
        </w:tc>
        <w:tc>
          <w:tcPr>
            <w:tcW w:w="920" w:type="dxa"/>
            <w:vAlign w:val="bottom"/>
          </w:tcPr>
          <w:p>
            <w:pPr>
              <w:jc w:val="right"/>
              <w:ind w:right="21"/>
              <w:spacing w:after="0" w:line="216" w:lineRule="exact"/>
              <w:rPr>
                <w:sz w:val="20"/>
                <w:szCs w:val="20"/>
                <w:color w:val="auto"/>
              </w:rPr>
            </w:pPr>
            <w:r>
              <w:rPr>
                <w:rFonts w:ascii="Arial" w:cs="Arial" w:eastAsia="Arial" w:hAnsi="Arial"/>
                <w:sz w:val="20"/>
                <w:szCs w:val="20"/>
                <w:b w:val="1"/>
                <w:bCs w:val="1"/>
                <w:color w:val="auto"/>
              </w:rPr>
              <w:t>62,771</w:t>
            </w:r>
          </w:p>
        </w:tc>
        <w:tc>
          <w:tcPr>
            <w:tcW w:w="42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66,293</w:t>
            </w: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rPr>
              <w:t>None</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w w:val="98"/>
              </w:rPr>
              <w:t>Immediate</w:t>
            </w:r>
          </w:p>
        </w:tc>
        <w:tc>
          <w:tcPr>
            <w:tcW w:w="1260" w:type="dxa"/>
            <w:vAlign w:val="bottom"/>
          </w:tcPr>
          <w:p>
            <w:pPr>
              <w:jc w:val="center"/>
              <w:spacing w:after="0" w:line="216" w:lineRule="exact"/>
              <w:rPr>
                <w:sz w:val="20"/>
                <w:szCs w:val="20"/>
                <w:color w:val="auto"/>
              </w:rPr>
            </w:pPr>
            <w:r>
              <w:rPr>
                <w:rFonts w:ascii="Arial" w:cs="Arial" w:eastAsia="Arial" w:hAnsi="Arial"/>
                <w:sz w:val="20"/>
                <w:szCs w:val="20"/>
                <w:color w:val="auto"/>
                <w:w w:val="96"/>
              </w:rPr>
              <w:t>None</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w w:val="99"/>
              </w:rPr>
              <w:t>12-month</w:t>
            </w:r>
          </w:p>
        </w:tc>
        <w:tc>
          <w:tcPr>
            <w:tcW w:w="0" w:type="dxa"/>
            <w:vAlign w:val="bottom"/>
          </w:tcPr>
          <w:p>
            <w:pPr>
              <w:spacing w:after="0"/>
              <w:rPr>
                <w:sz w:val="1"/>
                <w:szCs w:val="1"/>
                <w:color w:val="auto"/>
              </w:rPr>
            </w:pPr>
          </w:p>
        </w:tc>
      </w:tr>
      <w:tr>
        <w:trPr>
          <w:trHeight w:val="216"/>
        </w:trPr>
        <w:tc>
          <w:tcPr>
            <w:tcW w:w="3620" w:type="dxa"/>
            <w:vAlign w:val="bottom"/>
            <w:tcBorders>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BlackRock Equity Index Fund J</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b w:val="1"/>
                <w:bCs w:val="1"/>
                <w:color w:val="auto"/>
              </w:rPr>
              <w:t>126,461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106,076</w:t>
            </w:r>
          </w:p>
        </w:tc>
        <w:tc>
          <w:tcPr>
            <w:tcW w:w="140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None</w:t>
            </w:r>
          </w:p>
        </w:tc>
        <w:tc>
          <w:tcPr>
            <w:tcW w:w="124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8"/>
              </w:rPr>
              <w:t>Immediate</w:t>
            </w:r>
          </w:p>
        </w:tc>
        <w:tc>
          <w:tcPr>
            <w:tcW w:w="126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6"/>
              </w:rPr>
              <w:t>None</w:t>
            </w:r>
          </w:p>
        </w:tc>
        <w:tc>
          <w:tcPr>
            <w:tcW w:w="124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Arial" w:cs="Arial" w:eastAsia="Arial" w:hAnsi="Arial"/>
                <w:sz w:val="20"/>
                <w:szCs w:val="20"/>
                <w:color w:val="auto"/>
              </w:rPr>
              <w:t>Harbor Capital Appreciation R</w:t>
            </w:r>
          </w:p>
        </w:tc>
        <w:tc>
          <w:tcPr>
            <w:tcW w:w="200" w:type="dxa"/>
            <w:vAlign w:val="bottom"/>
          </w:tcPr>
          <w:p>
            <w:pPr>
              <w:spacing w:after="0"/>
              <w:rPr>
                <w:sz w:val="18"/>
                <w:szCs w:val="18"/>
                <w:color w:val="auto"/>
              </w:rPr>
            </w:pPr>
          </w:p>
        </w:tc>
        <w:tc>
          <w:tcPr>
            <w:tcW w:w="920" w:type="dxa"/>
            <w:vAlign w:val="bottom"/>
          </w:tcPr>
          <w:p>
            <w:pPr>
              <w:jc w:val="right"/>
              <w:ind w:right="21"/>
              <w:spacing w:after="0" w:line="216" w:lineRule="exact"/>
              <w:rPr>
                <w:sz w:val="20"/>
                <w:szCs w:val="20"/>
                <w:color w:val="auto"/>
              </w:rPr>
            </w:pPr>
            <w:r>
              <w:rPr>
                <w:rFonts w:ascii="Arial" w:cs="Arial" w:eastAsia="Arial" w:hAnsi="Arial"/>
                <w:sz w:val="20"/>
                <w:szCs w:val="20"/>
                <w:b w:val="1"/>
                <w:bCs w:val="1"/>
                <w:color w:val="auto"/>
              </w:rPr>
              <w:t>70,339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62,958</w:t>
            </w: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rPr>
              <w:t>None</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w w:val="98"/>
              </w:rPr>
              <w:t>Immediate</w:t>
            </w:r>
          </w:p>
        </w:tc>
        <w:tc>
          <w:tcPr>
            <w:tcW w:w="1260" w:type="dxa"/>
            <w:vAlign w:val="bottom"/>
          </w:tcPr>
          <w:p>
            <w:pPr>
              <w:jc w:val="center"/>
              <w:spacing w:after="0" w:line="216" w:lineRule="exact"/>
              <w:rPr>
                <w:sz w:val="20"/>
                <w:szCs w:val="20"/>
                <w:color w:val="auto"/>
              </w:rPr>
            </w:pPr>
            <w:r>
              <w:rPr>
                <w:rFonts w:ascii="Arial" w:cs="Arial" w:eastAsia="Arial" w:hAnsi="Arial"/>
                <w:sz w:val="20"/>
                <w:szCs w:val="20"/>
                <w:color w:val="auto"/>
                <w:w w:val="96"/>
              </w:rPr>
              <w:t>None</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16"/>
        </w:trPr>
        <w:tc>
          <w:tcPr>
            <w:tcW w:w="3620" w:type="dxa"/>
            <w:vAlign w:val="bottom"/>
            <w:tcBorders>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BlackRock LifePath® Portfolios Class O</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b w:val="1"/>
                <w:bCs w:val="1"/>
                <w:color w:val="auto"/>
              </w:rPr>
              <w:t>565,338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447,863</w:t>
            </w:r>
          </w:p>
        </w:tc>
        <w:tc>
          <w:tcPr>
            <w:tcW w:w="140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None</w:t>
            </w:r>
          </w:p>
        </w:tc>
        <w:tc>
          <w:tcPr>
            <w:tcW w:w="124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8"/>
              </w:rPr>
              <w:t>Immediate</w:t>
            </w:r>
          </w:p>
        </w:tc>
        <w:tc>
          <w:tcPr>
            <w:tcW w:w="126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6"/>
              </w:rPr>
              <w:t>None</w:t>
            </w:r>
          </w:p>
        </w:tc>
        <w:tc>
          <w:tcPr>
            <w:tcW w:w="124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194"/>
        </w:trPr>
        <w:tc>
          <w:tcPr>
            <w:tcW w:w="3620" w:type="dxa"/>
            <w:vAlign w:val="bottom"/>
          </w:tcPr>
          <w:p>
            <w:pPr>
              <w:spacing w:after="0" w:line="194" w:lineRule="exact"/>
              <w:rPr>
                <w:sz w:val="20"/>
                <w:szCs w:val="20"/>
                <w:color w:val="auto"/>
              </w:rPr>
            </w:pPr>
            <w:r>
              <w:rPr>
                <w:rFonts w:ascii="Arial" w:cs="Arial" w:eastAsia="Arial" w:hAnsi="Arial"/>
                <w:sz w:val="20"/>
                <w:szCs w:val="20"/>
                <w:color w:val="auto"/>
              </w:rPr>
              <w:t>BlackRock Mid Cap Equity Index Fund</w:t>
            </w:r>
          </w:p>
        </w:tc>
        <w:tc>
          <w:tcPr>
            <w:tcW w:w="20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b w:val="1"/>
                <w:bCs w:val="1"/>
                <w:color w:val="auto"/>
              </w:rPr>
              <w:t>10,582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8,536</w:t>
            </w:r>
          </w:p>
        </w:tc>
        <w:tc>
          <w:tcPr>
            <w:tcW w:w="1400" w:type="dxa"/>
            <w:vAlign w:val="bottom"/>
            <w:vMerge w:val="restart"/>
          </w:tcPr>
          <w:p>
            <w:pPr>
              <w:jc w:val="center"/>
              <w:spacing w:after="0"/>
              <w:rPr>
                <w:sz w:val="20"/>
                <w:szCs w:val="20"/>
                <w:color w:val="auto"/>
              </w:rPr>
            </w:pPr>
            <w:r>
              <w:rPr>
                <w:rFonts w:ascii="Arial" w:cs="Arial" w:eastAsia="Arial" w:hAnsi="Arial"/>
                <w:sz w:val="20"/>
                <w:szCs w:val="20"/>
                <w:color w:val="auto"/>
              </w:rPr>
              <w:t>None</w:t>
            </w:r>
          </w:p>
        </w:tc>
        <w:tc>
          <w:tcPr>
            <w:tcW w:w="1240" w:type="dxa"/>
            <w:vAlign w:val="bottom"/>
            <w:vMerge w:val="restart"/>
          </w:tcPr>
          <w:p>
            <w:pPr>
              <w:jc w:val="center"/>
              <w:spacing w:after="0"/>
              <w:rPr>
                <w:sz w:val="20"/>
                <w:szCs w:val="20"/>
                <w:color w:val="auto"/>
              </w:rPr>
            </w:pPr>
            <w:r>
              <w:rPr>
                <w:rFonts w:ascii="Arial" w:cs="Arial" w:eastAsia="Arial" w:hAnsi="Arial"/>
                <w:sz w:val="20"/>
                <w:szCs w:val="20"/>
                <w:color w:val="auto"/>
                <w:w w:val="98"/>
              </w:rPr>
              <w:t>Immediate</w:t>
            </w: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w w:val="96"/>
              </w:rPr>
              <w:t>None</w:t>
            </w:r>
          </w:p>
        </w:tc>
        <w:tc>
          <w:tcPr>
            <w:tcW w:w="1240" w:type="dxa"/>
            <w:vAlign w:val="bottom"/>
            <w:vMerge w:val="restart"/>
          </w:tcPr>
          <w:p>
            <w:pPr>
              <w:jc w:val="center"/>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163"/>
        </w:trPr>
        <w:tc>
          <w:tcPr>
            <w:tcW w:w="3620" w:type="dxa"/>
            <w:vAlign w:val="bottom"/>
            <w:vMerge w:val="restart"/>
          </w:tcPr>
          <w:p>
            <w:pPr>
              <w:spacing w:after="0"/>
              <w:rPr>
                <w:sz w:val="20"/>
                <w:szCs w:val="20"/>
                <w:color w:val="auto"/>
              </w:rPr>
            </w:pPr>
            <w:r>
              <w:rPr>
                <w:rFonts w:ascii="Arial" w:cs="Arial" w:eastAsia="Arial" w:hAnsi="Arial"/>
                <w:sz w:val="20"/>
                <w:szCs w:val="20"/>
                <w:color w:val="auto"/>
              </w:rPr>
              <w:t>M</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20" w:type="dxa"/>
            <w:vAlign w:val="bottom"/>
            <w:tcBorders>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BlackRock Russell 2000 Index Fund M</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b w:val="1"/>
                <w:bCs w:val="1"/>
                <w:color w:val="auto"/>
              </w:rPr>
              <w:t>1,624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931</w:t>
            </w:r>
          </w:p>
        </w:tc>
        <w:tc>
          <w:tcPr>
            <w:tcW w:w="140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None</w:t>
            </w:r>
          </w:p>
        </w:tc>
        <w:tc>
          <w:tcPr>
            <w:tcW w:w="124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8"/>
              </w:rPr>
              <w:t>Immediate</w:t>
            </w:r>
          </w:p>
        </w:tc>
        <w:tc>
          <w:tcPr>
            <w:tcW w:w="126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6"/>
              </w:rPr>
              <w:t>None</w:t>
            </w:r>
          </w:p>
        </w:tc>
        <w:tc>
          <w:tcPr>
            <w:tcW w:w="124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16"/>
        </w:trPr>
        <w:tc>
          <w:tcPr>
            <w:tcW w:w="3620" w:type="dxa"/>
            <w:vAlign w:val="bottom"/>
          </w:tcPr>
          <w:p>
            <w:pPr>
              <w:spacing w:after="0" w:line="216" w:lineRule="exact"/>
              <w:rPr>
                <w:sz w:val="20"/>
                <w:szCs w:val="20"/>
                <w:color w:val="auto"/>
              </w:rPr>
            </w:pPr>
            <w:r>
              <w:rPr>
                <w:rFonts w:ascii="Arial" w:cs="Arial" w:eastAsia="Arial" w:hAnsi="Arial"/>
                <w:sz w:val="20"/>
                <w:szCs w:val="20"/>
                <w:color w:val="auto"/>
              </w:rPr>
              <w:t>BlackRock US Debt Index Fund M</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b w:val="1"/>
                <w:bCs w:val="1"/>
                <w:color w:val="auto"/>
              </w:rPr>
              <w:t>1,845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999</w:t>
            </w: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rPr>
              <w:t>None</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w w:val="98"/>
              </w:rPr>
              <w:t>Immediate</w:t>
            </w:r>
          </w:p>
        </w:tc>
        <w:tc>
          <w:tcPr>
            <w:tcW w:w="1260" w:type="dxa"/>
            <w:vAlign w:val="bottom"/>
          </w:tcPr>
          <w:p>
            <w:pPr>
              <w:jc w:val="center"/>
              <w:spacing w:after="0" w:line="216" w:lineRule="exact"/>
              <w:rPr>
                <w:sz w:val="20"/>
                <w:szCs w:val="20"/>
                <w:color w:val="auto"/>
              </w:rPr>
            </w:pPr>
            <w:r>
              <w:rPr>
                <w:rFonts w:ascii="Arial" w:cs="Arial" w:eastAsia="Arial" w:hAnsi="Arial"/>
                <w:sz w:val="20"/>
                <w:szCs w:val="20"/>
                <w:color w:val="auto"/>
                <w:w w:val="96"/>
              </w:rPr>
              <w:t>None</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29"/>
        </w:trPr>
        <w:tc>
          <w:tcPr>
            <w:tcW w:w="3620" w:type="dxa"/>
            <w:vAlign w:val="bottom"/>
            <w:tcBorders>
              <w:right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Collective Trust Funds</w:t>
            </w:r>
          </w:p>
        </w:tc>
        <w:tc>
          <w:tcPr>
            <w:tcW w:w="200" w:type="dxa"/>
            <w:vAlign w:val="bottom"/>
            <w:shd w:val="clear" w:color="auto" w:fill="CFF0FC"/>
          </w:tcPr>
          <w:p>
            <w:pPr>
              <w:jc w:val="right"/>
              <w:ind w:right="1"/>
              <w:spacing w:after="0" w:line="209" w:lineRule="exact"/>
              <w:rPr>
                <w:sz w:val="20"/>
                <w:szCs w:val="20"/>
                <w:color w:val="auto"/>
              </w:rPr>
            </w:pPr>
            <w:r>
              <w:rPr>
                <w:rFonts w:ascii="Arial" w:cs="Arial" w:eastAsia="Arial" w:hAnsi="Arial"/>
                <w:sz w:val="20"/>
                <w:szCs w:val="20"/>
                <w:b w:val="1"/>
                <w:bCs w:val="1"/>
                <w:color w:val="auto"/>
                <w:w w:val="71"/>
              </w:rPr>
              <w:t>$</w:t>
            </w:r>
          </w:p>
        </w:tc>
        <w:tc>
          <w:tcPr>
            <w:tcW w:w="920" w:type="dxa"/>
            <w:vAlign w:val="bottom"/>
            <w:shd w:val="clear" w:color="auto" w:fill="CFF0FC"/>
          </w:tcPr>
          <w:p>
            <w:pPr>
              <w:jc w:val="right"/>
              <w:ind w:right="21"/>
              <w:spacing w:after="0" w:line="209" w:lineRule="exact"/>
              <w:rPr>
                <w:sz w:val="20"/>
                <w:szCs w:val="20"/>
                <w:color w:val="auto"/>
              </w:rPr>
            </w:pPr>
            <w:r>
              <w:rPr>
                <w:rFonts w:ascii="Arial" w:cs="Arial" w:eastAsia="Arial" w:hAnsi="Arial"/>
                <w:sz w:val="20"/>
                <w:szCs w:val="20"/>
                <w:b w:val="1"/>
                <w:bCs w:val="1"/>
                <w:color w:val="auto"/>
              </w:rPr>
              <w:t>838,960</w:t>
            </w:r>
          </w:p>
        </w:tc>
        <w:tc>
          <w:tcPr>
            <w:tcW w:w="420" w:type="dxa"/>
            <w:vAlign w:val="bottom"/>
            <w:gridSpan w:val="2"/>
            <w:shd w:val="clear" w:color="auto" w:fill="CFF0FC"/>
          </w:tcPr>
          <w:p>
            <w:pPr>
              <w:jc w:val="right"/>
              <w:ind w:right="80"/>
              <w:spacing w:after="0" w:line="209" w:lineRule="exact"/>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693,656</w:t>
            </w:r>
          </w:p>
        </w:tc>
        <w:tc>
          <w:tcPr>
            <w:tcW w:w="1400" w:type="dxa"/>
            <w:vAlign w:val="bottom"/>
            <w:shd w:val="clear" w:color="auto" w:fill="CFF0FC"/>
          </w:tcPr>
          <w:p>
            <w:pPr>
              <w:jc w:val="center"/>
              <w:spacing w:after="0" w:line="209" w:lineRule="exact"/>
              <w:rPr>
                <w:sz w:val="20"/>
                <w:szCs w:val="20"/>
                <w:color w:val="auto"/>
              </w:rPr>
            </w:pPr>
            <w:r>
              <w:rPr>
                <w:rFonts w:ascii="Arial" w:cs="Arial" w:eastAsia="Arial" w:hAnsi="Arial"/>
                <w:sz w:val="20"/>
                <w:szCs w:val="20"/>
                <w:color w:val="auto"/>
              </w:rPr>
              <w:t>None</w:t>
            </w:r>
          </w:p>
        </w:tc>
        <w:tc>
          <w:tcPr>
            <w:tcW w:w="1240" w:type="dxa"/>
            <w:vAlign w:val="bottom"/>
            <w:shd w:val="clear" w:color="auto" w:fill="CFF0FC"/>
          </w:tcPr>
          <w:p>
            <w:pPr>
              <w:jc w:val="center"/>
              <w:spacing w:after="0" w:line="209" w:lineRule="exact"/>
              <w:rPr>
                <w:sz w:val="20"/>
                <w:szCs w:val="20"/>
                <w:color w:val="auto"/>
              </w:rPr>
            </w:pPr>
            <w:r>
              <w:rPr>
                <w:rFonts w:ascii="Arial" w:cs="Arial" w:eastAsia="Arial" w:hAnsi="Arial"/>
                <w:sz w:val="20"/>
                <w:szCs w:val="20"/>
                <w:color w:val="auto"/>
                <w:w w:val="98"/>
              </w:rPr>
              <w:t>Immediate</w:t>
            </w:r>
          </w:p>
        </w:tc>
        <w:tc>
          <w:tcPr>
            <w:tcW w:w="1260" w:type="dxa"/>
            <w:vAlign w:val="bottom"/>
            <w:shd w:val="clear" w:color="auto" w:fill="CFF0FC"/>
          </w:tcPr>
          <w:p>
            <w:pPr>
              <w:jc w:val="center"/>
              <w:spacing w:after="0" w:line="209" w:lineRule="exact"/>
              <w:rPr>
                <w:sz w:val="20"/>
                <w:szCs w:val="20"/>
                <w:color w:val="auto"/>
              </w:rPr>
            </w:pPr>
            <w:r>
              <w:rPr>
                <w:rFonts w:ascii="Arial" w:cs="Arial" w:eastAsia="Arial" w:hAnsi="Arial"/>
                <w:sz w:val="20"/>
                <w:szCs w:val="20"/>
                <w:color w:val="auto"/>
                <w:w w:val="96"/>
              </w:rPr>
              <w:t>None</w:t>
            </w:r>
          </w:p>
        </w:tc>
        <w:tc>
          <w:tcPr>
            <w:tcW w:w="1240" w:type="dxa"/>
            <w:vAlign w:val="bottom"/>
            <w:shd w:val="clear" w:color="auto" w:fill="CFF0FC"/>
          </w:tcPr>
          <w:p>
            <w:pPr>
              <w:jc w:val="center"/>
              <w:spacing w:after="0" w:line="209" w:lineRule="exact"/>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-25400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9258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9258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 Status</w:t>
      </w:r>
    </w:p>
    <w:p>
      <w:pPr>
        <w:spacing w:after="0" w:line="100" w:lineRule="exact"/>
        <w:rPr>
          <w:rFonts w:ascii="Arial" w:cs="Arial" w:eastAsia="Arial" w:hAnsi="Arial"/>
          <w:sz w:val="22"/>
          <w:szCs w:val="22"/>
          <w:b w:val="1"/>
          <w:bCs w:val="1"/>
          <w:color w:val="auto"/>
        </w:rPr>
      </w:pPr>
    </w:p>
    <w:p>
      <w:pPr>
        <w:jc w:val="both"/>
        <w:ind w:left="380"/>
        <w:spacing w:after="0"/>
        <w:rPr>
          <w:rFonts w:ascii="Arial" w:cs="Arial" w:eastAsia="Arial" w:hAnsi="Arial"/>
          <w:sz w:val="22"/>
          <w:szCs w:val="22"/>
          <w:b w:val="1"/>
          <w:bCs w:val="1"/>
          <w:color w:val="auto"/>
        </w:rPr>
      </w:pPr>
      <w:r>
        <w:rPr>
          <w:rFonts w:ascii="Arial" w:cs="Arial" w:eastAsia="Arial" w:hAnsi="Arial"/>
          <w:sz w:val="22"/>
          <w:szCs w:val="22"/>
          <w:color w:val="auto"/>
        </w:rPr>
        <w:t>The Internal Revenue Service has determined and informed the Company by letter dated June 27, 2014, that the Plan and related trust are designed in accordance with the applicable sections of the Code. The Plan has been amended since receiving the determination letter. However, the Plan Administrator believes the Plan is designed and is currently being operated in compliance with the applicable requirements of the Code.</w:t>
      </w:r>
    </w:p>
    <w:p>
      <w:pPr>
        <w:spacing w:after="0" w:line="68" w:lineRule="exact"/>
        <w:rPr>
          <w:rFonts w:ascii="Arial" w:cs="Arial" w:eastAsia="Arial" w:hAnsi="Arial"/>
          <w:sz w:val="22"/>
          <w:szCs w:val="22"/>
          <w:b w:val="1"/>
          <w:bCs w:val="1"/>
          <w:color w:val="auto"/>
        </w:rPr>
      </w:pPr>
    </w:p>
    <w:p>
      <w:pPr>
        <w:jc w:val="both"/>
        <w:ind w:left="3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GAAP requires Plan management to evaluate tax positions taken by the Plan and recognize a tax liability (or asset) if the Plan has taken an uncertain position that more likely than not would not be sustained upon examination by a taxing authority.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w:t>
      </w:r>
    </w:p>
    <w:p>
      <w:pPr>
        <w:spacing w:after="0" w:line="68" w:lineRule="exact"/>
        <w:rPr>
          <w:rFonts w:ascii="Arial" w:cs="Arial" w:eastAsia="Arial" w:hAnsi="Arial"/>
          <w:sz w:val="22"/>
          <w:szCs w:val="22"/>
          <w:b w:val="1"/>
          <w:bCs w:val="1"/>
          <w:color w:val="auto"/>
        </w:rPr>
      </w:pPr>
    </w:p>
    <w:p>
      <w:pPr>
        <w:ind w:left="380"/>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color w:val="auto"/>
        </w:rPr>
        <w:t>Martin Marietta Savings and Investment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 (continued)</w:t>
      </w:r>
    </w:p>
    <w:p>
      <w:pPr>
        <w:spacing w:after="0" w:line="200" w:lineRule="exact"/>
        <w:rPr>
          <w:sz w:val="20"/>
          <w:szCs w:val="20"/>
          <w:color w:val="auto"/>
        </w:rPr>
      </w:pPr>
    </w:p>
    <w:p>
      <w:pPr>
        <w:spacing w:after="0" w:line="247"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Exempt Party-in-Interest Transactions</w:t>
      </w:r>
    </w:p>
    <w:p>
      <w:pPr>
        <w:spacing w:after="0" w:line="100" w:lineRule="exact"/>
        <w:rPr>
          <w:rFonts w:ascii="Arial" w:cs="Arial" w:eastAsia="Arial" w:hAnsi="Arial"/>
          <w:sz w:val="22"/>
          <w:szCs w:val="22"/>
          <w:b w:val="1"/>
          <w:bCs w:val="1"/>
          <w:color w:val="auto"/>
        </w:rPr>
      </w:pPr>
    </w:p>
    <w:p>
      <w:pPr>
        <w:jc w:val="both"/>
        <w:ind w:left="380"/>
        <w:spacing w:after="0"/>
        <w:rPr>
          <w:rFonts w:ascii="Arial" w:cs="Arial" w:eastAsia="Arial" w:hAnsi="Arial"/>
          <w:sz w:val="22"/>
          <w:szCs w:val="22"/>
          <w:b w:val="1"/>
          <w:bCs w:val="1"/>
          <w:color w:val="auto"/>
        </w:rPr>
      </w:pPr>
      <w:r>
        <w:rPr>
          <w:rFonts w:ascii="Arial" w:cs="Arial" w:eastAsia="Arial" w:hAnsi="Arial"/>
          <w:sz w:val="22"/>
          <w:szCs w:val="22"/>
          <w:color w:val="auto"/>
        </w:rPr>
        <w:t>Certain Plan investments are shares of mutual funds and collective trust funds managed by Fidelity. The Plan paid certain expenses related to its operations and investment activity to various service providers, including Fidelity. Total administrative expenses were $689,000 for the year ended December 31, 2025. These transactions qualify as exempt party-in-interest transactions.</w:t>
      </w:r>
    </w:p>
    <w:p>
      <w:pPr>
        <w:spacing w:after="0" w:line="68" w:lineRule="exact"/>
        <w:rPr>
          <w:rFonts w:ascii="Arial" w:cs="Arial" w:eastAsia="Arial" w:hAnsi="Arial"/>
          <w:sz w:val="22"/>
          <w:szCs w:val="22"/>
          <w:b w:val="1"/>
          <w:bCs w:val="1"/>
          <w:color w:val="auto"/>
        </w:rPr>
      </w:pPr>
    </w:p>
    <w:p>
      <w:pPr>
        <w:jc w:val="both"/>
        <w:ind w:left="380"/>
        <w:spacing w:after="0"/>
        <w:rPr>
          <w:rFonts w:ascii="Arial" w:cs="Arial" w:eastAsia="Arial" w:hAnsi="Arial"/>
          <w:sz w:val="22"/>
          <w:szCs w:val="22"/>
          <w:b w:val="1"/>
          <w:bCs w:val="1"/>
          <w:color w:val="auto"/>
        </w:rPr>
      </w:pPr>
      <w:r>
        <w:rPr>
          <w:rFonts w:ascii="Arial" w:cs="Arial" w:eastAsia="Arial" w:hAnsi="Arial"/>
          <w:sz w:val="22"/>
          <w:szCs w:val="22"/>
          <w:color w:val="auto"/>
        </w:rPr>
        <w:t>At December 31, 2025 and 2024, the Plan held, at the participants’ discretion, approximately 97,000 shares and 109,000 shares, respectively, of the Company’s common stock. At December 31, 2025 and 2024, the Company's common stock had a historical cost basis of $10,483,000 and $11,359,000, respectively. During the year ended December 31, 2025, the Plan recognized dividend income of $334,000 related to these shares.</w:t>
      </w:r>
    </w:p>
    <w:p>
      <w:pPr>
        <w:spacing w:after="0" w:line="68" w:lineRule="exact"/>
        <w:rPr>
          <w:rFonts w:ascii="Arial" w:cs="Arial" w:eastAsia="Arial" w:hAnsi="Arial"/>
          <w:sz w:val="22"/>
          <w:szCs w:val="22"/>
          <w:b w:val="1"/>
          <w:bCs w:val="1"/>
          <w:color w:val="auto"/>
        </w:rPr>
      </w:pPr>
    </w:p>
    <w:p>
      <w:pPr>
        <w:ind w:left="380"/>
        <w:spacing w:after="0"/>
        <w:rPr>
          <w:rFonts w:ascii="Arial" w:cs="Arial" w:eastAsia="Arial" w:hAnsi="Arial"/>
          <w:sz w:val="22"/>
          <w:szCs w:val="22"/>
          <w:b w:val="1"/>
          <w:bCs w:val="1"/>
          <w:color w:val="auto"/>
        </w:rPr>
      </w:pPr>
      <w:r>
        <w:rPr>
          <w:rFonts w:ascii="Arial" w:cs="Arial" w:eastAsia="Arial" w:hAnsi="Arial"/>
          <w:sz w:val="21"/>
          <w:szCs w:val="21"/>
          <w:color w:val="auto"/>
        </w:rPr>
        <w:t>Contributions, allocations and transfers to Martin Marietta Materials, Inc. Common Stock are no longer an option.</w:t>
      </w:r>
    </w:p>
    <w:p>
      <w:pPr>
        <w:spacing w:after="0" w:line="107" w:lineRule="exact"/>
        <w:rPr>
          <w:rFonts w:ascii="Arial" w:cs="Arial" w:eastAsia="Arial" w:hAnsi="Arial"/>
          <w:sz w:val="22"/>
          <w:szCs w:val="22"/>
          <w:b w:val="1"/>
          <w:bCs w:val="1"/>
          <w:color w:val="auto"/>
        </w:rPr>
      </w:pPr>
    </w:p>
    <w:p>
      <w:pPr>
        <w:ind w:left="380" w:hanging="372"/>
        <w:spacing w:after="0"/>
        <w:tabs>
          <w:tab w:leader="none" w:pos="3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Risks and Uncertainties</w:t>
      </w:r>
    </w:p>
    <w:p>
      <w:pPr>
        <w:spacing w:after="0" w:line="100" w:lineRule="exact"/>
        <w:rPr>
          <w:rFonts w:ascii="Arial" w:cs="Arial" w:eastAsia="Arial" w:hAnsi="Arial"/>
          <w:sz w:val="22"/>
          <w:szCs w:val="22"/>
          <w:b w:val="1"/>
          <w:bCs w:val="1"/>
          <w:color w:val="auto"/>
        </w:rPr>
      </w:pPr>
    </w:p>
    <w:p>
      <w:pPr>
        <w:jc w:val="both"/>
        <w:ind w:left="3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The Plan invests in various investment securities which, in general, are exposed to various systematic risks such as interest rate, credit and overall market volatility.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8860" w:type="dxa"/>
            <w:vAlign w:val="bottom"/>
            <w:gridSpan w:val="3"/>
          </w:tcPr>
          <w:p>
            <w:pPr>
              <w:jc w:val="center"/>
              <w:ind w:left="1550"/>
              <w:spacing w:after="0"/>
              <w:rPr>
                <w:sz w:val="20"/>
                <w:szCs w:val="20"/>
                <w:color w:val="auto"/>
              </w:rPr>
            </w:pPr>
            <w:r>
              <w:rPr>
                <w:rFonts w:ascii="Arial" w:cs="Arial" w:eastAsia="Arial" w:hAnsi="Arial"/>
                <w:sz w:val="18"/>
                <w:szCs w:val="18"/>
                <w:color w:val="auto"/>
                <w:w w:val="99"/>
              </w:rPr>
              <w:t>Martin Marietta Savings and Investment Plan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940" w:type="dxa"/>
            <w:vAlign w:val="bottom"/>
            <w:gridSpan w:val="2"/>
          </w:tcPr>
          <w:p>
            <w:pPr>
              <w:ind w:left="3540"/>
              <w:spacing w:after="0" w:line="202" w:lineRule="exact"/>
              <w:rPr>
                <w:sz w:val="20"/>
                <w:szCs w:val="20"/>
                <w:color w:val="auto"/>
              </w:rPr>
            </w:pPr>
            <w:r>
              <w:rPr>
                <w:rFonts w:ascii="Arial" w:cs="Arial" w:eastAsia="Arial" w:hAnsi="Arial"/>
                <w:sz w:val="18"/>
                <w:szCs w:val="18"/>
                <w:color w:val="auto"/>
              </w:rPr>
              <w:t>EIN: 56-1848578</w:t>
            </w:r>
          </w:p>
        </w:tc>
        <w:tc>
          <w:tcPr>
            <w:tcW w:w="3920" w:type="dxa"/>
            <w:vAlign w:val="bottom"/>
          </w:tcPr>
          <w:p>
            <w:pPr>
              <w:ind w:left="500"/>
              <w:spacing w:after="0" w:line="202" w:lineRule="exact"/>
              <w:rPr>
                <w:sz w:val="20"/>
                <w:szCs w:val="20"/>
                <w:color w:val="auto"/>
              </w:rPr>
            </w:pPr>
            <w:r>
              <w:rPr>
                <w:rFonts w:ascii="Arial" w:cs="Arial" w:eastAsia="Arial" w:hAnsi="Arial"/>
                <w:sz w:val="18"/>
                <w:szCs w:val="18"/>
                <w:color w:val="auto"/>
              </w:rPr>
              <w:t>Plan Number: 006</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280" w:type="dxa"/>
            <w:vAlign w:val="bottom"/>
            <w:gridSpan w:val="2"/>
          </w:tcPr>
          <w:p>
            <w:pPr>
              <w:jc w:val="center"/>
              <w:ind w:right="1850"/>
              <w:spacing w:after="0" w:line="202" w:lineRule="exact"/>
              <w:rPr>
                <w:sz w:val="20"/>
                <w:szCs w:val="20"/>
                <w:color w:val="auto"/>
              </w:rPr>
            </w:pPr>
            <w:r>
              <w:rPr>
                <w:rFonts w:ascii="Arial" w:cs="Arial" w:eastAsia="Arial" w:hAnsi="Arial"/>
                <w:sz w:val="18"/>
                <w:szCs w:val="18"/>
                <w:color w:val="auto"/>
                <w:w w:val="99"/>
              </w:rPr>
              <w:t>Schedule H, Line 4i – Schedule of Assets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280" w:type="dxa"/>
            <w:vAlign w:val="bottom"/>
            <w:gridSpan w:val="2"/>
          </w:tcPr>
          <w:p>
            <w:pPr>
              <w:jc w:val="center"/>
              <w:ind w:right="1870"/>
              <w:spacing w:after="0" w:line="202" w:lineRule="exact"/>
              <w:rPr>
                <w:sz w:val="20"/>
                <w:szCs w:val="20"/>
                <w:color w:val="auto"/>
              </w:rPr>
            </w:pPr>
            <w:r>
              <w:rPr>
                <w:rFonts w:ascii="Arial" w:cs="Arial" w:eastAsia="Arial" w:hAnsi="Arial"/>
                <w:sz w:val="18"/>
                <w:szCs w:val="18"/>
                <w:color w:val="auto"/>
                <w:w w:val="99"/>
              </w:rPr>
              <w:t>(Held at End of Year)</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280" w:type="dxa"/>
            <w:vAlign w:val="bottom"/>
            <w:gridSpan w:val="2"/>
          </w:tcPr>
          <w:p>
            <w:pPr>
              <w:jc w:val="center"/>
              <w:ind w:right="1850"/>
              <w:spacing w:after="0"/>
              <w:rPr>
                <w:sz w:val="20"/>
                <w:szCs w:val="20"/>
                <w:color w:val="auto"/>
              </w:rPr>
            </w:pPr>
            <w:r>
              <w:rPr>
                <w:rFonts w:ascii="Arial" w:cs="Arial" w:eastAsia="Arial" w:hAnsi="Arial"/>
                <w:sz w:val="18"/>
                <w:szCs w:val="18"/>
                <w:color w:val="auto"/>
                <w:w w:val="99"/>
              </w:rPr>
              <w:t>December 31, 2025</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20" w:type="dxa"/>
            <w:vAlign w:val="bottom"/>
          </w:tcPr>
          <w:p>
            <w:pPr>
              <w:jc w:val="center"/>
              <w:ind w:right="730"/>
              <w:spacing w:after="0"/>
              <w:rPr>
                <w:sz w:val="20"/>
                <w:szCs w:val="20"/>
                <w:color w:val="auto"/>
              </w:rPr>
            </w:pPr>
            <w:r>
              <w:rPr>
                <w:rFonts w:ascii="Arial" w:cs="Arial" w:eastAsia="Arial" w:hAnsi="Arial"/>
                <w:sz w:val="18"/>
                <w:szCs w:val="18"/>
                <w:b w:val="1"/>
                <w:bCs w:val="1"/>
                <w:color w:val="auto"/>
                <w:w w:val="99"/>
              </w:rPr>
              <w:t>(c)</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rPr>
              <w:t>(b)</w:t>
            </w:r>
          </w:p>
        </w:tc>
        <w:tc>
          <w:tcPr>
            <w:tcW w:w="1360" w:type="dxa"/>
            <w:vAlign w:val="bottom"/>
          </w:tcPr>
          <w:p>
            <w:pPr>
              <w:spacing w:after="0"/>
              <w:rPr>
                <w:sz w:val="17"/>
                <w:szCs w:val="17"/>
                <w:color w:val="auto"/>
              </w:rPr>
            </w:pPr>
          </w:p>
        </w:tc>
        <w:tc>
          <w:tcPr>
            <w:tcW w:w="3920" w:type="dxa"/>
            <w:vAlign w:val="bottom"/>
          </w:tcPr>
          <w:p>
            <w:pPr>
              <w:jc w:val="center"/>
              <w:ind w:right="730"/>
              <w:spacing w:after="0" w:line="202" w:lineRule="exact"/>
              <w:rPr>
                <w:sz w:val="20"/>
                <w:szCs w:val="20"/>
                <w:color w:val="auto"/>
              </w:rPr>
            </w:pPr>
            <w:r>
              <w:rPr>
                <w:rFonts w:ascii="Arial" w:cs="Arial" w:eastAsia="Arial" w:hAnsi="Arial"/>
                <w:sz w:val="18"/>
                <w:szCs w:val="18"/>
                <w:b w:val="1"/>
                <w:bCs w:val="1"/>
                <w:color w:val="auto"/>
              </w:rPr>
              <w:t>Description of Investment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jc w:val="center"/>
              <w:ind w:left="430"/>
              <w:spacing w:after="0" w:line="202" w:lineRule="exact"/>
              <w:rPr>
                <w:sz w:val="20"/>
                <w:szCs w:val="20"/>
                <w:color w:val="auto"/>
              </w:rPr>
            </w:pPr>
            <w:r>
              <w:rPr>
                <w:rFonts w:ascii="Arial" w:cs="Arial" w:eastAsia="Arial" w:hAnsi="Arial"/>
                <w:sz w:val="18"/>
                <w:szCs w:val="18"/>
                <w:b w:val="1"/>
                <w:bCs w:val="1"/>
                <w:color w:val="auto"/>
                <w:w w:val="99"/>
              </w:rPr>
              <w:t>Identity of Issue,</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b w:val="1"/>
                <w:bCs w:val="1"/>
                <w:color w:val="auto"/>
                <w:w w:val="99"/>
              </w:rPr>
              <w:t>Including Maturity Date,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171"/>
              <w:spacing w:after="0" w:line="202" w:lineRule="exact"/>
              <w:rPr>
                <w:sz w:val="20"/>
                <w:szCs w:val="20"/>
                <w:color w:val="auto"/>
              </w:rPr>
            </w:pPr>
            <w:r>
              <w:rPr>
                <w:rFonts w:ascii="Arial" w:cs="Arial" w:eastAsia="Arial" w:hAnsi="Arial"/>
                <w:sz w:val="18"/>
                <w:szCs w:val="18"/>
                <w:b w:val="1"/>
                <w:bCs w:val="1"/>
                <w:color w:val="auto"/>
                <w:w w:val="99"/>
              </w:rPr>
              <w:t>(e)</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jc w:val="center"/>
              <w:ind w:left="450"/>
              <w:spacing w:after="0" w:line="202" w:lineRule="exact"/>
              <w:rPr>
                <w:sz w:val="20"/>
                <w:szCs w:val="20"/>
                <w:color w:val="auto"/>
              </w:rPr>
            </w:pPr>
            <w:r>
              <w:rPr>
                <w:rFonts w:ascii="Arial" w:cs="Arial" w:eastAsia="Arial" w:hAnsi="Arial"/>
                <w:sz w:val="18"/>
                <w:szCs w:val="18"/>
                <w:b w:val="1"/>
                <w:bCs w:val="1"/>
                <w:color w:val="auto"/>
                <w:w w:val="99"/>
              </w:rPr>
              <w:t>Borrower, Lessor, or</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b w:val="1"/>
                <w:bCs w:val="1"/>
                <w:color w:val="auto"/>
                <w:w w:val="99"/>
              </w:rPr>
              <w:t>Rate of Interest, Collateral,</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(d)</w:t>
            </w:r>
          </w:p>
        </w:tc>
        <w:tc>
          <w:tcPr>
            <w:tcW w:w="1360" w:type="dxa"/>
            <w:vAlign w:val="bottom"/>
          </w:tcPr>
          <w:p>
            <w:pPr>
              <w:jc w:val="center"/>
              <w:ind w:right="191"/>
              <w:spacing w:after="0" w:line="202" w:lineRule="exact"/>
              <w:rPr>
                <w:sz w:val="20"/>
                <w:szCs w:val="20"/>
                <w:color w:val="auto"/>
              </w:rPr>
            </w:pPr>
            <w:r>
              <w:rPr>
                <w:rFonts w:ascii="Arial" w:cs="Arial" w:eastAsia="Arial" w:hAnsi="Arial"/>
                <w:sz w:val="18"/>
                <w:szCs w:val="18"/>
                <w:b w:val="1"/>
                <w:bCs w:val="1"/>
                <w:color w:val="auto"/>
                <w:w w:val="98"/>
              </w:rPr>
              <w:t>Current</w:t>
            </w:r>
          </w:p>
        </w:tc>
        <w:tc>
          <w:tcPr>
            <w:tcW w:w="0" w:type="dxa"/>
            <w:vAlign w:val="bottom"/>
          </w:tcPr>
          <w:p>
            <w:pPr>
              <w:spacing w:after="0"/>
              <w:rPr>
                <w:sz w:val="1"/>
                <w:szCs w:val="1"/>
                <w:color w:val="auto"/>
              </w:rPr>
            </w:pPr>
          </w:p>
        </w:tc>
      </w:tr>
      <w:tr>
        <w:trPr>
          <w:trHeight w:val="221"/>
        </w:trPr>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w:t>
            </w:r>
          </w:p>
        </w:tc>
        <w:tc>
          <w:tcPr>
            <w:tcW w:w="35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9"/>
              </w:rPr>
              <w:t>Similar Party</w:t>
            </w:r>
          </w:p>
        </w:tc>
        <w:tc>
          <w:tcPr>
            <w:tcW w:w="13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b w:val="1"/>
                <w:bCs w:val="1"/>
                <w:color w:val="auto"/>
                <w:w w:val="99"/>
              </w:rPr>
              <w:t>Par or Maturity Value</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Cost</w:t>
            </w:r>
          </w:p>
        </w:tc>
        <w:tc>
          <w:tcPr>
            <w:tcW w:w="136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19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tcPr>
          <w:p>
            <w:pPr>
              <w:spacing w:after="0"/>
              <w:rPr>
                <w:sz w:val="19"/>
                <w:szCs w:val="19"/>
                <w:color w:val="auto"/>
              </w:rPr>
            </w:pPr>
          </w:p>
        </w:tc>
        <w:tc>
          <w:tcPr>
            <w:tcW w:w="3920" w:type="dxa"/>
            <w:vAlign w:val="bottom"/>
          </w:tcPr>
          <w:p>
            <w:pPr>
              <w:jc w:val="center"/>
              <w:ind w:right="730"/>
              <w:spacing w:after="0"/>
              <w:rPr>
                <w:sz w:val="20"/>
                <w:szCs w:val="20"/>
                <w:color w:val="auto"/>
              </w:rPr>
            </w:pPr>
            <w:r>
              <w:rPr>
                <w:rFonts w:ascii="Arial" w:cs="Arial" w:eastAsia="Arial" w:hAnsi="Arial"/>
                <w:sz w:val="18"/>
                <w:szCs w:val="18"/>
                <w:color w:val="auto"/>
              </w:rPr>
              <w:t>BlackRock Equity Index Fund J</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126,461</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2035 O</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96,843</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2030 O</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81,122</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2040 O</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75,162</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2045 O</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74,269</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Harbor Funds</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30"/>
              <w:spacing w:after="0" w:line="202" w:lineRule="exact"/>
              <w:rPr>
                <w:sz w:val="20"/>
                <w:szCs w:val="20"/>
                <w:color w:val="auto"/>
              </w:rPr>
            </w:pPr>
            <w:r>
              <w:rPr>
                <w:rFonts w:ascii="Arial" w:cs="Arial" w:eastAsia="Arial" w:hAnsi="Arial"/>
                <w:sz w:val="18"/>
                <w:szCs w:val="18"/>
                <w:color w:val="auto"/>
                <w:w w:val="99"/>
              </w:rPr>
              <w:t>Harbor Capital Appreciation R</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70,339</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2050 O</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67,006</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5280" w:type="dxa"/>
            <w:vAlign w:val="bottom"/>
            <w:gridSpan w:val="2"/>
            <w:shd w:val="clear" w:color="auto" w:fill="CFF0FC"/>
          </w:tcPr>
          <w:p>
            <w:pPr>
              <w:jc w:val="center"/>
              <w:ind w:left="470"/>
              <w:spacing w:after="0" w:line="202" w:lineRule="exact"/>
              <w:rPr>
                <w:sz w:val="20"/>
                <w:szCs w:val="20"/>
                <w:color w:val="auto"/>
              </w:rPr>
            </w:pPr>
            <w:r>
              <w:rPr>
                <w:rFonts w:ascii="Arial" w:cs="Arial" w:eastAsia="Arial" w:hAnsi="Arial"/>
                <w:sz w:val="18"/>
                <w:szCs w:val="18"/>
                <w:color w:val="auto"/>
                <w:w w:val="99"/>
              </w:rPr>
              <w:t>BlackRock Lifepath® Index Retirement O</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65,719</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Galliard Capital Management, LLC</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99"/>
              </w:rPr>
              <w:t>Galliard Stable Return Fund 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62,771</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  Martin Marietta Materials, Inc.</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30"/>
              <w:spacing w:after="0" w:line="202" w:lineRule="exact"/>
              <w:rPr>
                <w:sz w:val="20"/>
                <w:szCs w:val="20"/>
                <w:color w:val="auto"/>
              </w:rPr>
            </w:pPr>
            <w:r>
              <w:rPr>
                <w:rFonts w:ascii="Arial" w:cs="Arial" w:eastAsia="Arial" w:hAnsi="Arial"/>
                <w:sz w:val="18"/>
                <w:szCs w:val="18"/>
                <w:color w:val="auto"/>
                <w:w w:val="99"/>
              </w:rPr>
              <w:t>Common Stock</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60,667</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Washington Mutual</w:t>
            </w:r>
          </w:p>
        </w:tc>
        <w:tc>
          <w:tcPr>
            <w:tcW w:w="5280" w:type="dxa"/>
            <w:vAlign w:val="bottom"/>
            <w:gridSpan w:val="2"/>
          </w:tcPr>
          <w:p>
            <w:pPr>
              <w:jc w:val="center"/>
              <w:ind w:left="450"/>
              <w:spacing w:after="0" w:line="202" w:lineRule="exact"/>
              <w:rPr>
                <w:sz w:val="20"/>
                <w:szCs w:val="20"/>
                <w:color w:val="auto"/>
              </w:rPr>
            </w:pPr>
            <w:r>
              <w:rPr>
                <w:rFonts w:ascii="Arial" w:cs="Arial" w:eastAsia="Arial" w:hAnsi="Arial"/>
                <w:sz w:val="18"/>
                <w:szCs w:val="18"/>
                <w:color w:val="auto"/>
                <w:w w:val="99"/>
              </w:rPr>
              <w:t>American Funds Washington Mutual Class R-6</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55,979</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2055 O</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48,562</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tcPr>
          <w:p>
            <w:pPr>
              <w:spacing w:after="0"/>
              <w:rPr>
                <w:sz w:val="17"/>
                <w:szCs w:val="17"/>
                <w:color w:val="auto"/>
              </w:rPr>
            </w:pPr>
          </w:p>
        </w:tc>
        <w:tc>
          <w:tcPr>
            <w:tcW w:w="392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2060 O</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37,004</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 Vanguard Group</w:t>
            </w:r>
          </w:p>
        </w:tc>
        <w:tc>
          <w:tcPr>
            <w:tcW w:w="5280" w:type="dxa"/>
            <w:vAlign w:val="bottom"/>
            <w:gridSpan w:val="2"/>
            <w:shd w:val="clear" w:color="auto" w:fill="CFF0FC"/>
          </w:tcPr>
          <w:p>
            <w:pPr>
              <w:jc w:val="center"/>
              <w:ind w:left="450"/>
              <w:spacing w:after="0" w:line="202" w:lineRule="exact"/>
              <w:rPr>
                <w:sz w:val="20"/>
                <w:szCs w:val="20"/>
                <w:color w:val="auto"/>
              </w:rPr>
            </w:pPr>
            <w:r>
              <w:rPr>
                <w:rFonts w:ascii="Arial" w:cs="Arial" w:eastAsia="Arial" w:hAnsi="Arial"/>
                <w:sz w:val="18"/>
                <w:szCs w:val="18"/>
                <w:color w:val="auto"/>
                <w:w w:val="99"/>
              </w:rPr>
              <w:t>Vanguard International Growth Fund Admiral Shares</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35,271</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The Vanguard Group</w:t>
            </w:r>
          </w:p>
        </w:tc>
        <w:tc>
          <w:tcPr>
            <w:tcW w:w="5280" w:type="dxa"/>
            <w:vAlign w:val="bottom"/>
            <w:gridSpan w:val="2"/>
          </w:tcPr>
          <w:p>
            <w:pPr>
              <w:jc w:val="center"/>
              <w:ind w:left="470"/>
              <w:spacing w:after="0" w:line="202" w:lineRule="exact"/>
              <w:rPr>
                <w:sz w:val="20"/>
                <w:szCs w:val="20"/>
                <w:color w:val="auto"/>
              </w:rPr>
            </w:pPr>
            <w:r>
              <w:rPr>
                <w:rFonts w:ascii="Arial" w:cs="Arial" w:eastAsia="Arial" w:hAnsi="Arial"/>
                <w:sz w:val="18"/>
                <w:szCs w:val="18"/>
                <w:color w:val="auto"/>
                <w:w w:val="99"/>
              </w:rPr>
              <w:t>Vanguard Explorer Fund Admiral Shares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28,197</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10"/>
              <w:spacing w:after="0" w:line="202" w:lineRule="exact"/>
              <w:rPr>
                <w:sz w:val="20"/>
                <w:szCs w:val="20"/>
                <w:color w:val="auto"/>
              </w:rPr>
            </w:pPr>
            <w:r>
              <w:rPr>
                <w:rFonts w:ascii="Arial" w:cs="Arial" w:eastAsia="Arial" w:hAnsi="Arial"/>
                <w:sz w:val="18"/>
                <w:szCs w:val="18"/>
                <w:color w:val="auto"/>
                <w:w w:val="99"/>
              </w:rPr>
              <w:t>BlackRock Lifepath® Index 2065 O</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19,651</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Dodge &amp; Cox Funds</w:t>
            </w:r>
          </w:p>
        </w:tc>
        <w:tc>
          <w:tcPr>
            <w:tcW w:w="1360" w:type="dxa"/>
            <w:vAlign w:val="bottom"/>
          </w:tcPr>
          <w:p>
            <w:pPr>
              <w:spacing w:after="0"/>
              <w:rPr>
                <w:sz w:val="17"/>
                <w:szCs w:val="17"/>
                <w:color w:val="auto"/>
              </w:rPr>
            </w:pPr>
          </w:p>
        </w:tc>
        <w:tc>
          <w:tcPr>
            <w:tcW w:w="3920" w:type="dxa"/>
            <w:vAlign w:val="bottom"/>
          </w:tcPr>
          <w:p>
            <w:pPr>
              <w:jc w:val="center"/>
              <w:ind w:right="730"/>
              <w:spacing w:after="0" w:line="202" w:lineRule="exact"/>
              <w:rPr>
                <w:sz w:val="20"/>
                <w:szCs w:val="20"/>
                <w:color w:val="auto"/>
              </w:rPr>
            </w:pPr>
            <w:r>
              <w:rPr>
                <w:rFonts w:ascii="Arial" w:cs="Arial" w:eastAsia="Arial" w:hAnsi="Arial"/>
                <w:sz w:val="18"/>
                <w:szCs w:val="18"/>
                <w:color w:val="auto"/>
              </w:rPr>
              <w:t>Dodge &amp; Cox Income Fund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16,615</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5280" w:type="dxa"/>
            <w:vAlign w:val="bottom"/>
            <w:gridSpan w:val="2"/>
            <w:shd w:val="clear" w:color="auto" w:fill="CFF0FC"/>
          </w:tcPr>
          <w:p>
            <w:pPr>
              <w:jc w:val="center"/>
              <w:ind w:left="450"/>
              <w:spacing w:after="0" w:line="202" w:lineRule="exact"/>
              <w:rPr>
                <w:sz w:val="20"/>
                <w:szCs w:val="20"/>
                <w:color w:val="auto"/>
              </w:rPr>
            </w:pPr>
            <w:r>
              <w:rPr>
                <w:rFonts w:ascii="Arial" w:cs="Arial" w:eastAsia="Arial" w:hAnsi="Arial"/>
                <w:sz w:val="18"/>
                <w:szCs w:val="18"/>
                <w:color w:val="auto"/>
                <w:w w:val="99"/>
              </w:rPr>
              <w:t>BlackRock Mid Cap Equity Index Fund M</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280" w:type="dxa"/>
            <w:vAlign w:val="bottom"/>
            <w:gridSpan w:val="2"/>
          </w:tcPr>
          <w:p>
            <w:pPr>
              <w:jc w:val="center"/>
              <w:ind w:left="410"/>
              <w:spacing w:after="0" w:line="183" w:lineRule="exact"/>
              <w:rPr>
                <w:sz w:val="20"/>
                <w:szCs w:val="20"/>
                <w:color w:val="auto"/>
              </w:rPr>
            </w:pPr>
            <w:r>
              <w:rPr>
                <w:rFonts w:ascii="Arial" w:cs="Arial" w:eastAsia="Arial" w:hAnsi="Arial"/>
                <w:sz w:val="18"/>
                <w:szCs w:val="18"/>
                <w:color w:val="auto"/>
                <w:w w:val="99"/>
              </w:rPr>
              <w:t>iShares MSCI Europe, Australasia and Far East (EAFE®)</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IS MSCI EAFE INTL K</w:t>
            </w:r>
          </w:p>
        </w:tc>
        <w:tc>
          <w:tcPr>
            <w:tcW w:w="1360" w:type="dxa"/>
            <w:vAlign w:val="bottom"/>
          </w:tcPr>
          <w:p>
            <w:pPr>
              <w:spacing w:after="0"/>
              <w:rPr>
                <w:sz w:val="19"/>
                <w:szCs w:val="19"/>
                <w:color w:val="auto"/>
              </w:rPr>
            </w:pPr>
          </w:p>
        </w:tc>
        <w:tc>
          <w:tcPr>
            <w:tcW w:w="3920" w:type="dxa"/>
            <w:vAlign w:val="bottom"/>
          </w:tcPr>
          <w:p>
            <w:pPr>
              <w:jc w:val="center"/>
              <w:ind w:right="730"/>
              <w:spacing w:after="0"/>
              <w:rPr>
                <w:sz w:val="20"/>
                <w:szCs w:val="20"/>
                <w:color w:val="auto"/>
              </w:rPr>
            </w:pPr>
            <w:r>
              <w:rPr>
                <w:rFonts w:ascii="Arial" w:cs="Arial" w:eastAsia="Arial" w:hAnsi="Arial"/>
                <w:sz w:val="18"/>
                <w:szCs w:val="18"/>
                <w:color w:val="auto"/>
              </w:rPr>
              <w:t>International Index Fund Class 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shd w:val="clear" w:color="auto" w:fill="CFF0FC"/>
          </w:tcPr>
          <w:p>
            <w:pPr>
              <w:spacing w:after="0"/>
              <w:rPr>
                <w:sz w:val="17"/>
                <w:szCs w:val="17"/>
                <w:color w:val="auto"/>
              </w:rPr>
            </w:pPr>
          </w:p>
        </w:tc>
        <w:tc>
          <w:tcPr>
            <w:tcW w:w="3920" w:type="dxa"/>
            <w:vAlign w:val="bottom"/>
            <w:shd w:val="clear" w:color="auto" w:fill="CFF0FC"/>
          </w:tcPr>
          <w:p>
            <w:pPr>
              <w:jc w:val="center"/>
              <w:ind w:right="730"/>
              <w:spacing w:after="0" w:line="202" w:lineRule="exact"/>
              <w:rPr>
                <w:sz w:val="20"/>
                <w:szCs w:val="20"/>
                <w:color w:val="auto"/>
              </w:rPr>
            </w:pPr>
            <w:r>
              <w:rPr>
                <w:rFonts w:ascii="Arial" w:cs="Arial" w:eastAsia="Arial" w:hAnsi="Arial"/>
                <w:sz w:val="18"/>
                <w:szCs w:val="18"/>
                <w:color w:val="auto"/>
              </w:rPr>
              <w:t>BlackRock US Debt Index Fund M</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w w:val="99"/>
              </w:rPr>
              <w:t>BlackRock Institutional Trust Company, N.A.</w:t>
            </w:r>
          </w:p>
        </w:tc>
        <w:tc>
          <w:tcPr>
            <w:tcW w:w="1360" w:type="dxa"/>
            <w:vAlign w:val="bottom"/>
          </w:tcPr>
          <w:p>
            <w:pPr>
              <w:spacing w:after="0"/>
              <w:rPr>
                <w:sz w:val="17"/>
                <w:szCs w:val="17"/>
                <w:color w:val="auto"/>
              </w:rPr>
            </w:pPr>
          </w:p>
        </w:tc>
        <w:tc>
          <w:tcPr>
            <w:tcW w:w="3920" w:type="dxa"/>
            <w:vAlign w:val="bottom"/>
          </w:tcPr>
          <w:p>
            <w:pPr>
              <w:jc w:val="center"/>
              <w:ind w:right="730"/>
              <w:spacing w:after="0" w:line="202" w:lineRule="exact"/>
              <w:rPr>
                <w:sz w:val="20"/>
                <w:szCs w:val="20"/>
                <w:color w:val="auto"/>
              </w:rPr>
            </w:pPr>
            <w:r>
              <w:rPr>
                <w:rFonts w:ascii="Arial" w:cs="Arial" w:eastAsia="Arial" w:hAnsi="Arial"/>
                <w:sz w:val="18"/>
                <w:szCs w:val="18"/>
                <w:color w:val="auto"/>
              </w:rPr>
              <w:t>BlackRock Russell 2000 Index Fund M</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320" w:type="dxa"/>
            <w:vAlign w:val="bottom"/>
            <w:shd w:val="clear" w:color="auto" w:fill="CFF0FC"/>
          </w:tcPr>
          <w:p>
            <w:pPr>
              <w:spacing w:after="0"/>
              <w:rPr>
                <w:sz w:val="17"/>
                <w:szCs w:val="17"/>
                <w:color w:val="auto"/>
              </w:rPr>
            </w:pPr>
          </w:p>
        </w:tc>
        <w:tc>
          <w:tcPr>
            <w:tcW w:w="3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Great Gray Trust Company, LLC</w:t>
            </w:r>
          </w:p>
        </w:tc>
        <w:tc>
          <w:tcPr>
            <w:tcW w:w="5280" w:type="dxa"/>
            <w:vAlign w:val="bottom"/>
            <w:gridSpan w:val="2"/>
            <w:shd w:val="clear" w:color="auto" w:fill="CFF0FC"/>
          </w:tcPr>
          <w:p>
            <w:pPr>
              <w:jc w:val="center"/>
              <w:ind w:left="450"/>
              <w:spacing w:after="0" w:line="202" w:lineRule="exact"/>
              <w:rPr>
                <w:sz w:val="20"/>
                <w:szCs w:val="20"/>
                <w:color w:val="auto"/>
              </w:rPr>
            </w:pPr>
            <w:r>
              <w:rPr>
                <w:rFonts w:ascii="Arial" w:cs="Arial" w:eastAsia="Arial" w:hAnsi="Arial"/>
                <w:sz w:val="18"/>
                <w:szCs w:val="18"/>
                <w:color w:val="auto"/>
                <w:w w:val="99"/>
              </w:rPr>
              <w:t>Galliard Retirement Income Fund Class F35</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3"/>
        </w:trPr>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Fidelity Investments Inc.</w:t>
            </w:r>
          </w:p>
        </w:tc>
        <w:tc>
          <w:tcPr>
            <w:tcW w:w="5280" w:type="dxa"/>
            <w:vAlign w:val="bottom"/>
            <w:gridSpan w:val="2"/>
          </w:tcPr>
          <w:p>
            <w:pPr>
              <w:jc w:val="center"/>
              <w:ind w:left="470"/>
              <w:spacing w:after="0" w:line="202" w:lineRule="exact"/>
              <w:rPr>
                <w:sz w:val="20"/>
                <w:szCs w:val="20"/>
                <w:color w:val="auto"/>
              </w:rPr>
            </w:pPr>
            <w:r>
              <w:rPr>
                <w:rFonts w:ascii="Arial" w:cs="Arial" w:eastAsia="Arial" w:hAnsi="Arial"/>
                <w:sz w:val="18"/>
                <w:szCs w:val="18"/>
                <w:color w:val="auto"/>
                <w:w w:val="99"/>
              </w:rPr>
              <w:t>Fidelity® Government Money Market Fund Class K6</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4"/>
        </w:trPr>
        <w:tc>
          <w:tcPr>
            <w:tcW w:w="320" w:type="dxa"/>
            <w:vAlign w:val="bottom"/>
            <w:shd w:val="clear" w:color="auto" w:fill="CFF0FC"/>
          </w:tcPr>
          <w:p>
            <w:pPr>
              <w:spacing w:after="0"/>
              <w:rPr>
                <w:sz w:val="15"/>
                <w:szCs w:val="15"/>
                <w:color w:val="auto"/>
              </w:rPr>
            </w:pPr>
          </w:p>
        </w:tc>
        <w:tc>
          <w:tcPr>
            <w:tcW w:w="3580" w:type="dxa"/>
            <w:vAlign w:val="bottom"/>
            <w:shd w:val="clear" w:color="auto" w:fill="CFF0FC"/>
          </w:tcPr>
          <w:p>
            <w:pPr>
              <w:spacing w:after="0"/>
              <w:rPr>
                <w:sz w:val="15"/>
                <w:szCs w:val="15"/>
                <w:color w:val="auto"/>
              </w:rPr>
            </w:pPr>
          </w:p>
        </w:tc>
        <w:tc>
          <w:tcPr>
            <w:tcW w:w="5280" w:type="dxa"/>
            <w:vAlign w:val="bottom"/>
            <w:gridSpan w:val="2"/>
            <w:shd w:val="clear" w:color="auto" w:fill="CFF0FC"/>
          </w:tcPr>
          <w:p>
            <w:pPr>
              <w:jc w:val="center"/>
              <w:ind w:left="410"/>
              <w:spacing w:after="0" w:line="183" w:lineRule="exact"/>
              <w:rPr>
                <w:sz w:val="20"/>
                <w:szCs w:val="20"/>
                <w:color w:val="auto"/>
              </w:rPr>
            </w:pPr>
            <w:r>
              <w:rPr>
                <w:rFonts w:ascii="Arial" w:cs="Arial" w:eastAsia="Arial" w:hAnsi="Arial"/>
                <w:sz w:val="18"/>
                <w:szCs w:val="18"/>
                <w:color w:val="auto"/>
              </w:rPr>
              <w:t>Interest rates ranging from 4.00% to 10.00%, maturing</w:t>
            </w: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08"/>
        </w:trPr>
        <w:tc>
          <w:tcPr>
            <w:tcW w:w="320" w:type="dxa"/>
            <w:vAlign w:val="bottom"/>
            <w:tcBorders>
              <w:bottom w:val="single" w:sz="8" w:color="CFF0FC"/>
            </w:tcBorders>
            <w:shd w:val="clear" w:color="auto" w:fill="CFF0FC"/>
          </w:tcPr>
          <w:p>
            <w:pPr>
              <w:spacing w:after="0"/>
              <w:rPr>
                <w:sz w:val="18"/>
                <w:szCs w:val="18"/>
                <w:color w:val="auto"/>
              </w:rPr>
            </w:pPr>
          </w:p>
        </w:tc>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Participant loans**</w:t>
            </w:r>
          </w:p>
        </w:tc>
        <w:tc>
          <w:tcPr>
            <w:tcW w:w="1360" w:type="dxa"/>
            <w:vAlign w:val="bottom"/>
            <w:tcBorders>
              <w:bottom w:val="single" w:sz="8" w:color="CFF0FC"/>
            </w:tcBorders>
            <w:shd w:val="clear" w:color="auto" w:fill="CFF0FC"/>
          </w:tcPr>
          <w:p>
            <w:pPr>
              <w:spacing w:after="0"/>
              <w:rPr>
                <w:sz w:val="18"/>
                <w:szCs w:val="18"/>
                <w:color w:val="auto"/>
              </w:rPr>
            </w:pPr>
          </w:p>
        </w:tc>
        <w:tc>
          <w:tcPr>
            <w:tcW w:w="3920" w:type="dxa"/>
            <w:vAlign w:val="bottom"/>
            <w:tcBorders>
              <w:bottom w:val="single" w:sz="8" w:color="CFF0FC"/>
            </w:tcBorders>
            <w:shd w:val="clear" w:color="auto" w:fill="CFF0FC"/>
          </w:tcPr>
          <w:p>
            <w:pPr>
              <w:jc w:val="center"/>
              <w:ind w:right="730"/>
              <w:spacing w:after="0"/>
              <w:rPr>
                <w:sz w:val="20"/>
                <w:szCs w:val="20"/>
                <w:color w:val="auto"/>
              </w:rPr>
            </w:pPr>
            <w:r>
              <w:rPr>
                <w:rFonts w:ascii="Arial" w:cs="Arial" w:eastAsia="Arial" w:hAnsi="Arial"/>
                <w:sz w:val="18"/>
                <w:szCs w:val="18"/>
                <w:color w:val="auto"/>
                <w:w w:val="99"/>
              </w:rPr>
              <w:t>through November 2040</w:t>
            </w:r>
          </w:p>
        </w:tc>
        <w:tc>
          <w:tcPr>
            <w:tcW w:w="5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1,068,336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Cost information has not been included in column (d) because all investments are participant directed.</w:t>
      </w:r>
    </w:p>
    <w:p>
      <w:pPr>
        <w:spacing w:after="0" w:line="9" w:lineRule="exact"/>
        <w:rPr>
          <w:sz w:val="20"/>
          <w:szCs w:val="20"/>
          <w:color w:val="auto"/>
        </w:rPr>
      </w:pPr>
    </w:p>
    <w:p>
      <w:pPr>
        <w:ind w:left="340"/>
        <w:spacing w:after="0"/>
        <w:tabs>
          <w:tab w:leader="none" w:pos="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Indicates party-in-interest to the Plan.</w:t>
      </w:r>
    </w:p>
    <w:p>
      <w:pPr>
        <w:ind w:left="340"/>
        <w:spacing w:after="0"/>
        <w:rPr>
          <w:sz w:val="20"/>
          <w:szCs w:val="20"/>
          <w:color w:val="auto"/>
        </w:rPr>
      </w:pPr>
      <w:r>
        <w:rPr>
          <w:rFonts w:ascii="Arial" w:cs="Arial" w:eastAsia="Arial" w:hAnsi="Arial"/>
          <w:sz w:val="18"/>
          <w:szCs w:val="18"/>
          <w:color w:val="auto"/>
        </w:rPr>
        <w:t>** The accompanying financial statements classify participant loans as notes receivable from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See Report of Independent Registered Public Accounting Firm.</w:t>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 w:name="page18"/>
    <w:bookmarkEnd w:id="17"/>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Pursuant to the requirements of the Securities Exchange Act of 1934, the Plan Administrator of the below named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MARTIN MARIETTA SAVINGS and</w:t>
      </w:r>
    </w:p>
    <w:p>
      <w:pPr>
        <w:spacing w:after="0" w:line="12"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INVESTMENT PLAN</w:t>
      </w:r>
    </w:p>
    <w:p>
      <w:pPr>
        <w:spacing w:after="0" w:line="200" w:lineRule="exact"/>
        <w:rPr>
          <w:sz w:val="20"/>
          <w:szCs w:val="20"/>
          <w:color w:val="auto"/>
        </w:rPr>
      </w:pPr>
    </w:p>
    <w:p>
      <w:pPr>
        <w:spacing w:after="0" w:line="256"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 Martin Marietta Materials, Inc.</w:t>
      </w:r>
    </w:p>
    <w:p>
      <w:pPr>
        <w:spacing w:after="0" w:line="10"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Plan Administrator</w:t>
      </w:r>
    </w:p>
    <w:p>
      <w:pPr>
        <w:spacing w:after="0" w:line="200" w:lineRule="exact"/>
        <w:rPr>
          <w:sz w:val="20"/>
          <w:szCs w:val="20"/>
          <w:color w:val="auto"/>
        </w:rPr>
      </w:pPr>
    </w:p>
    <w:p>
      <w:pPr>
        <w:spacing w:after="0" w:line="256"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By: Benefit Plan Committee</w:t>
      </w:r>
    </w:p>
    <w:p>
      <w:pPr>
        <w:spacing w:after="0" w:line="200" w:lineRule="exact"/>
        <w:rPr>
          <w:sz w:val="20"/>
          <w:szCs w:val="20"/>
          <w:color w:val="auto"/>
        </w:rPr>
      </w:pPr>
    </w:p>
    <w:p>
      <w:pPr>
        <w:spacing w:after="0" w:line="276"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Petro</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Michael J. Petro</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Date: June 18, 2026</w:t>
      </w:r>
    </w:p>
    <w:p>
      <w:pPr>
        <w:spacing w:after="0" w:line="2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97"/>
        </w:trPr>
        <w:tc>
          <w:tcPr>
            <w:tcW w:w="2260" w:type="dxa"/>
            <w:vAlign w:val="bottom"/>
            <w:gridSpan w:val="5"/>
          </w:tcPr>
          <w:p>
            <w:pPr>
              <w:spacing w:after="0"/>
              <w:rPr>
                <w:sz w:val="20"/>
                <w:szCs w:val="20"/>
                <w:color w:val="auto"/>
              </w:rPr>
            </w:pPr>
            <w:r>
              <w:rPr>
                <w:rFonts w:ascii="Arial" w:cs="Arial" w:eastAsia="Arial" w:hAnsi="Arial"/>
                <w:sz w:val="22"/>
                <w:szCs w:val="22"/>
                <w:b w:val="1"/>
                <w:bCs w:val="1"/>
                <w:color w:val="auto"/>
              </w:rPr>
              <w:t>EXHIBIT INDEX</w:t>
            </w:r>
          </w:p>
        </w:tc>
        <w:tc>
          <w:tcPr>
            <w:tcW w:w="8980" w:type="dxa"/>
            <w:vAlign w:val="bottom"/>
          </w:tcPr>
          <w:p>
            <w:pPr>
              <w:spacing w:after="0"/>
              <w:rPr>
                <w:sz w:val="24"/>
                <w:szCs w:val="24"/>
                <w:color w:val="auto"/>
              </w:rPr>
            </w:pPr>
          </w:p>
        </w:tc>
      </w:tr>
      <w:tr>
        <w:trPr>
          <w:trHeight w:val="675"/>
        </w:trPr>
        <w:tc>
          <w:tcPr>
            <w:tcW w:w="2260" w:type="dxa"/>
            <w:vAlign w:val="bottom"/>
            <w:gridSpan w:val="5"/>
          </w:tcPr>
          <w:p>
            <w:pPr>
              <w:ind w:left="100"/>
              <w:spacing w:after="0"/>
              <w:rPr>
                <w:sz w:val="20"/>
                <w:szCs w:val="20"/>
                <w:color w:val="auto"/>
              </w:rPr>
            </w:pPr>
            <w:r>
              <w:rPr>
                <w:rFonts w:ascii="Arial" w:cs="Arial" w:eastAsia="Arial" w:hAnsi="Arial"/>
                <w:sz w:val="22"/>
                <w:szCs w:val="22"/>
                <w:b w:val="1"/>
                <w:bCs w:val="1"/>
                <w:color w:val="auto"/>
              </w:rPr>
              <w:t>Exhibit</w:t>
            </w:r>
          </w:p>
        </w:tc>
        <w:tc>
          <w:tcPr>
            <w:tcW w:w="8980" w:type="dxa"/>
            <w:vAlign w:val="bottom"/>
          </w:tcPr>
          <w:p>
            <w:pPr>
              <w:ind w:left="100"/>
              <w:spacing w:after="0"/>
              <w:rPr>
                <w:sz w:val="20"/>
                <w:szCs w:val="20"/>
                <w:color w:val="auto"/>
              </w:rPr>
            </w:pPr>
            <w:r>
              <w:rPr>
                <w:rFonts w:ascii="Arial" w:cs="Arial" w:eastAsia="Arial" w:hAnsi="Arial"/>
                <w:sz w:val="22"/>
                <w:szCs w:val="22"/>
                <w:b w:val="1"/>
                <w:bCs w:val="1"/>
                <w:color w:val="auto"/>
              </w:rPr>
              <w:t>Document</w:t>
            </w:r>
          </w:p>
        </w:tc>
      </w:tr>
      <w:tr>
        <w:trPr>
          <w:trHeight w:val="271"/>
        </w:trPr>
        <w:tc>
          <w:tcPr>
            <w:tcW w:w="2260" w:type="dxa"/>
            <w:vAlign w:val="bottom"/>
            <w:gridSpan w:val="5"/>
          </w:tcPr>
          <w:p>
            <w:pPr>
              <w:ind w:left="100"/>
              <w:spacing w:after="0"/>
              <w:rPr>
                <w:sz w:val="20"/>
                <w:szCs w:val="20"/>
                <w:color w:val="auto"/>
              </w:rPr>
            </w:pPr>
            <w:r>
              <w:rPr>
                <w:rFonts w:ascii="Arial" w:cs="Arial" w:eastAsia="Arial" w:hAnsi="Arial"/>
                <w:sz w:val="22"/>
                <w:szCs w:val="22"/>
                <w:b w:val="1"/>
                <w:bCs w:val="1"/>
                <w:color w:val="auto"/>
              </w:rPr>
              <w:t>No.</w:t>
            </w:r>
          </w:p>
        </w:tc>
        <w:tc>
          <w:tcPr>
            <w:tcW w:w="8980" w:type="dxa"/>
            <w:vAlign w:val="bottom"/>
          </w:tcPr>
          <w:p>
            <w:pPr>
              <w:spacing w:after="0"/>
              <w:rPr>
                <w:sz w:val="23"/>
                <w:szCs w:val="23"/>
                <w:color w:val="auto"/>
              </w:rPr>
            </w:pPr>
          </w:p>
        </w:tc>
      </w:tr>
      <w:tr>
        <w:trPr>
          <w:trHeight w:val="196"/>
        </w:trPr>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0000FF"/>
            </w:tcBorders>
          </w:tcPr>
          <w:p>
            <w:pPr>
              <w:jc w:val="right"/>
              <w:spacing w:after="0" w:line="195" w:lineRule="exact"/>
              <w:rPr>
                <w:sz w:val="20"/>
                <w:szCs w:val="20"/>
                <w:color w:val="auto"/>
              </w:rPr>
            </w:pPr>
            <w:r>
              <w:rPr>
                <w:rFonts w:ascii="Arial" w:cs="Arial" w:eastAsia="Arial" w:hAnsi="Arial"/>
                <w:sz w:val="22"/>
                <w:szCs w:val="22"/>
                <w:color w:val="0000FF"/>
                <w:w w:val="94"/>
              </w:rPr>
              <w:t>23.</w:t>
            </w:r>
            <w:r>
              <w:rPr>
                <w:rFonts w:ascii="Arial" w:cs="Arial" w:eastAsia="Arial" w:hAnsi="Arial"/>
                <w:sz w:val="22"/>
                <w:szCs w:val="22"/>
                <w:u w:val="single" w:color="auto"/>
                <w:color w:val="0000FF"/>
                <w:w w:val="94"/>
              </w:rPr>
              <w:t>01</w:t>
            </w:r>
          </w:p>
        </w:tc>
        <w:tc>
          <w:tcPr>
            <w:tcW w:w="20" w:type="dxa"/>
            <w:vAlign w:val="bottom"/>
            <w:tcBorders>
              <w:top w:val="single" w:sz="8" w:color="auto"/>
              <w:bottom w:val="single" w:sz="8" w:color="0000EE"/>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8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22"/>
                <w:szCs w:val="22"/>
                <w:color w:val="auto"/>
              </w:rPr>
              <w:t>Consent of Forvis Mazars, LLP</w:t>
            </w:r>
          </w:p>
        </w:tc>
      </w:tr>
      <w:tr>
        <w:trPr>
          <w:trHeight w:val="245"/>
        </w:trPr>
        <w:tc>
          <w:tcPr>
            <w:tcW w:w="2260" w:type="dxa"/>
            <w:vAlign w:val="bottom"/>
            <w:gridSpan w:val="5"/>
          </w:tcPr>
          <w:p>
            <w:pPr>
              <w:ind w:left="100"/>
              <w:spacing w:after="0"/>
              <w:rPr>
                <w:sz w:val="20"/>
                <w:szCs w:val="20"/>
                <w:color w:val="auto"/>
              </w:rPr>
            </w:pPr>
            <w:r>
              <w:rPr>
                <w:rFonts w:ascii="Arial" w:cs="Arial" w:eastAsia="Arial" w:hAnsi="Arial"/>
                <w:sz w:val="21"/>
                <w:szCs w:val="21"/>
                <w:color w:val="auto"/>
              </w:rPr>
              <w:t>101.INS</w:t>
            </w:r>
          </w:p>
        </w:tc>
        <w:tc>
          <w:tcPr>
            <w:tcW w:w="8980" w:type="dxa"/>
            <w:vAlign w:val="bottom"/>
          </w:tcPr>
          <w:p>
            <w:pPr>
              <w:ind w:left="100"/>
              <w:spacing w:after="0"/>
              <w:rPr>
                <w:sz w:val="20"/>
                <w:szCs w:val="20"/>
                <w:color w:val="auto"/>
              </w:rPr>
            </w:pPr>
            <w:r>
              <w:rPr>
                <w:rFonts w:ascii="Arial" w:cs="Arial" w:eastAsia="Arial" w:hAnsi="Arial"/>
                <w:sz w:val="21"/>
                <w:szCs w:val="21"/>
                <w:color w:val="auto"/>
              </w:rPr>
              <w:t>Inline XBRL Instance Document – The instance document does not appear in the Interactive</w:t>
            </w:r>
          </w:p>
        </w:tc>
      </w:tr>
      <w:tr>
        <w:trPr>
          <w:trHeight w:val="243"/>
        </w:trPr>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980" w:type="dxa"/>
            <w:vAlign w:val="bottom"/>
          </w:tcPr>
          <w:p>
            <w:pPr>
              <w:ind w:left="100"/>
              <w:spacing w:after="0"/>
              <w:rPr>
                <w:sz w:val="20"/>
                <w:szCs w:val="20"/>
                <w:color w:val="auto"/>
              </w:rPr>
            </w:pPr>
            <w:r>
              <w:rPr>
                <w:rFonts w:ascii="Arial" w:cs="Arial" w:eastAsia="Arial" w:hAnsi="Arial"/>
                <w:sz w:val="21"/>
                <w:szCs w:val="21"/>
                <w:color w:val="auto"/>
              </w:rPr>
              <w:t>Data File because its XBRL tags are embedded within the Inline XBRL document.</w:t>
            </w:r>
          </w:p>
        </w:tc>
      </w:tr>
      <w:tr>
        <w:trPr>
          <w:trHeight w:val="273"/>
        </w:trPr>
        <w:tc>
          <w:tcPr>
            <w:tcW w:w="2260" w:type="dxa"/>
            <w:vAlign w:val="bottom"/>
            <w:gridSpan w:val="5"/>
          </w:tcPr>
          <w:p>
            <w:pPr>
              <w:ind w:left="100"/>
              <w:spacing w:after="0"/>
              <w:rPr>
                <w:sz w:val="20"/>
                <w:szCs w:val="20"/>
                <w:color w:val="auto"/>
              </w:rPr>
            </w:pPr>
            <w:r>
              <w:rPr>
                <w:rFonts w:ascii="Arial" w:cs="Arial" w:eastAsia="Arial" w:hAnsi="Arial"/>
                <w:sz w:val="21"/>
                <w:szCs w:val="21"/>
                <w:color w:val="auto"/>
              </w:rPr>
              <w:t>101.SCH</w:t>
            </w:r>
          </w:p>
        </w:tc>
        <w:tc>
          <w:tcPr>
            <w:tcW w:w="8980" w:type="dxa"/>
            <w:vAlign w:val="bottom"/>
          </w:tcPr>
          <w:p>
            <w:pPr>
              <w:ind w:left="100"/>
              <w:spacing w:after="0"/>
              <w:rPr>
                <w:sz w:val="20"/>
                <w:szCs w:val="20"/>
                <w:color w:val="auto"/>
              </w:rPr>
            </w:pPr>
            <w:r>
              <w:rPr>
                <w:rFonts w:ascii="Arial" w:cs="Arial" w:eastAsia="Arial" w:hAnsi="Arial"/>
                <w:sz w:val="21"/>
                <w:szCs w:val="21"/>
                <w:color w:val="auto"/>
              </w:rPr>
              <w:t>Inline XBRL Taxonomy Extension Schema Document</w:t>
            </w:r>
          </w:p>
        </w:tc>
      </w:tr>
      <w:tr>
        <w:trPr>
          <w:trHeight w:val="459"/>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8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19</w:t>
            </w:r>
          </w:p>
        </w:tc>
      </w:tr>
      <w:tr>
        <w:trPr>
          <w:trHeight w:val="886"/>
        </w:trPr>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9" w:name="page20"/>
    <w:bookmarkEnd w:id="19"/>
    <w:p>
      <w:pPr>
        <w:ind w:left="8640"/>
        <w:spacing w:after="0"/>
        <w:rPr>
          <w:sz w:val="20"/>
          <w:szCs w:val="20"/>
          <w:color w:val="auto"/>
        </w:rPr>
      </w:pPr>
      <w:r>
        <w:rPr>
          <w:rFonts w:ascii="Arial" w:cs="Arial" w:eastAsia="Arial" w:hAnsi="Arial"/>
          <w:sz w:val="22"/>
          <w:szCs w:val="22"/>
          <w:b w:val="1"/>
          <w:bCs w:val="1"/>
          <w:color w:val="auto"/>
        </w:rPr>
        <w:t>EXHIBIT 23.01</w:t>
      </w:r>
    </w:p>
    <w:p>
      <w:pPr>
        <w:spacing w:after="0" w:line="206"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(Forms S-8 No. 333-115918 and No. 333-15429) pertaining to the Amended and Restated Martin Marietta Materials, Inc. Common Stock Purchase Plan for Directors, and the Martin Marietta Savings and Investment Plan (formerly the Martin Marietta Materials, Inc. Performance Sharing Plan and the Martin Marietta Materials, Inc. Savings and Investment Plan for Hourly Employees) of our report dated June 18, 2026, with respect to the financial statements and supplemental schedule of the Martin Marietta Savings and Investment Plan included in the Annual Report on Form 11-K for the year ended 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 Forvis Mazars, LLP</w:t>
      </w:r>
    </w:p>
    <w:p>
      <w:pPr>
        <w:spacing w:after="0"/>
        <w:rPr>
          <w:sz w:val="20"/>
          <w:szCs w:val="20"/>
          <w:color w:val="auto"/>
        </w:rPr>
      </w:pPr>
      <w:r>
        <w:rPr>
          <w:rFonts w:ascii="Arial" w:cs="Arial" w:eastAsia="Arial" w:hAnsi="Arial"/>
          <w:sz w:val="22"/>
          <w:szCs w:val="22"/>
          <w:color w:val="auto"/>
        </w:rPr>
        <w:t>Raleigh, North Carolina</w:t>
      </w:r>
    </w:p>
    <w:p>
      <w:pPr>
        <w:spacing w:after="0"/>
        <w:rPr>
          <w:sz w:val="20"/>
          <w:szCs w:val="20"/>
          <w:color w:val="auto"/>
        </w:rPr>
      </w:pPr>
      <w:r>
        <w:rPr>
          <w:rFonts w:ascii="Arial" w:cs="Arial" w:eastAsia="Arial" w:hAnsi="Arial"/>
          <w:sz w:val="22"/>
          <w:szCs w:val="22"/>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lvl w:ilvl="1">
      <w:lvlJc w:val="left"/>
      <w:lvlText w:val="•"/>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2026-06-18T13:13:41Z</dcterms:created>
  <dcterms:modified xsi:type="dcterms:W3CDTF">2026-06-18T13:13:41Z</dcterms:modified>
</cp:coreProperties>
</file>