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SCHEDULE 14A</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(Rule 14a-101)</w:t>
      </w:r>
    </w:p>
    <w:p>
      <w:pPr>
        <w:spacing w:after="0" w:line="8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09" w:lineRule="exact"/>
        <w:rPr>
          <w:sz w:val="24"/>
          <w:szCs w:val="24"/>
          <w:color w:val="auto"/>
        </w:rPr>
      </w:pPr>
    </w:p>
    <w:p>
      <w:pPr>
        <w:ind w:left="4440"/>
        <w:spacing w:after="0"/>
        <w:rPr>
          <w:sz w:val="20"/>
          <w:szCs w:val="20"/>
          <w:color w:val="auto"/>
        </w:rPr>
      </w:pPr>
      <w:r>
        <w:rPr>
          <w:rFonts w:ascii="Arial" w:cs="Arial" w:eastAsia="Arial" w:hAnsi="Arial"/>
          <w:sz w:val="16"/>
          <w:szCs w:val="16"/>
          <w:b w:val="1"/>
          <w:bCs w:val="1"/>
          <w:color w:val="auto"/>
        </w:rPr>
        <w:t>SCHEDULE 14A INFORMATION</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3" w:lineRule="exact"/>
        <w:rPr>
          <w:sz w:val="24"/>
          <w:szCs w:val="24"/>
          <w:color w:val="auto"/>
        </w:rPr>
      </w:pPr>
    </w:p>
    <w:p>
      <w:pPr>
        <w:jc w:val="center"/>
        <w:ind w:right="-179"/>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1"/>
          <w:szCs w:val="11"/>
          <w:b w:val="1"/>
          <w:bCs w:val="1"/>
          <w:color w:val="auto"/>
        </w:rPr>
        <w:t>)</w:t>
      </w:r>
    </w:p>
    <w:p>
      <w:pPr>
        <w:spacing w:after="0" w:line="6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Check the appropriate box:</w:t>
      </w:r>
    </w:p>
    <w:p>
      <w:pPr>
        <w:spacing w:after="0" w:line="136" w:lineRule="exact"/>
        <w:rPr>
          <w:sz w:val="24"/>
          <w:szCs w:val="24"/>
          <w:color w:val="auto"/>
        </w:rPr>
      </w:pPr>
    </w:p>
    <w:p>
      <w:pPr>
        <w:ind w:left="520" w:hanging="333"/>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5" w:lineRule="exact"/>
        <w:rPr>
          <w:rFonts w:ascii="MS PGothic" w:cs="MS PGothic" w:eastAsia="MS PGothic" w:hAnsi="MS PGothic"/>
          <w:sz w:val="16"/>
          <w:szCs w:val="16"/>
          <w:color w:val="auto"/>
        </w:rPr>
      </w:pPr>
    </w:p>
    <w:p>
      <w:pPr>
        <w:ind w:left="180" w:right="4880" w:firstLine="7"/>
        <w:spacing w:after="0" w:line="199" w:lineRule="exact"/>
        <w:tabs>
          <w:tab w:leader="none" w:pos="51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2" w:lineRule="exact"/>
        <w:rPr>
          <w:rFonts w:ascii="MS PGothic" w:cs="MS PGothic" w:eastAsia="MS PGothic" w:hAnsi="MS PGothic"/>
          <w:sz w:val="16"/>
          <w:szCs w:val="16"/>
          <w:color w:val="auto"/>
        </w:rPr>
      </w:pPr>
    </w:p>
    <w:p>
      <w:pPr>
        <w:ind w:left="520" w:hanging="333"/>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5" w:lineRule="exact"/>
        <w:rPr>
          <w:rFonts w:ascii="MS PGothic" w:cs="MS PGothic" w:eastAsia="MS PGothic" w:hAnsi="MS PGothic"/>
          <w:sz w:val="16"/>
          <w:szCs w:val="16"/>
          <w:color w:val="auto"/>
        </w:rPr>
      </w:pPr>
    </w:p>
    <w:p>
      <w:pPr>
        <w:ind w:left="520" w:hanging="333"/>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w:t>
      </w:r>
    </w:p>
    <w:p>
      <w:pPr>
        <w:spacing w:after="0" w:line="10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13335</wp:posOffset>
            </wp:positionV>
            <wp:extent cx="6905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193040</wp:posOffset>
            </wp:positionV>
            <wp:extent cx="6905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297" w:lineRule="exact"/>
        <w:rPr>
          <w:sz w:val="24"/>
          <w:szCs w:val="24"/>
          <w:color w:val="auto"/>
        </w:rPr>
      </w:pPr>
    </w:p>
    <w:p>
      <w:pPr>
        <w:ind w:left="35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3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Payment of Filing Fee (Check the appropriate box):</w:t>
      </w:r>
    </w:p>
    <w:p>
      <w:pPr>
        <w:spacing w:after="0" w:line="136" w:lineRule="exact"/>
        <w:rPr>
          <w:sz w:val="24"/>
          <w:szCs w:val="24"/>
          <w:color w:val="auto"/>
        </w:rPr>
      </w:pPr>
    </w:p>
    <w:p>
      <w:pPr>
        <w:ind w:left="520" w:hanging="333"/>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36" w:lineRule="exact"/>
        <w:rPr>
          <w:sz w:val="24"/>
          <w:szCs w:val="24"/>
          <w:color w:val="auto"/>
        </w:rPr>
      </w:pPr>
    </w:p>
    <w:p>
      <w:pPr>
        <w:ind w:left="520" w:hanging="333"/>
        <w:spacing w:after="0"/>
        <w:tabs>
          <w:tab w:leader="none" w:pos="5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35" w:lineRule="exact"/>
        <w:rPr>
          <w:rFonts w:ascii="MS PGothic" w:cs="MS PGothic" w:eastAsia="MS PGothic" w:hAnsi="MS PGothic"/>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5" w:lineRule="exact"/>
        <w:rPr>
          <w:rFonts w:ascii="Arial" w:cs="Arial" w:eastAsia="Arial" w:hAnsi="Arial"/>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15" w:lineRule="exact"/>
        <w:rPr>
          <w:rFonts w:ascii="Arial" w:cs="Arial" w:eastAsia="Arial" w:hAnsi="Arial"/>
          <w:sz w:val="16"/>
          <w:szCs w:val="16"/>
          <w:color w:val="auto"/>
        </w:rPr>
      </w:pPr>
    </w:p>
    <w:p>
      <w:pPr>
        <w:ind w:left="840" w:hanging="320"/>
        <w:spacing w:after="0" w:line="254" w:lineRule="auto"/>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Arial" w:cs="Arial" w:eastAsia="Arial" w:hAnsi="Arial"/>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15" w:lineRule="exact"/>
        <w:rPr>
          <w:rFonts w:ascii="Arial" w:cs="Arial" w:eastAsia="Arial" w:hAnsi="Arial"/>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35" w:lineRule="exact"/>
        <w:rPr>
          <w:rFonts w:ascii="Arial" w:cs="Arial" w:eastAsia="Arial" w:hAnsi="Arial"/>
          <w:sz w:val="16"/>
          <w:szCs w:val="16"/>
          <w:color w:val="auto"/>
        </w:rPr>
      </w:pPr>
    </w:p>
    <w:p>
      <w:pPr>
        <w:ind w:left="520" w:hanging="333"/>
        <w:spacing w:after="0"/>
        <w:tabs>
          <w:tab w:leader="none" w:pos="5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15" w:lineRule="exact"/>
        <w:rPr>
          <w:rFonts w:ascii="MS PGothic" w:cs="MS PGothic" w:eastAsia="MS PGothic" w:hAnsi="MS PGothic"/>
          <w:sz w:val="16"/>
          <w:szCs w:val="16"/>
          <w:color w:val="auto"/>
        </w:rPr>
      </w:pPr>
    </w:p>
    <w:p>
      <w:pPr>
        <w:ind w:left="520" w:hanging="333"/>
        <w:spacing w:after="0" w:line="254" w:lineRule="auto"/>
        <w:tabs>
          <w:tab w:leader="none" w:pos="5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6" w:lineRule="exact"/>
        <w:rPr>
          <w:rFonts w:ascii="MS PGothic" w:cs="MS PGothic" w:eastAsia="MS PGothic" w:hAnsi="MS PGothic"/>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15" w:lineRule="exact"/>
        <w:rPr>
          <w:rFonts w:ascii="Arial" w:cs="Arial" w:eastAsia="Arial" w:hAnsi="Arial"/>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15" w:lineRule="exact"/>
        <w:rPr>
          <w:rFonts w:ascii="Arial" w:cs="Arial" w:eastAsia="Arial" w:hAnsi="Arial"/>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15" w:lineRule="exact"/>
        <w:rPr>
          <w:rFonts w:ascii="Arial" w:cs="Arial" w:eastAsia="Arial" w:hAnsi="Arial"/>
          <w:sz w:val="16"/>
          <w:szCs w:val="16"/>
          <w:color w:val="auto"/>
        </w:rPr>
      </w:pPr>
    </w:p>
    <w:p>
      <w:pPr>
        <w:ind w:left="840" w:hanging="320"/>
        <w:spacing w:after="0"/>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537210</wp:posOffset>
            </wp:positionH>
            <wp:positionV relativeFrom="paragraph">
              <wp:posOffset>-2681605</wp:posOffset>
            </wp:positionV>
            <wp:extent cx="6490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-2427605</wp:posOffset>
            </wp:positionV>
            <wp:extent cx="6490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-2055495</wp:posOffset>
            </wp:positionV>
            <wp:extent cx="6490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-1801495</wp:posOffset>
            </wp:positionV>
            <wp:extent cx="6490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-1547495</wp:posOffset>
            </wp:positionV>
            <wp:extent cx="6490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-1217295</wp:posOffset>
            </wp:positionV>
            <wp:extent cx="6694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41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-641985</wp:posOffset>
            </wp:positionV>
            <wp:extent cx="6490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-387985</wp:posOffset>
            </wp:positionV>
            <wp:extent cx="6490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-134620</wp:posOffset>
            </wp:positionV>
            <wp:extent cx="6490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wp:posOffset>
            </wp:positionH>
            <wp:positionV relativeFrom="paragraph">
              <wp:posOffset>118745</wp:posOffset>
            </wp:positionV>
            <wp:extent cx="6490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0970" cy="8255"/>
                    </a:xfrm>
                    <a:prstGeom prst="rect">
                      <a:avLst/>
                    </a:prstGeom>
                    <a:noFill/>
                  </pic:spPr>
                </pic:pic>
              </a:graphicData>
            </a:graphic>
          </wp:anchor>
        </w:drawing>
      </w:r>
    </w:p>
    <w:p>
      <w:pPr>
        <w:sectPr>
          <w:pgSz w:w="11900" w:h="16838" w:orient="portrait"/>
          <w:cols w:equalWidth="0" w:num="1">
            <w:col w:w="11060"/>
          </w:cols>
          <w:pgMar w:left="320" w:top="228" w:right="5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223520</wp:posOffset>
            </wp:positionV>
            <wp:extent cx="7078345" cy="9139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8345" cy="91395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1100455" cy="321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0455" cy="32131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April 16, 2020</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Dear Fellow Shareholder:</w:t>
      </w:r>
    </w:p>
    <w:p>
      <w:pPr>
        <w:spacing w:after="0" w:line="242" w:lineRule="exact"/>
        <w:rPr>
          <w:sz w:val="20"/>
          <w:szCs w:val="20"/>
          <w:color w:val="auto"/>
        </w:rPr>
      </w:pPr>
    </w:p>
    <w:p>
      <w:pPr>
        <w:jc w:val="both"/>
        <w:ind w:left="180" w:right="2700"/>
        <w:spacing w:after="0" w:line="247" w:lineRule="auto"/>
        <w:rPr>
          <w:sz w:val="20"/>
          <w:szCs w:val="20"/>
          <w:color w:val="auto"/>
        </w:rPr>
      </w:pPr>
      <w:r>
        <w:rPr>
          <w:rFonts w:ascii="Arial" w:cs="Arial" w:eastAsia="Arial" w:hAnsi="Arial"/>
          <w:sz w:val="16"/>
          <w:szCs w:val="16"/>
          <w:color w:val="auto"/>
        </w:rPr>
        <w:t>On behalf of the Martin Marietta Board of Directors and executive officers, you are cordially invited to attend Martin Marietta’s 2020 Annual Meeting of Shareholders. I am providing some of the highlights of our key actions and important decisions in 2019, as well as information about our financial performance. Please review this Proxy Statement and the 2019 Annual Report for more information about these topics.</w:t>
      </w:r>
    </w:p>
    <w:p>
      <w:pPr>
        <w:spacing w:after="0" w:line="189" w:lineRule="exact"/>
        <w:rPr>
          <w:sz w:val="20"/>
          <w:szCs w:val="20"/>
          <w:color w:val="auto"/>
        </w:rPr>
      </w:pPr>
    </w:p>
    <w:p>
      <w:pPr>
        <w:jc w:val="both"/>
        <w:ind w:left="180" w:right="2700"/>
        <w:spacing w:after="0" w:line="245" w:lineRule="auto"/>
        <w:rPr>
          <w:sz w:val="20"/>
          <w:szCs w:val="20"/>
          <w:color w:val="auto"/>
        </w:rPr>
      </w:pPr>
      <w:r>
        <w:rPr>
          <w:rFonts w:ascii="Arial" w:cs="Arial" w:eastAsia="Arial" w:hAnsi="Arial"/>
          <w:sz w:val="16"/>
          <w:szCs w:val="16"/>
          <w:color w:val="auto"/>
        </w:rPr>
        <w:t>As we issue this Proxy Statement, COVID-19 continues to create challenges and hardships, both nationally and globally. While we remain open for business and ready to meet our communities’ product and service needs, we are also committed to safeguarding the health, safety and well-being of all who our business touches. The Company’s executive leadership and Board of Directors have been closely monitoring developments related to COVID-19 and its potential impacts to our employees, customers, supply chains, and others, and proactively taking actions to responsibly prepare so that our people, facilities and business remain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-284480</wp:posOffset>
            </wp:positionV>
            <wp:extent cx="1167765" cy="2200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7765" cy="2200275"/>
                    </a:xfrm>
                    <a:prstGeom prst="rect">
                      <a:avLst/>
                    </a:prstGeom>
                    <a:noFill/>
                  </pic:spPr>
                </pic:pic>
              </a:graphicData>
            </a:graphic>
          </wp:anchor>
        </w:drawing>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Continued to Deliver Strong Financial Results</w:t>
      </w:r>
    </w:p>
    <w:p>
      <w:pPr>
        <w:spacing w:after="0" w:line="19" w:lineRule="exact"/>
        <w:rPr>
          <w:sz w:val="20"/>
          <w:szCs w:val="20"/>
          <w:color w:val="auto"/>
        </w:rPr>
      </w:pPr>
    </w:p>
    <w:p>
      <w:pPr>
        <w:jc w:val="both"/>
        <w:ind w:left="180" w:right="2700"/>
        <w:spacing w:after="0" w:line="245" w:lineRule="auto"/>
        <w:rPr>
          <w:sz w:val="20"/>
          <w:szCs w:val="20"/>
          <w:color w:val="auto"/>
        </w:rPr>
      </w:pPr>
      <w:r>
        <w:rPr>
          <w:rFonts w:ascii="Arial" w:cs="Arial" w:eastAsia="Arial" w:hAnsi="Arial"/>
          <w:sz w:val="16"/>
          <w:szCs w:val="16"/>
          <w:color w:val="auto"/>
        </w:rPr>
        <w:t>2019 was another outstanding year of achievement at Martin Marietta. We delivered top-line revenue growth and translated that growth into record profitability. We outperformed our peers, the S&amp;P 500 and the S&amp;P 500 Materials indices over the 1-, 5- and 10-year periods ended December 31, 2019. Our shareholders saw a total return of 64% over the 1-year period. We increased our quarterly dividend 15% in August 2019, following a 9% increase in August 2018, and have returned $1.6 billion to shareholders from dividends and share repurchases since announcing a 20 million share repurchase authorization in February 2015.</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Shareholder Engagement, Enhanced Corporate Governance and Refreshed Board Membership</w:t>
      </w:r>
    </w:p>
    <w:p>
      <w:pPr>
        <w:spacing w:after="0" w:line="19" w:lineRule="exact"/>
        <w:rPr>
          <w:sz w:val="20"/>
          <w:szCs w:val="20"/>
          <w:color w:val="auto"/>
        </w:rPr>
      </w:pPr>
    </w:p>
    <w:p>
      <w:pPr>
        <w:jc w:val="both"/>
        <w:ind w:left="180" w:right="2700"/>
        <w:spacing w:after="0" w:line="245" w:lineRule="auto"/>
        <w:rPr>
          <w:sz w:val="20"/>
          <w:szCs w:val="20"/>
          <w:color w:val="auto"/>
        </w:rPr>
      </w:pPr>
      <w:r>
        <w:rPr>
          <w:rFonts w:ascii="Arial" w:cs="Arial" w:eastAsia="Arial" w:hAnsi="Arial"/>
          <w:sz w:val="16"/>
          <w:szCs w:val="16"/>
          <w:color w:val="auto"/>
        </w:rPr>
        <w:t>We remained engaged with shareholders and other key stakeholders during 2019. In response to valuable feedback from shareholders, we enhanced our disclosure regarding our activities, risks and opportunities regarding sustainability and other environmental, social and governance issues. Our investor outreach in 2019 extended to 82 meetings with 189 investor groups, and conversations with most of our top 30 shareholders. We visited with our shareholders across the United States and Canada, the United Kingdom, Sweden, Belgium, the Netherlands, and France.</w:t>
      </w:r>
    </w:p>
    <w:p>
      <w:pPr>
        <w:spacing w:after="0" w:line="192"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Over the past four years, we have added six new independent directors. Most recently, Thomas H. Pike joined the Board in July 2019 and Dorothy M. Ables joined our Board in November 2018. In addition, we are nominating David C. Wajsgras to serve on our Board. We are committed to recruiting experienced directors who offer diverse perspectives, professional expertise, and unique skills that align with our long-term corporate strategy and business needs.</w:t>
      </w:r>
    </w:p>
    <w:p>
      <w:pPr>
        <w:spacing w:after="0" w:line="162"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We are deeply grateful to Stephen P. Zelnak, Jr., who will retire from the Board at the 2020 Annual Meeting. Steve has served on our Board since November 1993, including as Chairman, and has made valuable contributions to both the Board and the Company from his previous service as CEO of Martin Marietta. Steve has been an important, thoughtful and knowledgeable voice. We will miss him.</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World-Class Safety Performance</w:t>
      </w:r>
    </w:p>
    <w:p>
      <w:pPr>
        <w:spacing w:after="0" w:line="19"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In 2019, we continued our impressive safety performance. Through the hard work and focus of our employees, safety awareness has been elevated across the Company. Our employees know world-class safety performance is possible; and, importantly, 2019’s results demonstrate this goal is attainable. Our company-wide Lost Time Incident Rate (LTIR) was 0.20, a world-class LTIR for the third year in a row.</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Sustainability</w:t>
      </w:r>
    </w:p>
    <w:p>
      <w:pPr>
        <w:spacing w:after="0" w:line="19" w:lineRule="exact"/>
        <w:rPr>
          <w:sz w:val="20"/>
          <w:szCs w:val="20"/>
          <w:color w:val="auto"/>
        </w:rPr>
      </w:pPr>
    </w:p>
    <w:p>
      <w:pPr>
        <w:jc w:val="both"/>
        <w:ind w:left="180"/>
        <w:spacing w:after="0" w:line="245" w:lineRule="auto"/>
        <w:rPr>
          <w:sz w:val="20"/>
          <w:szCs w:val="20"/>
          <w:color w:val="auto"/>
        </w:rPr>
      </w:pPr>
      <w:r>
        <w:rPr>
          <w:rFonts w:ascii="Arial" w:cs="Arial" w:eastAsia="Arial" w:hAnsi="Arial"/>
          <w:sz w:val="16"/>
          <w:szCs w:val="16"/>
          <w:color w:val="auto"/>
        </w:rPr>
        <w:t>We annually issue our Sustainability Report to share our story, and to provide information that we believe is responsive to requests from our shareholders and other stakeholders, on the efforts and advancements we are making in these important areas. Since our first report in 2015, we have enhanced our reporting with more comprehensive descriptions of our outstanding safety and regulatory programs and performance, targeted and intentional support of education and health, and strong community involvement. In our latest Sustainability Report, to be issued in April 2020, we have included additional disclosure about our activities, accomplishments and opportunities associated with key sustainability matters, including those related to the environment. This includes new disclosures of our direct greenhouse gas emissions across all our business lines, as well as our emissions reductions targets for 2030. Our activities reflect that these matters continue to be part of our core approach and strategy that brings value to our shareholders and other stakeholders.</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Your Vote Matters</w:t>
      </w:r>
    </w:p>
    <w:p>
      <w:pPr>
        <w:spacing w:after="0" w:line="19"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I urge you to cast your vote promptly—even if you plan to attend the Annual Meeting. We encourage you to vote so that your shares will be represented at the meeting.</w:t>
      </w:r>
    </w:p>
    <w:p>
      <w:pPr>
        <w:spacing w:after="0" w:line="157"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Thank you for your investment in Martin Marietta. We look forward to continuing to deliver strong and responsible performance, innovation, and growth to our customers, our shareholders and our other stakeholders.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178435</wp:posOffset>
            </wp:positionV>
            <wp:extent cx="1176020" cy="372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6020"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 Howard Nye</w:t>
      </w:r>
    </w:p>
    <w:p>
      <w:pPr>
        <w:sectPr>
          <w:pgSz w:w="11900" w:h="16838" w:orient="portrait"/>
          <w:cols w:equalWidth="0" w:num="1">
            <w:col w:w="11060"/>
          </w:cols>
          <w:pgMar w:left="320" w:top="455" w:right="519" w:bottom="1440" w:gutter="0" w:footer="0" w:header="0"/>
        </w:sectPr>
      </w:pP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ectPr>
          <w:pgSz w:w="11900" w:h="16838" w:orient="portrait"/>
          <w:cols w:equalWidth="0" w:num="1">
            <w:col w:w="11060"/>
          </w:cols>
          <w:pgMar w:left="320" w:top="455" w:right="51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007CBA"/>
        </w:rPr>
        <w:t>MARTIN MARIETTA MATERIALS, INC.</w:t>
      </w:r>
    </w:p>
    <w:p>
      <w:pPr>
        <w:spacing w:after="0" w:line="24"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007CBA"/>
        </w:rPr>
        <w:t>2710 Wycliff Road, Raleigh, North Carolina 27607</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007CBA"/>
        </w:rPr>
        <w:t>Notice of Annual Meeting of Shareholders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007CBA"/>
        </w:rPr>
        <w:t>To Be Held May 14, 2020</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 Our Shareholders:</w:t>
      </w:r>
    </w:p>
    <w:p>
      <w:pPr>
        <w:spacing w:after="0" w:line="196"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Annual Meeting of Shareholders of Martin Marietta Materials, Inc. will be held on Thursday, May 14, 2020 at 11:30 a.m. EDT at our principal office located at 2710 Wycliff Road, Raleigh, North Carolina. At the meeting, the holders of our outstanding common stock will act on the following matters:</w:t>
      </w:r>
    </w:p>
    <w:p>
      <w:pPr>
        <w:sectPr>
          <w:pgSz w:w="11900" w:h="16838" w:orient="portrait"/>
          <w:cols w:equalWidth="0" w:num="1">
            <w:col w:w="11060"/>
          </w:cols>
          <w:pgMar w:left="320" w:top="455" w:right="519" w:bottom="1440" w:gutter="0" w:footer="0" w:header="0"/>
        </w:sectPr>
      </w:pPr>
    </w:p>
    <w:p>
      <w:pPr>
        <w:spacing w:after="0" w:line="228" w:lineRule="exact"/>
        <w:rPr>
          <w:sz w:val="20"/>
          <w:szCs w:val="20"/>
          <w:color w:val="auto"/>
        </w:rPr>
      </w:pPr>
    </w:p>
    <w:p>
      <w:pPr>
        <w:ind w:left="740"/>
        <w:spacing w:after="0"/>
        <w:rPr>
          <w:sz w:val="20"/>
          <w:szCs w:val="20"/>
          <w:color w:val="auto"/>
        </w:rPr>
      </w:pPr>
      <w:r>
        <w:rPr>
          <w:rFonts w:ascii="Arial" w:cs="Arial" w:eastAsia="Arial" w:hAnsi="Arial"/>
          <w:sz w:val="39"/>
          <w:szCs w:val="39"/>
          <w:color w:val="007CBA"/>
        </w:rPr>
        <w:t>1</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39"/>
          <w:szCs w:val="39"/>
          <w:color w:val="007CBA"/>
        </w:rPr>
        <w:t>2</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39"/>
          <w:szCs w:val="39"/>
          <w:color w:val="007CBA"/>
        </w:rPr>
        <w:t>3</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39"/>
          <w:szCs w:val="39"/>
          <w:color w:val="007CBA"/>
        </w:rPr>
        <w:t>4</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540"/>
        <w:spacing w:after="0" w:line="254" w:lineRule="auto"/>
        <w:rPr>
          <w:sz w:val="20"/>
          <w:szCs w:val="20"/>
          <w:color w:val="auto"/>
        </w:rPr>
      </w:pPr>
      <w:r>
        <w:rPr>
          <w:rFonts w:ascii="Arial" w:cs="Arial" w:eastAsia="Arial" w:hAnsi="Arial"/>
          <w:sz w:val="16"/>
          <w:szCs w:val="16"/>
          <w:color w:val="auto"/>
        </w:rPr>
        <w:t>Election as Directors the ten (10) nominees named in the attached proxy statement, each to serve for a one-year term until 2021, and until their successors are duly elected and qualified;</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Ratification of the appointment of PricewaterhouseCoopers LLP as independent auditors for 2020;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Advisory vote to approve the compensation of our named executive officers; and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Any other business that may properly come before the meeting.</w:t>
      </w:r>
    </w:p>
    <w:p>
      <w:pPr>
        <w:spacing w:after="0" w:line="309" w:lineRule="exact"/>
        <w:rPr>
          <w:sz w:val="20"/>
          <w:szCs w:val="20"/>
          <w:color w:val="auto"/>
        </w:rPr>
      </w:pPr>
    </w:p>
    <w:p>
      <w:pPr>
        <w:sectPr>
          <w:pgSz w:w="11900" w:h="16838" w:orient="portrait"/>
          <w:cols w:equalWidth="0" w:num="2">
            <w:col w:w="960" w:space="180"/>
            <w:col w:w="9920"/>
          </w:cols>
          <w:pgMar w:left="320" w:top="455" w:right="519" w:bottom="1440" w:gutter="0" w:footer="0" w:header="0"/>
          <w:type w:val="continuous"/>
        </w:sectPr>
      </w:pPr>
    </w:p>
    <w:p>
      <w:pPr>
        <w:ind w:left="180"/>
        <w:spacing w:after="0" w:line="254" w:lineRule="auto"/>
        <w:rPr>
          <w:sz w:val="20"/>
          <w:szCs w:val="20"/>
          <w:color w:val="auto"/>
        </w:rPr>
      </w:pPr>
      <w:r>
        <w:rPr>
          <w:rFonts w:ascii="Arial" w:cs="Arial" w:eastAsia="Arial" w:hAnsi="Arial"/>
          <w:sz w:val="16"/>
          <w:szCs w:val="16"/>
          <w:color w:val="auto"/>
        </w:rPr>
        <w:t>All holders of record of Martin Marietta common stock (NYSE: MLM) at the close of business on March 6, 2020 are entitled to notice of and to vote at the Annual Meeting and any adjournments or postponements of the meeting.</w:t>
      </w:r>
    </w:p>
    <w:p>
      <w:pPr>
        <w:spacing w:after="0" w:line="397" w:lineRule="exact"/>
        <w:rPr>
          <w:sz w:val="20"/>
          <w:szCs w:val="20"/>
          <w:color w:val="auto"/>
        </w:rPr>
      </w:pPr>
    </w:p>
    <w:p>
      <w:pPr>
        <w:ind w:left="2300" w:right="1800"/>
        <w:spacing w:after="0" w:line="254" w:lineRule="auto"/>
        <w:rPr>
          <w:sz w:val="20"/>
          <w:szCs w:val="20"/>
          <w:color w:val="auto"/>
        </w:rPr>
      </w:pPr>
      <w:r>
        <w:rPr>
          <w:rFonts w:ascii="Arial" w:cs="Arial" w:eastAsia="Arial" w:hAnsi="Arial"/>
          <w:sz w:val="25"/>
          <w:szCs w:val="25"/>
          <w:color w:val="007CBA"/>
        </w:rPr>
        <w:t xml:space="preserve">The Board of Directors unanimously recommends that you vote </w:t>
      </w:r>
      <w:r>
        <w:rPr>
          <w:rFonts w:ascii="Arial" w:cs="Arial" w:eastAsia="Arial" w:hAnsi="Arial"/>
          <w:sz w:val="25"/>
          <w:szCs w:val="25"/>
          <w:b w:val="1"/>
          <w:bCs w:val="1"/>
          <w:color w:val="007CBA"/>
        </w:rPr>
        <w:t xml:space="preserve">FOR </w:t>
      </w:r>
      <w:r>
        <w:rPr>
          <w:rFonts w:ascii="Arial" w:cs="Arial" w:eastAsia="Arial" w:hAnsi="Arial"/>
          <w:sz w:val="25"/>
          <w:szCs w:val="25"/>
          <w:color w:val="007CBA"/>
        </w:rPr>
        <w:t>proposals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-353060</wp:posOffset>
            </wp:positionV>
            <wp:extent cx="304800" cy="30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800" cy="304800"/>
                    </a:xfrm>
                    <a:prstGeom prst="rect">
                      <a:avLst/>
                    </a:prstGeom>
                    <a:noFill/>
                  </pic:spPr>
                </pic:pic>
              </a:graphicData>
            </a:graphic>
          </wp:anchor>
        </w:drawing>
      </w:r>
    </w:p>
    <w:p>
      <w:pPr>
        <w:spacing w:after="0" w:line="331"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This notice and the accompanying proxy statement are being first mailed to shareholders on or about April 16, 2020. We have enclosed our 2019 Annual Report to Shareholders. The report is not part of the proxy soliciting materials for the Annual Meeting.</w:t>
      </w:r>
    </w:p>
    <w:p>
      <w:pPr>
        <w:spacing w:after="0" w:line="137" w:lineRule="exact"/>
        <w:rPr>
          <w:sz w:val="20"/>
          <w:szCs w:val="20"/>
          <w:color w:val="auto"/>
        </w:rPr>
      </w:pPr>
    </w:p>
    <w:p>
      <w:pPr>
        <w:ind w:left="180"/>
        <w:spacing w:after="0" w:line="280" w:lineRule="auto"/>
        <w:rPr>
          <w:sz w:val="20"/>
          <w:szCs w:val="20"/>
          <w:color w:val="auto"/>
        </w:rPr>
      </w:pPr>
      <w:r>
        <w:rPr>
          <w:rFonts w:ascii="Arial" w:cs="Arial" w:eastAsia="Arial" w:hAnsi="Arial"/>
          <w:sz w:val="16"/>
          <w:szCs w:val="16"/>
          <w:color w:val="auto"/>
        </w:rPr>
        <w:t xml:space="preserve">Whether or not you expect to attend the meeting, we hope you will </w:t>
      </w:r>
      <w:r>
        <w:rPr>
          <w:rFonts w:ascii="Arial" w:cs="Arial" w:eastAsia="Arial" w:hAnsi="Arial"/>
          <w:sz w:val="16"/>
          <w:szCs w:val="16"/>
          <w:b w:val="1"/>
          <w:bCs w:val="1"/>
          <w:color w:val="auto"/>
        </w:rPr>
        <w:t>date and sign the enclosed proxy card</w:t>
      </w:r>
      <w:r>
        <w:rPr>
          <w:rFonts w:ascii="Arial" w:cs="Arial" w:eastAsia="Arial" w:hAnsi="Arial"/>
          <w:sz w:val="16"/>
          <w:szCs w:val="16"/>
          <w:color w:val="auto"/>
        </w:rPr>
        <w:t xml:space="preserve"> and mail it promptly in the enclosed stamped envelope. Submitting your proxy now will not prevent you from voting your shares at the meeting, as your proxy is revocable at your option.</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153035</wp:posOffset>
            </wp:positionV>
            <wp:extent cx="1218565" cy="473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8565"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Roselyn R. Bar</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Executive Vice President, General Counsel and Secretary</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Raleigh, North Carolina</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April 16, 2020</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ANNUAL SHAREHOLDER MEETING TO BE HELD ON MAY 14, 2020:</w:t>
      </w:r>
    </w:p>
    <w:p>
      <w:pPr>
        <w:spacing w:after="0" w:line="146" w:lineRule="exact"/>
        <w:rPr>
          <w:sz w:val="20"/>
          <w:szCs w:val="20"/>
          <w:color w:val="auto"/>
        </w:rPr>
      </w:pPr>
    </w:p>
    <w:p>
      <w:pPr>
        <w:jc w:val="center"/>
        <w:ind w:left="520"/>
        <w:spacing w:after="0" w:line="260" w:lineRule="auto"/>
        <w:rPr>
          <w:sz w:val="20"/>
          <w:szCs w:val="20"/>
          <w:color w:val="auto"/>
        </w:rPr>
      </w:pPr>
      <w:r>
        <w:rPr>
          <w:rFonts w:ascii="Arial" w:cs="Arial" w:eastAsia="Arial" w:hAnsi="Arial"/>
          <w:sz w:val="17"/>
          <w:szCs w:val="17"/>
          <w:color w:val="auto"/>
        </w:rPr>
        <w:t xml:space="preserve">Martin Marietta’s proxy statement, form of proxy card and 2019 Annual Report to Shareholders are also available at </w:t>
      </w:r>
      <w:r>
        <w:rPr>
          <w:rFonts w:ascii="Arial" w:cs="Arial" w:eastAsia="Arial" w:hAnsi="Arial"/>
          <w:sz w:val="17"/>
          <w:szCs w:val="17"/>
          <w:i w:val="1"/>
          <w:iCs w:val="1"/>
          <w:color w:val="auto"/>
        </w:rPr>
        <w:t>ir.martinmarietta.com/reports-filings.</w:t>
      </w:r>
    </w:p>
    <w:p>
      <w:pPr>
        <w:sectPr>
          <w:pgSz w:w="11900" w:h="16838" w:orient="portrait"/>
          <w:cols w:equalWidth="0" w:num="1">
            <w:col w:w="11060"/>
          </w:cols>
          <w:pgMar w:left="320" w:top="455" w:right="5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42"/>
          <w:szCs w:val="42"/>
          <w:color w:val="auto"/>
        </w:rPr>
        <w:t>Table of Contents</w:t>
      </w:r>
    </w:p>
    <w:p>
      <w:pPr>
        <w:sectPr>
          <w:pgSz w:w="11900" w:h="16838" w:orient="portrait"/>
          <w:cols w:equalWidth="0" w:num="1">
            <w:col w:w="10980"/>
          </w:cols>
          <w:pgMar w:left="320" w:top="455" w:right="599" w:bottom="1440" w:gutter="0" w:footer="0" w:header="0"/>
        </w:sectPr>
      </w:pPr>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5"/>
        </w:trPr>
        <w:tc>
          <w:tcPr>
            <w:tcW w:w="4760" w:type="dxa"/>
            <w:vAlign w:val="bottom"/>
            <w:gridSpan w:val="3"/>
          </w:tcPr>
          <w:p>
            <w:pPr>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Proxy Summary</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1</w:t>
            </w:r>
          </w:p>
        </w:tc>
        <w:tc>
          <w:tcPr>
            <w:tcW w:w="0" w:type="dxa"/>
            <w:vAlign w:val="bottom"/>
          </w:tcPr>
          <w:p>
            <w:pPr>
              <w:spacing w:after="0"/>
              <w:rPr>
                <w:sz w:val="1"/>
                <w:szCs w:val="1"/>
                <w:color w:val="auto"/>
              </w:rPr>
            </w:pPr>
          </w:p>
        </w:tc>
      </w:tr>
      <w:tr>
        <w:trPr>
          <w:trHeight w:val="373"/>
        </w:trPr>
        <w:tc>
          <w:tcPr>
            <w:tcW w:w="4760" w:type="dxa"/>
            <w:vAlign w:val="bottom"/>
            <w:gridSpan w:val="3"/>
          </w:tcPr>
          <w:p>
            <w:pPr>
              <w:spacing w:after="0"/>
              <w:rPr>
                <w:rFonts w:ascii="Arial" w:cs="Arial" w:eastAsia="Arial" w:hAnsi="Arial"/>
                <w:sz w:val="20"/>
                <w:szCs w:val="20"/>
                <w:u w:val="single" w:color="auto"/>
                <w:color w:val="0000EE"/>
              </w:rPr>
            </w:pPr>
            <w:hyperlink w:anchor="page14">
              <w:r>
                <w:rPr>
                  <w:rFonts w:ascii="Arial" w:cs="Arial" w:eastAsia="Arial" w:hAnsi="Arial"/>
                  <w:sz w:val="20"/>
                  <w:szCs w:val="20"/>
                  <w:u w:val="single" w:color="auto"/>
                  <w:color w:val="0000EE"/>
                </w:rPr>
                <w:t>The Board of Directors</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9</w:t>
            </w:r>
          </w:p>
        </w:tc>
        <w:tc>
          <w:tcPr>
            <w:tcW w:w="0" w:type="dxa"/>
            <w:vAlign w:val="bottom"/>
          </w:tcPr>
          <w:p>
            <w:pPr>
              <w:spacing w:after="0"/>
              <w:rPr>
                <w:sz w:val="1"/>
                <w:szCs w:val="1"/>
                <w:color w:val="auto"/>
              </w:rPr>
            </w:pPr>
          </w:p>
        </w:tc>
      </w:tr>
      <w:tr>
        <w:trPr>
          <w:trHeight w:val="243"/>
        </w:trPr>
        <w:tc>
          <w:tcPr>
            <w:tcW w:w="4760" w:type="dxa"/>
            <w:vAlign w:val="bottom"/>
            <w:gridSpan w:val="3"/>
          </w:tcPr>
          <w:p>
            <w:pPr>
              <w:ind w:left="32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Board Committees</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83"/>
        </w:trPr>
        <w:tc>
          <w:tcPr>
            <w:tcW w:w="4760" w:type="dxa"/>
            <w:vAlign w:val="bottom"/>
            <w:gridSpan w:val="3"/>
          </w:tcPr>
          <w:p>
            <w:pPr>
              <w:spacing w:after="0"/>
              <w:rPr>
                <w:rFonts w:ascii="Arial" w:cs="Arial" w:eastAsia="Arial" w:hAnsi="Arial"/>
                <w:sz w:val="20"/>
                <w:szCs w:val="20"/>
                <w:u w:val="single" w:color="auto"/>
                <w:color w:val="0000EE"/>
              </w:rPr>
            </w:pPr>
            <w:hyperlink w:anchor="page22">
              <w:r>
                <w:rPr>
                  <w:rFonts w:ascii="Arial" w:cs="Arial" w:eastAsia="Arial" w:hAnsi="Arial"/>
                  <w:sz w:val="20"/>
                  <w:szCs w:val="20"/>
                  <w:u w:val="single" w:color="auto"/>
                  <w:color w:val="0000EE"/>
                </w:rPr>
                <w:t>Proposal 1 – Election of Directors</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17</w:t>
            </w:r>
          </w:p>
        </w:tc>
        <w:tc>
          <w:tcPr>
            <w:tcW w:w="0" w:type="dxa"/>
            <w:vAlign w:val="bottom"/>
          </w:tcPr>
          <w:p>
            <w:pPr>
              <w:spacing w:after="0"/>
              <w:rPr>
                <w:sz w:val="1"/>
                <w:szCs w:val="1"/>
                <w:color w:val="auto"/>
              </w:rPr>
            </w:pPr>
          </w:p>
        </w:tc>
      </w:tr>
      <w:tr>
        <w:trPr>
          <w:trHeight w:val="243"/>
        </w:trPr>
        <w:tc>
          <w:tcPr>
            <w:tcW w:w="4760" w:type="dxa"/>
            <w:vAlign w:val="bottom"/>
            <w:gridSpan w:val="3"/>
          </w:tcPr>
          <w:p>
            <w:pPr>
              <w:ind w:left="32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Director Compensation</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8"/>
        </w:trPr>
        <w:tc>
          <w:tcPr>
            <w:tcW w:w="4600" w:type="dxa"/>
            <w:vAlign w:val="bottom"/>
            <w:tcBorders>
              <w:bottom w:val="single" w:sz="8" w:color="0000EE"/>
            </w:tcBorders>
            <w:gridSpan w:val="2"/>
          </w:tcPr>
          <w:p>
            <w:pPr>
              <w:spacing w:after="0"/>
              <w:rPr>
                <w:rFonts w:ascii="Arial" w:cs="Arial" w:eastAsia="Arial" w:hAnsi="Arial"/>
                <w:sz w:val="20"/>
                <w:szCs w:val="20"/>
                <w:color w:val="0000EE"/>
                <w:w w:val="97"/>
              </w:rPr>
            </w:pPr>
            <w:hyperlink w:anchor="page29">
              <w:r>
                <w:rPr>
                  <w:rFonts w:ascii="Arial" w:cs="Arial" w:eastAsia="Arial" w:hAnsi="Arial"/>
                  <w:sz w:val="20"/>
                  <w:szCs w:val="20"/>
                  <w:color w:val="0000EE"/>
                  <w:w w:val="97"/>
                </w:rPr>
                <w:t>Security Ownership of Certain Beneficial Owners and</w:t>
              </w:r>
            </w:hyperlink>
          </w:p>
        </w:tc>
        <w:tc>
          <w:tcPr>
            <w:tcW w:w="1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007CBA"/>
              </w:rPr>
              <w:t>24</w:t>
            </w:r>
          </w:p>
        </w:tc>
        <w:tc>
          <w:tcPr>
            <w:tcW w:w="0" w:type="dxa"/>
            <w:vAlign w:val="bottom"/>
          </w:tcPr>
          <w:p>
            <w:pPr>
              <w:spacing w:after="0"/>
              <w:rPr>
                <w:sz w:val="1"/>
                <w:szCs w:val="1"/>
                <w:color w:val="auto"/>
              </w:rPr>
            </w:pPr>
          </w:p>
        </w:tc>
      </w:tr>
      <w:tr>
        <w:trPr>
          <w:trHeight w:val="193"/>
        </w:trPr>
        <w:tc>
          <w:tcPr>
            <w:tcW w:w="1140" w:type="dxa"/>
            <w:vAlign w:val="bottom"/>
            <w:tcBorders>
              <w:bottom w:val="single" w:sz="8" w:color="0000EE"/>
            </w:tcBorders>
          </w:tcPr>
          <w:p>
            <w:pPr>
              <w:spacing w:after="0" w:line="193" w:lineRule="exact"/>
              <w:rPr>
                <w:rFonts w:ascii="Arial" w:cs="Arial" w:eastAsia="Arial" w:hAnsi="Arial"/>
                <w:sz w:val="20"/>
                <w:szCs w:val="20"/>
                <w:color w:val="0000EE"/>
                <w:w w:val="95"/>
              </w:rPr>
            </w:pPr>
            <w:hyperlink w:anchor="page29">
              <w:r>
                <w:rPr>
                  <w:rFonts w:ascii="Arial" w:cs="Arial" w:eastAsia="Arial" w:hAnsi="Arial"/>
                  <w:sz w:val="20"/>
                  <w:szCs w:val="20"/>
                  <w:color w:val="0000EE"/>
                  <w:w w:val="95"/>
                </w:rPr>
                <w:t>Management</w:t>
              </w:r>
            </w:hyperlink>
          </w:p>
        </w:tc>
        <w:tc>
          <w:tcPr>
            <w:tcW w:w="3620" w:type="dxa"/>
            <w:vAlign w:val="bottom"/>
            <w:gridSpan w:val="2"/>
          </w:tcPr>
          <w:p>
            <w:pPr>
              <w:spacing w:after="0"/>
              <w:rPr>
                <w:sz w:val="16"/>
                <w:szCs w:val="16"/>
                <w:color w:val="auto"/>
              </w:rPr>
            </w:pP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760" w:type="dxa"/>
            <w:vAlign w:val="bottom"/>
            <w:gridSpan w:val="3"/>
          </w:tcPr>
          <w:p>
            <w:pPr>
              <w:ind w:left="3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Delinquent Section 16(a) Reports</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83"/>
        </w:trPr>
        <w:tc>
          <w:tcPr>
            <w:tcW w:w="4760" w:type="dxa"/>
            <w:vAlign w:val="bottom"/>
            <w:gridSpan w:val="3"/>
          </w:tcPr>
          <w:p>
            <w:pPr>
              <w:spacing w:after="0"/>
              <w:rPr>
                <w:rFonts w:ascii="Arial" w:cs="Arial" w:eastAsia="Arial" w:hAnsi="Arial"/>
                <w:sz w:val="20"/>
                <w:szCs w:val="20"/>
                <w:u w:val="single" w:color="auto"/>
                <w:color w:val="0000EE"/>
              </w:rPr>
            </w:pPr>
            <w:hyperlink w:anchor="page31">
              <w:r>
                <w:rPr>
                  <w:rFonts w:ascii="Arial" w:cs="Arial" w:eastAsia="Arial" w:hAnsi="Arial"/>
                  <w:sz w:val="20"/>
                  <w:szCs w:val="20"/>
                  <w:u w:val="single" w:color="auto"/>
                  <w:color w:val="0000EE"/>
                </w:rPr>
                <w:t>Corporate Governance Matters</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26</w:t>
            </w:r>
          </w:p>
        </w:tc>
        <w:tc>
          <w:tcPr>
            <w:tcW w:w="0" w:type="dxa"/>
            <w:vAlign w:val="bottom"/>
          </w:tcPr>
          <w:p>
            <w:pPr>
              <w:spacing w:after="0"/>
              <w:rPr>
                <w:sz w:val="1"/>
                <w:szCs w:val="1"/>
                <w:color w:val="auto"/>
              </w:rPr>
            </w:pPr>
          </w:p>
        </w:tc>
      </w:tr>
      <w:tr>
        <w:trPr>
          <w:trHeight w:val="243"/>
        </w:trPr>
        <w:tc>
          <w:tcPr>
            <w:tcW w:w="4760" w:type="dxa"/>
            <w:vAlign w:val="bottom"/>
            <w:gridSpan w:val="3"/>
          </w:tcPr>
          <w:p>
            <w:pPr>
              <w:ind w:left="3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Corporate Governance Philosophy</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83"/>
        </w:trPr>
        <w:tc>
          <w:tcPr>
            <w:tcW w:w="4760" w:type="dxa"/>
            <w:vAlign w:val="bottom"/>
            <w:gridSpan w:val="3"/>
          </w:tcPr>
          <w:p>
            <w:pPr>
              <w:spacing w:after="0"/>
              <w:rPr>
                <w:rFonts w:ascii="Arial" w:cs="Arial" w:eastAsia="Arial" w:hAnsi="Arial"/>
                <w:sz w:val="20"/>
                <w:szCs w:val="20"/>
                <w:u w:val="single" w:color="auto"/>
                <w:color w:val="0000EE"/>
              </w:rPr>
            </w:pPr>
            <w:hyperlink w:anchor="page36">
              <w:r>
                <w:rPr>
                  <w:rFonts w:ascii="Arial" w:cs="Arial" w:eastAsia="Arial" w:hAnsi="Arial"/>
                  <w:sz w:val="20"/>
                  <w:szCs w:val="20"/>
                  <w:u w:val="single" w:color="auto"/>
                  <w:color w:val="0000EE"/>
                </w:rPr>
                <w:t>Proposal 2 – Independent Auditors</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31</w:t>
            </w:r>
          </w:p>
        </w:tc>
        <w:tc>
          <w:tcPr>
            <w:tcW w:w="0" w:type="dxa"/>
            <w:vAlign w:val="bottom"/>
          </w:tcPr>
          <w:p>
            <w:pPr>
              <w:spacing w:after="0"/>
              <w:rPr>
                <w:sz w:val="1"/>
                <w:szCs w:val="1"/>
                <w:color w:val="auto"/>
              </w:rPr>
            </w:pPr>
          </w:p>
        </w:tc>
      </w:tr>
      <w:tr>
        <w:trPr>
          <w:trHeight w:val="243"/>
        </w:trPr>
        <w:tc>
          <w:tcPr>
            <w:tcW w:w="4760" w:type="dxa"/>
            <w:vAlign w:val="bottom"/>
            <w:gridSpan w:val="3"/>
          </w:tcPr>
          <w:p>
            <w:pPr>
              <w:ind w:left="3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Summary of Fees</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3"/>
        </w:trPr>
        <w:tc>
          <w:tcPr>
            <w:tcW w:w="4760" w:type="dxa"/>
            <w:vAlign w:val="bottom"/>
            <w:gridSpan w:val="3"/>
          </w:tcPr>
          <w:p>
            <w:pPr>
              <w:ind w:left="3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Pre-Approval Policies and Procedures</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3"/>
        </w:trPr>
        <w:tc>
          <w:tcPr>
            <w:tcW w:w="4760" w:type="dxa"/>
            <w:vAlign w:val="bottom"/>
            <w:gridSpan w:val="3"/>
          </w:tcPr>
          <w:p>
            <w:pPr>
              <w:ind w:left="3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Audit Committee Review</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Performance-Based RSU Awards (45% of LTI Award)</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2019-2021 Performance Goals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2017-2019 PSU Award Payouts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Ongoing Corporate Governance Policies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Compensation Decision Process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Compensation Program Risk Assessment</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Stock-Based Awards Generally</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Stock Ownership Requirements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Anti-Hedging and Pledging Policy</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Clawback Policy</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Our Use of Independent Compensation Consultants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Practice Regarding Timing of Equity Grants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Perquisites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Retirement and Other Benefits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Potential Payments upon Termination or Change of Control</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3"/>
        </w:trPr>
        <w:tc>
          <w:tcPr>
            <w:tcW w:w="446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Tax and Accounting Implications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148" w:lineRule="exact"/>
        <w:rPr>
          <w:sz w:val="20"/>
          <w:szCs w:val="20"/>
          <w:color w:val="auto"/>
        </w:rPr>
      </w:pPr>
    </w:p>
    <w:p>
      <w:pPr>
        <w:sectPr>
          <w:pgSz w:w="11900" w:h="16838" w:orient="portrait"/>
          <w:cols w:equalWidth="0" w:num="2">
            <w:col w:w="5340" w:space="720"/>
            <w:col w:w="4920"/>
          </w:cols>
          <w:pgMar w:left="320" w:top="455" w:right="599" w:bottom="1440" w:gutter="0" w:footer="0" w:header="0"/>
          <w:type w:val="continuous"/>
        </w:sectPr>
      </w:pPr>
    </w:p>
    <w:p>
      <w:pPr>
        <w:spacing w:after="0" w:line="13" w:lineRule="exact"/>
        <w:rPr>
          <w:sz w:val="20"/>
          <w:szCs w:val="20"/>
          <w:color w:val="auto"/>
        </w:rPr>
      </w:pPr>
    </w:p>
    <w:p>
      <w:pPr>
        <w:ind w:left="200"/>
        <w:spacing w:after="0"/>
        <w:rPr>
          <w:rFonts w:ascii="Arial" w:cs="Arial" w:eastAsia="Arial" w:hAnsi="Arial"/>
          <w:sz w:val="20"/>
          <w:szCs w:val="20"/>
          <w:u w:val="single" w:color="auto"/>
          <w:color w:val="0000EE"/>
        </w:rPr>
      </w:pPr>
      <w:hyperlink w:anchor="page37">
        <w:r>
          <w:rPr>
            <w:rFonts w:ascii="Arial" w:cs="Arial" w:eastAsia="Arial" w:hAnsi="Arial"/>
            <w:sz w:val="20"/>
            <w:szCs w:val="20"/>
            <w:u w:val="single" w:color="auto"/>
            <w:color w:val="0000EE"/>
          </w:rPr>
          <w:t>Audit Committee Report</w:t>
        </w:r>
      </w:hyperlink>
    </w:p>
    <w:p>
      <w:pPr>
        <w:spacing w:after="0" w:line="143" w:lineRule="exact"/>
        <w:rPr>
          <w:sz w:val="20"/>
          <w:szCs w:val="20"/>
          <w:color w:val="auto"/>
        </w:rPr>
      </w:pPr>
    </w:p>
    <w:p>
      <w:pPr>
        <w:ind w:left="200" w:right="360"/>
        <w:spacing w:after="0" w:line="233" w:lineRule="auto"/>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Management Development and Compensation</w:t>
        </w:r>
      </w:hyperlink>
      <w:r>
        <w:rPr>
          <w:rFonts w:ascii="Arial" w:cs="Arial" w:eastAsia="Arial" w:hAnsi="Arial"/>
          <w:sz w:val="20"/>
          <w:szCs w:val="20"/>
          <w:u w:val="single" w:color="auto"/>
          <w:color w:val="0000EE"/>
        </w:rPr>
        <w:t xml:space="preserve"> </w:t>
      </w:r>
      <w:hyperlink w:anchor="page38">
        <w:r>
          <w:rPr>
            <w:rFonts w:ascii="Arial" w:cs="Arial" w:eastAsia="Arial" w:hAnsi="Arial"/>
            <w:sz w:val="20"/>
            <w:szCs w:val="20"/>
            <w:u w:val="single" w:color="auto"/>
            <w:color w:val="0000EE"/>
          </w:rPr>
          <w:t>Committee Report</w:t>
        </w:r>
      </w:hyperlink>
    </w:p>
    <w:p>
      <w:pPr>
        <w:spacing w:after="0" w:line="140" w:lineRule="exact"/>
        <w:rPr>
          <w:sz w:val="20"/>
          <w:szCs w:val="20"/>
          <w:color w:val="auto"/>
        </w:rPr>
      </w:pPr>
    </w:p>
    <w:p>
      <w:pPr>
        <w:ind w:left="200" w:right="240"/>
        <w:spacing w:after="0" w:line="279"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Compensation Committee Interlocks and Insider</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Participation in Compensation Decisions</w:t>
        </w:r>
      </w:hyperlink>
    </w:p>
    <w:p>
      <w:pPr>
        <w:spacing w:after="0" w:line="105" w:lineRule="exact"/>
        <w:rPr>
          <w:sz w:val="20"/>
          <w:szCs w:val="20"/>
          <w:color w:val="auto"/>
        </w:rPr>
      </w:pPr>
    </w:p>
    <w:p>
      <w:pPr>
        <w:ind w:left="20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Compensation Discussion and Analysis</w:t>
        </w:r>
      </w:hyperlink>
    </w:p>
    <w:p>
      <w:pPr>
        <w:spacing w:after="0" w:line="55" w:lineRule="exact"/>
        <w:rPr>
          <w:sz w:val="20"/>
          <w:szCs w:val="20"/>
          <w:color w:val="auto"/>
        </w:rPr>
      </w:pPr>
    </w:p>
    <w:p>
      <w:pPr>
        <w:ind w:left="52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Introduction</w:t>
        </w:r>
      </w:hyperlink>
    </w:p>
    <w:p>
      <w:pPr>
        <w:spacing w:after="0" w:line="69" w:lineRule="exact"/>
        <w:rPr>
          <w:sz w:val="20"/>
          <w:szCs w:val="20"/>
          <w:color w:val="auto"/>
        </w:rPr>
      </w:pPr>
    </w:p>
    <w:p>
      <w:pPr>
        <w:ind w:left="52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Executive Summary</w:t>
        </w:r>
      </w:hyperlink>
    </w:p>
    <w:p>
      <w:pPr>
        <w:spacing w:after="0" w:line="69" w:lineRule="exact"/>
        <w:rPr>
          <w:sz w:val="20"/>
          <w:szCs w:val="20"/>
          <w:color w:val="auto"/>
        </w:rPr>
      </w:pPr>
    </w:p>
    <w:p>
      <w:pPr>
        <w:ind w:left="520"/>
        <w:spacing w:after="0" w:line="254" w:lineRule="auto"/>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Shareholder Engagement and Feedback on 2019 Say On</w:t>
        </w:r>
      </w:hyperlink>
      <w:r>
        <w:rPr>
          <w:rFonts w:ascii="Arial" w:cs="Arial" w:eastAsia="Arial" w:hAnsi="Arial"/>
          <w:sz w:val="16"/>
          <w:szCs w:val="16"/>
          <w:u w:val="single" w:color="auto"/>
          <w:color w:val="0000EE"/>
        </w:rPr>
        <w:t xml:space="preserve"> </w:t>
      </w:r>
      <w:hyperlink w:anchor="page40">
        <w:r>
          <w:rPr>
            <w:rFonts w:ascii="Arial" w:cs="Arial" w:eastAsia="Arial" w:hAnsi="Arial"/>
            <w:sz w:val="16"/>
            <w:szCs w:val="16"/>
            <w:u w:val="single" w:color="auto"/>
            <w:color w:val="0000EE"/>
          </w:rPr>
          <w:t>Pay</w:t>
        </w:r>
      </w:hyperlink>
    </w:p>
    <w:p>
      <w:pPr>
        <w:spacing w:after="0" w:line="50" w:lineRule="exact"/>
        <w:rPr>
          <w:sz w:val="20"/>
          <w:szCs w:val="20"/>
          <w:color w:val="auto"/>
        </w:rPr>
      </w:pPr>
    </w:p>
    <w:p>
      <w:pPr>
        <w:ind w:left="52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Our 2019 Performance</w:t>
        </w:r>
      </w:hyperlink>
    </w:p>
    <w:p>
      <w:pPr>
        <w:spacing w:after="0" w:line="69" w:lineRule="exact"/>
        <w:rPr>
          <w:sz w:val="20"/>
          <w:szCs w:val="20"/>
          <w:color w:val="auto"/>
        </w:rPr>
      </w:pPr>
    </w:p>
    <w:p>
      <w:pPr>
        <w:ind w:left="52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Safety, Environment and Sustainability</w:t>
        </w:r>
      </w:hyperlink>
    </w:p>
    <w:p>
      <w:pPr>
        <w:spacing w:after="0" w:line="69" w:lineRule="exact"/>
        <w:rPr>
          <w:sz w:val="20"/>
          <w:szCs w:val="20"/>
          <w:color w:val="auto"/>
        </w:rPr>
      </w:pPr>
    </w:p>
    <w:p>
      <w:pPr>
        <w:ind w:left="520" w:right="80"/>
        <w:spacing w:after="0" w:line="254"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Components of Executive Compensation - Performance-</w:t>
        </w:r>
      </w:hyperlink>
      <w:hyperlink w:anchor="page45">
        <w:r>
          <w:rPr>
            <w:rFonts w:ascii="Arial" w:cs="Arial" w:eastAsia="Arial" w:hAnsi="Arial"/>
            <w:sz w:val="16"/>
            <w:szCs w:val="16"/>
            <w:u w:val="single" w:color="auto"/>
            <w:color w:val="0000EE"/>
          </w:rPr>
          <w:t>Related Compensation</w:t>
        </w:r>
      </w:hyperlink>
    </w:p>
    <w:p>
      <w:pPr>
        <w:spacing w:after="0" w:line="50" w:lineRule="exact"/>
        <w:rPr>
          <w:sz w:val="20"/>
          <w:szCs w:val="20"/>
          <w:color w:val="auto"/>
        </w:rPr>
      </w:pPr>
    </w:p>
    <w:p>
      <w:pPr>
        <w:ind w:left="52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Pay Decisions and Compensation Governance Practices</w:t>
        </w:r>
      </w:hyperlink>
    </w:p>
    <w:p>
      <w:pPr>
        <w:spacing w:after="0" w:line="69" w:lineRule="exact"/>
        <w:rPr>
          <w:sz w:val="20"/>
          <w:szCs w:val="20"/>
          <w:color w:val="auto"/>
        </w:rPr>
      </w:pPr>
    </w:p>
    <w:p>
      <w:pPr>
        <w:ind w:left="520" w:right="1520"/>
        <w:spacing w:after="0" w:line="254"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2019 Chairman, President and CEO</w:t>
        </w:r>
      </w:hyperlink>
      <w:r>
        <w:rPr>
          <w:rFonts w:ascii="Arial" w:cs="Arial" w:eastAsia="Arial" w:hAnsi="Arial"/>
          <w:sz w:val="16"/>
          <w:szCs w:val="16"/>
          <w:u w:val="single" w:color="auto"/>
          <w:color w:val="0000EE"/>
        </w:rPr>
        <w:t xml:space="preserve"> </w:t>
      </w:r>
      <w:hyperlink w:anchor="page47">
        <w:r>
          <w:rPr>
            <w:rFonts w:ascii="Arial" w:cs="Arial" w:eastAsia="Arial" w:hAnsi="Arial"/>
            <w:sz w:val="16"/>
            <w:szCs w:val="16"/>
            <w:u w:val="single" w:color="auto"/>
            <w:color w:val="0000EE"/>
          </w:rPr>
          <w:t>Compensation</w:t>
        </w:r>
      </w:hyperlink>
    </w:p>
    <w:p>
      <w:pPr>
        <w:spacing w:after="0" w:line="50" w:lineRule="exact"/>
        <w:rPr>
          <w:sz w:val="20"/>
          <w:szCs w:val="20"/>
          <w:color w:val="auto"/>
        </w:rPr>
      </w:pPr>
    </w:p>
    <w:p>
      <w:pPr>
        <w:ind w:left="520" w:right="1440"/>
        <w:spacing w:after="0" w:line="352" w:lineRule="auto"/>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CEO Target Opportunity Mix</w:t>
        </w:r>
      </w:hyperlink>
      <w:r>
        <w:rPr>
          <w:rFonts w:ascii="Arial" w:cs="Arial" w:eastAsia="Arial" w:hAnsi="Arial"/>
          <w:sz w:val="15"/>
          <w:szCs w:val="15"/>
          <w:u w:val="single" w:color="auto"/>
          <w:color w:val="0000EE"/>
        </w:rPr>
        <w:t xml:space="preserve"> </w:t>
      </w:r>
      <w:hyperlink w:anchor="page47">
        <w:r>
          <w:rPr>
            <w:rFonts w:ascii="Arial" w:cs="Arial" w:eastAsia="Arial" w:hAnsi="Arial"/>
            <w:sz w:val="15"/>
            <w:szCs w:val="15"/>
            <w:u w:val="single" w:color="auto"/>
            <w:color w:val="0000EE"/>
          </w:rPr>
          <w:t>Determination of CEO Compensation</w:t>
        </w:r>
      </w:hyperlink>
    </w:p>
    <w:p>
      <w:pPr>
        <w:ind w:left="520" w:right="320"/>
        <w:spacing w:after="0" w:line="254"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2019 Named Executive Officers’ Compensation - Our</w:t>
        </w:r>
      </w:hyperlink>
      <w:r>
        <w:rPr>
          <w:rFonts w:ascii="Arial" w:cs="Arial" w:eastAsia="Arial" w:hAnsi="Arial"/>
          <w:sz w:val="16"/>
          <w:szCs w:val="16"/>
          <w:u w:val="single" w:color="auto"/>
          <w:color w:val="0000EE"/>
        </w:rPr>
        <w:t xml:space="preserve"> </w:t>
      </w:r>
      <w:hyperlink w:anchor="page47">
        <w:r>
          <w:rPr>
            <w:rFonts w:ascii="Arial" w:cs="Arial" w:eastAsia="Arial" w:hAnsi="Arial"/>
            <w:sz w:val="16"/>
            <w:szCs w:val="16"/>
            <w:u w:val="single" w:color="auto"/>
            <w:color w:val="0000EE"/>
          </w:rPr>
          <w:t>Compensation Strategy</w:t>
        </w:r>
      </w:hyperlink>
    </w:p>
    <w:p>
      <w:pPr>
        <w:spacing w:after="0" w:line="50" w:lineRule="exact"/>
        <w:rPr>
          <w:sz w:val="20"/>
          <w:szCs w:val="20"/>
          <w:color w:val="auto"/>
        </w:rPr>
      </w:pPr>
    </w:p>
    <w:p>
      <w:pPr>
        <w:ind w:left="520" w:right="760"/>
        <w:spacing w:after="0" w:line="330" w:lineRule="auto"/>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Considerations Regarding 2019 Compensation</w:t>
        </w:r>
      </w:hyperlink>
      <w:r>
        <w:rPr>
          <w:rFonts w:ascii="Arial" w:cs="Arial" w:eastAsia="Arial" w:hAnsi="Arial"/>
          <w:sz w:val="16"/>
          <w:szCs w:val="16"/>
          <w:u w:val="single" w:color="auto"/>
          <w:color w:val="0000EE"/>
        </w:rPr>
        <w:t xml:space="preserve"> </w:t>
      </w:r>
      <w:hyperlink w:anchor="page50">
        <w:r>
          <w:rPr>
            <w:rFonts w:ascii="Arial" w:cs="Arial" w:eastAsia="Arial" w:hAnsi="Arial"/>
            <w:sz w:val="16"/>
            <w:szCs w:val="16"/>
            <w:u w:val="single" w:color="auto"/>
            <w:color w:val="0000EE"/>
          </w:rPr>
          <w:t>2019 Base Salary</w:t>
        </w:r>
      </w:hyperlink>
    </w:p>
    <w:p>
      <w:pPr>
        <w:ind w:left="52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2019 Annual Cash Incentive Goals and Results</w:t>
        </w:r>
      </w:hyperlink>
    </w:p>
    <w:p>
      <w:pPr>
        <w:spacing w:after="0" w:line="69" w:lineRule="exact"/>
        <w:rPr>
          <w:sz w:val="20"/>
          <w:szCs w:val="20"/>
          <w:color w:val="auto"/>
        </w:rPr>
      </w:pPr>
    </w:p>
    <w:p>
      <w:pPr>
        <w:ind w:left="520" w:right="460"/>
        <w:spacing w:after="0" w:line="336" w:lineRule="auto"/>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2019 Long-Term Incentive Compensation Overview</w:t>
        </w:r>
      </w:hyperlink>
      <w:r>
        <w:rPr>
          <w:rFonts w:ascii="Arial" w:cs="Arial" w:eastAsia="Arial" w:hAnsi="Arial"/>
          <w:sz w:val="16"/>
          <w:szCs w:val="16"/>
          <w:u w:val="single" w:color="auto"/>
          <w:color w:val="0000EE"/>
        </w:rPr>
        <w:t xml:space="preserve"> </w:t>
      </w:r>
      <w:hyperlink w:anchor="page53">
        <w:r>
          <w:rPr>
            <w:rFonts w:ascii="Arial" w:cs="Arial" w:eastAsia="Arial" w:hAnsi="Arial"/>
            <w:sz w:val="16"/>
            <w:szCs w:val="16"/>
            <w:u w:val="single" w:color="auto"/>
            <w:color w:val="0000EE"/>
          </w:rPr>
          <w:t>PSU Awards (55% of LTI Award)</w:t>
        </w:r>
      </w:hyperlink>
      <w:r>
        <w:rPr>
          <w:rFonts w:ascii="Arial" w:cs="Arial" w:eastAsia="Arial" w:hAnsi="Arial"/>
          <w:sz w:val="16"/>
          <w:szCs w:val="16"/>
          <w:u w:val="single" w:color="auto"/>
          <w:color w:val="0000EE"/>
        </w:rPr>
        <w:t xml:space="preserve"> </w:t>
      </w:r>
      <w:hyperlink w:anchor="page54">
        <w:r>
          <w:rPr>
            <w:rFonts w:ascii="Arial" w:cs="Arial" w:eastAsia="Arial" w:hAnsi="Arial"/>
            <w:sz w:val="16"/>
            <w:szCs w:val="16"/>
            <w:u w:val="single" w:color="auto"/>
            <w:color w:val="0000EE"/>
          </w:rPr>
          <w:t>Selection of Relative TSR</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48"/>
        </w:trPr>
        <w:tc>
          <w:tcPr>
            <w:tcW w:w="420" w:type="dxa"/>
            <w:vAlign w:val="bottom"/>
          </w:tcPr>
          <w:p>
            <w:pPr>
              <w:jc w:val="right"/>
              <w:ind w:right="108"/>
              <w:spacing w:after="0"/>
              <w:rPr>
                <w:sz w:val="20"/>
                <w:szCs w:val="20"/>
                <w:color w:val="auto"/>
              </w:rPr>
            </w:pPr>
            <w:r>
              <w:rPr>
                <w:rFonts w:ascii="Arial" w:cs="Arial" w:eastAsia="Arial" w:hAnsi="Arial"/>
                <w:sz w:val="20"/>
                <w:szCs w:val="20"/>
                <w:color w:val="007CBA"/>
                <w:w w:val="89"/>
              </w:rPr>
              <w:t>32</w:t>
            </w:r>
          </w:p>
        </w:tc>
        <w:tc>
          <w:tcPr>
            <w:tcW w:w="4980" w:type="dxa"/>
            <w:vAlign w:val="bottom"/>
          </w:tcPr>
          <w:p>
            <w:pPr>
              <w:ind w:left="200"/>
              <w:spacing w:after="0"/>
              <w:rPr>
                <w:rFonts w:ascii="Arial" w:cs="Arial" w:eastAsia="Arial" w:hAnsi="Arial"/>
                <w:sz w:val="20"/>
                <w:szCs w:val="20"/>
                <w:u w:val="single" w:color="auto"/>
                <w:color w:val="0000EE"/>
              </w:rPr>
            </w:pPr>
            <w:hyperlink w:anchor="page62">
              <w:r>
                <w:rPr>
                  <w:rFonts w:ascii="Arial" w:cs="Arial" w:eastAsia="Arial" w:hAnsi="Arial"/>
                  <w:sz w:val="20"/>
                  <w:szCs w:val="20"/>
                  <w:u w:val="single" w:color="auto"/>
                  <w:color w:val="0000EE"/>
                </w:rPr>
                <w:t>Executive Compensation</w:t>
              </w:r>
            </w:hyperlink>
          </w:p>
        </w:tc>
        <w:tc>
          <w:tcPr>
            <w:tcW w:w="460" w:type="dxa"/>
            <w:vAlign w:val="bottom"/>
          </w:tcPr>
          <w:p>
            <w:pPr>
              <w:jc w:val="right"/>
              <w:spacing w:after="0"/>
              <w:rPr>
                <w:sz w:val="20"/>
                <w:szCs w:val="20"/>
                <w:color w:val="auto"/>
              </w:rPr>
            </w:pPr>
            <w:r>
              <w:rPr>
                <w:rFonts w:ascii="Arial" w:cs="Arial" w:eastAsia="Arial" w:hAnsi="Arial"/>
                <w:sz w:val="20"/>
                <w:szCs w:val="20"/>
                <w:color w:val="007CBA"/>
              </w:rPr>
              <w:t>57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980" w:type="dxa"/>
            <w:vAlign w:val="bottom"/>
          </w:tcPr>
          <w:p>
            <w:pPr>
              <w:ind w:left="52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Executive Officer Compensation</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3"/>
        </w:trPr>
        <w:tc>
          <w:tcPr>
            <w:tcW w:w="420" w:type="dxa"/>
            <w:vAlign w:val="bottom"/>
            <w:vMerge w:val="restart"/>
          </w:tcPr>
          <w:p>
            <w:pPr>
              <w:jc w:val="right"/>
              <w:ind w:right="108"/>
              <w:spacing w:after="0"/>
              <w:rPr>
                <w:sz w:val="20"/>
                <w:szCs w:val="20"/>
                <w:color w:val="auto"/>
              </w:rPr>
            </w:pPr>
            <w:r>
              <w:rPr>
                <w:rFonts w:ascii="Arial" w:cs="Arial" w:eastAsia="Arial" w:hAnsi="Arial"/>
                <w:sz w:val="20"/>
                <w:szCs w:val="20"/>
                <w:color w:val="007CBA"/>
                <w:w w:val="89"/>
              </w:rPr>
              <w:t>33</w:t>
            </w:r>
          </w:p>
        </w:tc>
        <w:tc>
          <w:tcPr>
            <w:tcW w:w="4980" w:type="dxa"/>
            <w:vAlign w:val="bottom"/>
          </w:tcPr>
          <w:p>
            <w:pPr>
              <w:ind w:left="52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Summary Compensation Table</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03"/>
        </w:trPr>
        <w:tc>
          <w:tcPr>
            <w:tcW w:w="420" w:type="dxa"/>
            <w:vAlign w:val="bottom"/>
            <w:vMerge w:val="continue"/>
          </w:tcPr>
          <w:p>
            <w:pPr>
              <w:spacing w:after="0"/>
              <w:rPr>
                <w:sz w:val="8"/>
                <w:szCs w:val="8"/>
                <w:color w:val="auto"/>
              </w:rPr>
            </w:pPr>
          </w:p>
        </w:tc>
        <w:tc>
          <w:tcPr>
            <w:tcW w:w="4980" w:type="dxa"/>
            <w:vAlign w:val="bottom"/>
            <w:vMerge w:val="restart"/>
          </w:tcPr>
          <w:p>
            <w:pPr>
              <w:ind w:left="52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Grants of Plan-Based Awards</w:t>
              </w:r>
            </w:hyperlink>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20" w:type="dxa"/>
            <w:vAlign w:val="bottom"/>
            <w:vMerge w:val="restart"/>
          </w:tcPr>
          <w:p>
            <w:pPr>
              <w:jc w:val="right"/>
              <w:ind w:right="108"/>
              <w:spacing w:after="0"/>
              <w:rPr>
                <w:sz w:val="20"/>
                <w:szCs w:val="20"/>
                <w:color w:val="auto"/>
              </w:rPr>
            </w:pPr>
            <w:r>
              <w:rPr>
                <w:rFonts w:ascii="Arial" w:cs="Arial" w:eastAsia="Arial" w:hAnsi="Arial"/>
                <w:sz w:val="20"/>
                <w:szCs w:val="20"/>
                <w:color w:val="007CBA"/>
                <w:w w:val="89"/>
              </w:rPr>
              <w:t>33</w:t>
            </w:r>
          </w:p>
        </w:tc>
        <w:tc>
          <w:tcPr>
            <w:tcW w:w="4980" w:type="dxa"/>
            <w:vAlign w:val="bottom"/>
          </w:tcPr>
          <w:p>
            <w:pPr>
              <w:ind w:left="52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Outstanding Equity Awards at Fiscal Year-End</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3"/>
        </w:trPr>
        <w:tc>
          <w:tcPr>
            <w:tcW w:w="420" w:type="dxa"/>
            <w:vAlign w:val="bottom"/>
            <w:vMerge w:val="continue"/>
          </w:tcPr>
          <w:p>
            <w:pPr>
              <w:spacing w:after="0"/>
              <w:rPr>
                <w:sz w:val="15"/>
                <w:szCs w:val="15"/>
                <w:color w:val="auto"/>
              </w:rPr>
            </w:pPr>
          </w:p>
        </w:tc>
        <w:tc>
          <w:tcPr>
            <w:tcW w:w="4980" w:type="dxa"/>
            <w:vAlign w:val="bottom"/>
            <w:vMerge w:val="restart"/>
          </w:tcPr>
          <w:p>
            <w:pPr>
              <w:ind w:left="52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Option Exercises and Stock Vested</w:t>
              </w:r>
            </w:hyperlink>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70"/>
        </w:trPr>
        <w:tc>
          <w:tcPr>
            <w:tcW w:w="420" w:type="dxa"/>
            <w:vAlign w:val="bottom"/>
          </w:tcPr>
          <w:p>
            <w:pPr>
              <w:spacing w:after="0"/>
              <w:rPr>
                <w:sz w:val="6"/>
                <w:szCs w:val="6"/>
                <w:color w:val="auto"/>
              </w:rPr>
            </w:pPr>
          </w:p>
        </w:tc>
        <w:tc>
          <w:tcPr>
            <w:tcW w:w="49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420" w:type="dxa"/>
            <w:vAlign w:val="bottom"/>
          </w:tcPr>
          <w:p>
            <w:pPr>
              <w:jc w:val="right"/>
              <w:ind w:right="108"/>
              <w:spacing w:after="0"/>
              <w:rPr>
                <w:sz w:val="20"/>
                <w:szCs w:val="20"/>
                <w:color w:val="auto"/>
              </w:rPr>
            </w:pPr>
            <w:r>
              <w:rPr>
                <w:rFonts w:ascii="Arial" w:cs="Arial" w:eastAsia="Arial" w:hAnsi="Arial"/>
                <w:sz w:val="20"/>
                <w:szCs w:val="20"/>
                <w:color w:val="007CBA"/>
                <w:w w:val="89"/>
              </w:rPr>
              <w:t>34</w:t>
            </w:r>
          </w:p>
        </w:tc>
        <w:tc>
          <w:tcPr>
            <w:tcW w:w="4980" w:type="dxa"/>
            <w:vAlign w:val="bottom"/>
          </w:tcPr>
          <w:p>
            <w:pPr>
              <w:ind w:left="520"/>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Pension Benefits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3"/>
        </w:trPr>
        <w:tc>
          <w:tcPr>
            <w:tcW w:w="420" w:type="dxa"/>
            <w:vAlign w:val="bottom"/>
          </w:tcPr>
          <w:p>
            <w:pPr>
              <w:jc w:val="right"/>
              <w:ind w:right="108"/>
              <w:spacing w:after="0"/>
              <w:rPr>
                <w:sz w:val="20"/>
                <w:szCs w:val="20"/>
                <w:color w:val="auto"/>
              </w:rPr>
            </w:pPr>
            <w:r>
              <w:rPr>
                <w:rFonts w:ascii="Arial" w:cs="Arial" w:eastAsia="Arial" w:hAnsi="Arial"/>
                <w:sz w:val="16"/>
                <w:szCs w:val="16"/>
                <w:color w:val="auto"/>
              </w:rPr>
              <w:t>34</w:t>
            </w:r>
          </w:p>
        </w:tc>
        <w:tc>
          <w:tcPr>
            <w:tcW w:w="4980" w:type="dxa"/>
            <w:vAlign w:val="bottom"/>
          </w:tcPr>
          <w:p>
            <w:pPr>
              <w:ind w:left="52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Potential Payments Upon Termination or Change of Control</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53"/>
        </w:trPr>
        <w:tc>
          <w:tcPr>
            <w:tcW w:w="420" w:type="dxa"/>
            <w:vAlign w:val="bottom"/>
          </w:tcPr>
          <w:p>
            <w:pPr>
              <w:jc w:val="right"/>
              <w:ind w:right="108"/>
              <w:spacing w:after="0"/>
              <w:rPr>
                <w:sz w:val="20"/>
                <w:szCs w:val="20"/>
                <w:color w:val="auto"/>
              </w:rPr>
            </w:pPr>
            <w:r>
              <w:rPr>
                <w:rFonts w:ascii="Arial" w:cs="Arial" w:eastAsia="Arial" w:hAnsi="Arial"/>
                <w:sz w:val="16"/>
                <w:szCs w:val="16"/>
                <w:color w:val="auto"/>
              </w:rPr>
              <w:t>35</w:t>
            </w:r>
          </w:p>
        </w:tc>
        <w:tc>
          <w:tcPr>
            <w:tcW w:w="4980" w:type="dxa"/>
            <w:vAlign w:val="bottom"/>
          </w:tcPr>
          <w:p>
            <w:pPr>
              <w:ind w:left="520"/>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CEO Pay Ratio Disclosure</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620"/>
        <w:spacing w:after="0"/>
        <w:rPr>
          <w:rFonts w:ascii="Arial" w:cs="Arial" w:eastAsia="Arial" w:hAnsi="Arial"/>
          <w:sz w:val="20"/>
          <w:szCs w:val="20"/>
          <w:u w:val="single" w:color="auto"/>
          <w:color w:val="0000EE"/>
        </w:rPr>
      </w:pPr>
      <w:hyperlink w:anchor="page73">
        <w:r>
          <w:rPr>
            <w:rFonts w:ascii="Arial" w:cs="Arial" w:eastAsia="Arial" w:hAnsi="Arial"/>
            <w:sz w:val="20"/>
            <w:szCs w:val="20"/>
            <w:u w:val="single" w:color="auto"/>
            <w:color w:val="0000EE"/>
          </w:rPr>
          <w:t>Proposal 3 – Advisory Vote on the Compensation of</w:t>
        </w:r>
      </w:hyperlink>
    </w:p>
    <w:p>
      <w:pPr>
        <w:ind w:left="40"/>
        <w:spacing w:after="0" w:line="219" w:lineRule="auto"/>
        <w:tabs>
          <w:tab w:leader="none" w:pos="600" w:val="left"/>
          <w:tab w:leader="none" w:pos="5640" w:val="left"/>
        </w:tabs>
        <w:rPr>
          <w:rFonts w:ascii="Arial" w:cs="Arial" w:eastAsia="Arial" w:hAnsi="Arial"/>
          <w:sz w:val="14"/>
          <w:szCs w:val="14"/>
          <w:color w:val="0000EE"/>
        </w:rPr>
      </w:pPr>
      <w:r>
        <w:rPr>
          <w:rFonts w:ascii="Arial" w:cs="Arial" w:eastAsia="Arial" w:hAnsi="Arial"/>
          <w:sz w:val="20"/>
          <w:szCs w:val="20"/>
          <w:color w:val="auto"/>
          <w:vertAlign w:val="superscript"/>
        </w:rPr>
        <w:t>35</w:t>
      </w:r>
      <w:r>
        <w:rPr>
          <w:sz w:val="20"/>
          <w:szCs w:val="20"/>
          <w:color w:val="auto"/>
        </w:rPr>
        <w:tab/>
      </w:r>
      <w:hyperlink w:anchor="page73">
        <w:r>
          <w:rPr>
            <w:rFonts w:ascii="Arial" w:cs="Arial" w:eastAsia="Arial" w:hAnsi="Arial"/>
            <w:sz w:val="14"/>
            <w:szCs w:val="14"/>
            <w:u w:val="single" w:color="auto"/>
            <w:color w:val="0000EE"/>
          </w:rPr>
          <w:t>Our Named Executive Officers</w:t>
        </w:r>
      </w:hyperlink>
      <w:r>
        <w:rPr>
          <w:rFonts w:ascii="Arial" w:cs="Arial" w:eastAsia="Arial" w:hAnsi="Arial"/>
          <w:sz w:val="14"/>
          <w:szCs w:val="14"/>
          <w:color w:val="0000EE"/>
        </w:rPr>
        <w:tab/>
      </w:r>
      <w:r>
        <w:rPr>
          <w:rFonts w:ascii="Arial" w:cs="Arial" w:eastAsia="Arial" w:hAnsi="Arial"/>
          <w:sz w:val="17"/>
          <w:szCs w:val="17"/>
          <w:color w:val="007CBA"/>
        </w:rPr>
        <w:t>68</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36</w:t>
      </w:r>
    </w:p>
    <w:p>
      <w:pPr>
        <w:ind w:left="620" w:hanging="583"/>
        <w:spacing w:after="0" w:line="233" w:lineRule="auto"/>
        <w:tabs>
          <w:tab w:leader="none" w:pos="620" w:val="left"/>
        </w:tabs>
        <w:numPr>
          <w:ilvl w:val="0"/>
          <w:numId w:val="4"/>
        </w:numPr>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Securities Authorized for Issuance Under Equity</w:t>
        </w:r>
      </w:hyperlink>
    </w:p>
    <w:tbl>
      <w:tblPr>
        <w:tblLayout w:type="fixed"/>
        <w:tblInd w:w="4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4680" w:type="dxa"/>
            <w:vAlign w:val="bottom"/>
            <w:gridSpan w:val="2"/>
          </w:tcPr>
          <w:p>
            <w:pPr>
              <w:spacing w:after="0" w:line="190" w:lineRule="exact"/>
              <w:rPr>
                <w:rFonts w:ascii="Arial" w:cs="Arial" w:eastAsia="Arial" w:hAnsi="Arial"/>
                <w:sz w:val="20"/>
                <w:szCs w:val="20"/>
                <w:color w:val="0000EE"/>
              </w:rPr>
            </w:pPr>
            <w:hyperlink w:anchor="page74">
              <w:r>
                <w:rPr>
                  <w:rFonts w:ascii="Arial" w:cs="Arial" w:eastAsia="Arial" w:hAnsi="Arial"/>
                  <w:sz w:val="20"/>
                  <w:szCs w:val="20"/>
                  <w:color w:val="0000EE"/>
                </w:rPr>
                <w:t>Compensation Plans</w:t>
              </w:r>
            </w:hyperlink>
          </w:p>
        </w:tc>
        <w:tc>
          <w:tcPr>
            <w:tcW w:w="560" w:type="dxa"/>
            <w:vAlign w:val="bottom"/>
          </w:tcPr>
          <w:p>
            <w:pPr>
              <w:jc w:val="right"/>
              <w:spacing w:after="0" w:line="190" w:lineRule="exact"/>
              <w:rPr>
                <w:sz w:val="20"/>
                <w:szCs w:val="20"/>
                <w:color w:val="auto"/>
              </w:rPr>
            </w:pPr>
            <w:r>
              <w:rPr>
                <w:rFonts w:ascii="Arial" w:cs="Arial" w:eastAsia="Arial" w:hAnsi="Arial"/>
                <w:sz w:val="20"/>
                <w:szCs w:val="20"/>
                <w:color w:val="007CBA"/>
              </w:rPr>
              <w:t>69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40</w:t>
            </w:r>
          </w:p>
        </w:tc>
        <w:tc>
          <w:tcPr>
            <w:tcW w:w="4680" w:type="dxa"/>
            <w:vAlign w:val="bottom"/>
            <w:gridSpan w:val="2"/>
          </w:tcPr>
          <w:p>
            <w:pPr>
              <w:ind w:left="320"/>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Description of the TXI Legacy Plan</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53"/>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41</w:t>
            </w:r>
          </w:p>
        </w:tc>
        <w:tc>
          <w:tcPr>
            <w:tcW w:w="4680" w:type="dxa"/>
            <w:vAlign w:val="bottom"/>
            <w:gridSpan w:val="2"/>
          </w:tcPr>
          <w:p>
            <w:pPr>
              <w:ind w:left="32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Description of the Deferred Compensation Plan</w:t>
              </w:r>
            </w:hyperlink>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83"/>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42</w:t>
            </w:r>
          </w:p>
        </w:tc>
        <w:tc>
          <w:tcPr>
            <w:tcW w:w="4680" w:type="dxa"/>
            <w:vAlign w:val="bottom"/>
            <w:gridSpan w:val="2"/>
          </w:tcPr>
          <w:p>
            <w:pPr>
              <w:spacing w:after="0"/>
              <w:rPr>
                <w:rFonts w:ascii="Arial" w:cs="Arial" w:eastAsia="Arial" w:hAnsi="Arial"/>
                <w:sz w:val="20"/>
                <w:szCs w:val="20"/>
                <w:u w:val="single" w:color="auto"/>
                <w:color w:val="0000EE"/>
              </w:rPr>
            </w:pPr>
            <w:hyperlink w:anchor="page76">
              <w:r>
                <w:rPr>
                  <w:rFonts w:ascii="Arial" w:cs="Arial" w:eastAsia="Arial" w:hAnsi="Arial"/>
                  <w:sz w:val="20"/>
                  <w:szCs w:val="20"/>
                  <w:u w:val="single" w:color="auto"/>
                  <w:color w:val="0000EE"/>
                </w:rPr>
                <w:t>Annual Meeting and Voting Information</w:t>
              </w:r>
            </w:hyperlink>
          </w:p>
        </w:tc>
        <w:tc>
          <w:tcPr>
            <w:tcW w:w="560" w:type="dxa"/>
            <w:vAlign w:val="bottom"/>
          </w:tcPr>
          <w:p>
            <w:pPr>
              <w:jc w:val="right"/>
              <w:spacing w:after="0"/>
              <w:rPr>
                <w:sz w:val="20"/>
                <w:szCs w:val="20"/>
                <w:color w:val="auto"/>
              </w:rPr>
            </w:pPr>
            <w:r>
              <w:rPr>
                <w:rFonts w:ascii="Arial" w:cs="Arial" w:eastAsia="Arial" w:hAnsi="Arial"/>
                <w:sz w:val="20"/>
                <w:szCs w:val="20"/>
                <w:color w:val="007CBA"/>
              </w:rPr>
              <w:t>71</w:t>
            </w:r>
          </w:p>
        </w:tc>
        <w:tc>
          <w:tcPr>
            <w:tcW w:w="0" w:type="dxa"/>
            <w:vAlign w:val="bottom"/>
          </w:tcPr>
          <w:p>
            <w:pPr>
              <w:spacing w:after="0"/>
              <w:rPr>
                <w:sz w:val="1"/>
                <w:szCs w:val="1"/>
                <w:color w:val="auto"/>
              </w:rPr>
            </w:pPr>
          </w:p>
        </w:tc>
      </w:tr>
      <w:tr>
        <w:trPr>
          <w:trHeight w:val="57"/>
        </w:trPr>
        <w:tc>
          <w:tcPr>
            <w:tcW w:w="580" w:type="dxa"/>
            <w:vAlign w:val="bottom"/>
            <w:vMerge w:val="continue"/>
          </w:tcPr>
          <w:p>
            <w:pPr>
              <w:spacing w:after="0"/>
              <w:rPr>
                <w:sz w:val="4"/>
                <w:szCs w:val="4"/>
                <w:color w:val="auto"/>
              </w:rPr>
            </w:pPr>
          </w:p>
        </w:tc>
        <w:tc>
          <w:tcPr>
            <w:tcW w:w="18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42</w:t>
            </w:r>
          </w:p>
        </w:tc>
        <w:tc>
          <w:tcPr>
            <w:tcW w:w="4680" w:type="dxa"/>
            <w:vAlign w:val="bottom"/>
            <w:gridSpan w:val="2"/>
          </w:tcPr>
          <w:p>
            <w:pPr>
              <w:spacing w:after="0"/>
              <w:rPr>
                <w:rFonts w:ascii="Arial" w:cs="Arial" w:eastAsia="Arial" w:hAnsi="Arial"/>
                <w:sz w:val="20"/>
                <w:szCs w:val="20"/>
                <w:u w:val="single" w:color="auto"/>
                <w:color w:val="0000EE"/>
              </w:rPr>
            </w:pPr>
            <w:hyperlink w:anchor="page78">
              <w:r>
                <w:rPr>
                  <w:rFonts w:ascii="Arial" w:cs="Arial" w:eastAsia="Arial" w:hAnsi="Arial"/>
                  <w:sz w:val="20"/>
                  <w:szCs w:val="20"/>
                  <w:u w:val="single" w:color="auto"/>
                  <w:color w:val="0000EE"/>
                </w:rPr>
                <w:t>Incorporation by Reference</w:t>
              </w:r>
            </w:hyperlink>
          </w:p>
        </w:tc>
        <w:tc>
          <w:tcPr>
            <w:tcW w:w="560" w:type="dxa"/>
            <w:vAlign w:val="bottom"/>
          </w:tcPr>
          <w:p>
            <w:pPr>
              <w:jc w:val="right"/>
              <w:spacing w:after="0"/>
              <w:rPr>
                <w:sz w:val="20"/>
                <w:szCs w:val="20"/>
                <w:color w:val="auto"/>
              </w:rPr>
            </w:pPr>
            <w:r>
              <w:rPr>
                <w:rFonts w:ascii="Arial" w:cs="Arial" w:eastAsia="Arial" w:hAnsi="Arial"/>
                <w:sz w:val="20"/>
                <w:szCs w:val="20"/>
                <w:color w:val="007CBA"/>
              </w:rPr>
              <w:t>73</w:t>
            </w:r>
          </w:p>
        </w:tc>
        <w:tc>
          <w:tcPr>
            <w:tcW w:w="0" w:type="dxa"/>
            <w:vAlign w:val="bottom"/>
          </w:tcPr>
          <w:p>
            <w:pPr>
              <w:spacing w:after="0"/>
              <w:rPr>
                <w:sz w:val="1"/>
                <w:szCs w:val="1"/>
                <w:color w:val="auto"/>
              </w:rPr>
            </w:pPr>
          </w:p>
        </w:tc>
      </w:tr>
      <w:tr>
        <w:trPr>
          <w:trHeight w:val="193"/>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42</w:t>
            </w:r>
          </w:p>
        </w:tc>
        <w:tc>
          <w:tcPr>
            <w:tcW w:w="4680" w:type="dxa"/>
            <w:vAlign w:val="bottom"/>
            <w:gridSpan w:val="2"/>
            <w:vMerge w:val="restart"/>
          </w:tcPr>
          <w:p>
            <w:pPr>
              <w:spacing w:after="0"/>
              <w:rPr>
                <w:rFonts w:ascii="Arial" w:cs="Arial" w:eastAsia="Arial" w:hAnsi="Arial"/>
                <w:sz w:val="20"/>
                <w:szCs w:val="20"/>
                <w:u w:val="single" w:color="auto"/>
                <w:color w:val="0000EE"/>
              </w:rPr>
            </w:pPr>
            <w:hyperlink w:anchor="page78">
              <w:r>
                <w:rPr>
                  <w:rFonts w:ascii="Arial" w:cs="Arial" w:eastAsia="Arial" w:hAnsi="Arial"/>
                  <w:sz w:val="20"/>
                  <w:szCs w:val="20"/>
                  <w:u w:val="single" w:color="auto"/>
                  <w:color w:val="0000EE"/>
                </w:rPr>
                <w:t>Shareholders’ Proposals for 2021 Annual Meeting</w:t>
              </w:r>
            </w:hyperlink>
          </w:p>
        </w:tc>
        <w:tc>
          <w:tcPr>
            <w:tcW w:w="560" w:type="dxa"/>
            <w:vAlign w:val="bottom"/>
            <w:vMerge w:val="restart"/>
          </w:tcPr>
          <w:p>
            <w:pPr>
              <w:jc w:val="right"/>
              <w:spacing w:after="0"/>
              <w:rPr>
                <w:sz w:val="20"/>
                <w:szCs w:val="20"/>
                <w:color w:val="auto"/>
              </w:rPr>
            </w:pPr>
            <w:r>
              <w:rPr>
                <w:rFonts w:ascii="Arial" w:cs="Arial" w:eastAsia="Arial" w:hAnsi="Arial"/>
                <w:sz w:val="20"/>
                <w:szCs w:val="20"/>
                <w:color w:val="007CBA"/>
              </w:rPr>
              <w:t>73</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620" w:hanging="583"/>
        <w:spacing w:after="0" w:line="206" w:lineRule="auto"/>
        <w:tabs>
          <w:tab w:leader="none" w:pos="620" w:val="left"/>
        </w:tabs>
        <w:numPr>
          <w:ilvl w:val="0"/>
          <w:numId w:val="5"/>
        </w:numPr>
        <w:rPr>
          <w:rFonts w:ascii="Arial" w:cs="Arial" w:eastAsia="Arial" w:hAnsi="Arial"/>
          <w:sz w:val="20"/>
          <w:szCs w:val="20"/>
          <w:color w:val="0000EE"/>
        </w:rPr>
      </w:pPr>
      <w:hyperlink w:anchor="page79">
        <w:r>
          <w:rPr>
            <w:rFonts w:ascii="Arial" w:cs="Arial" w:eastAsia="Arial" w:hAnsi="Arial"/>
            <w:sz w:val="20"/>
            <w:szCs w:val="20"/>
            <w:color w:val="0000EE"/>
          </w:rPr>
          <w:t>Appendix A – Martin Marietta Guidelines for Potential</w:t>
        </w:r>
      </w:hyperlink>
    </w:p>
    <w:tbl>
      <w:tblPr>
        <w:tblLayout w:type="fixed"/>
        <w:tblInd w:w="40" w:type="dxa"/>
        <w:tblCellMar>
          <w:top w:w="0" w:type="dxa"/>
          <w:left w:w="0" w:type="dxa"/>
          <w:bottom w:w="0" w:type="dxa"/>
          <w:right w:w="0" w:type="dxa"/>
        </w:tblCellMar>
      </w:tblPr>
      <w:tr>
        <w:trPr>
          <w:trHeight w:val="206"/>
        </w:trPr>
        <w:tc>
          <w:tcPr>
            <w:tcW w:w="580" w:type="dxa"/>
            <w:vAlign w:val="bottom"/>
          </w:tcPr>
          <w:p>
            <w:pPr>
              <w:jc w:val="right"/>
              <w:ind w:right="320"/>
              <w:spacing w:after="0" w:line="174" w:lineRule="exact"/>
              <w:rPr>
                <w:sz w:val="20"/>
                <w:szCs w:val="20"/>
                <w:color w:val="auto"/>
              </w:rPr>
            </w:pPr>
            <w:r>
              <w:rPr>
                <w:rFonts w:ascii="Arial" w:cs="Arial" w:eastAsia="Arial" w:hAnsi="Arial"/>
                <w:sz w:val="16"/>
                <w:szCs w:val="16"/>
                <w:color w:val="auto"/>
                <w:w w:val="89"/>
              </w:rPr>
              <w:t>45</w:t>
            </w:r>
          </w:p>
        </w:tc>
        <w:tc>
          <w:tcPr>
            <w:tcW w:w="1840" w:type="dxa"/>
            <w:vAlign w:val="bottom"/>
            <w:tcBorders>
              <w:top w:val="single" w:sz="8" w:color="0000EE"/>
              <w:bottom w:val="single" w:sz="8" w:color="0000EE"/>
            </w:tcBorders>
          </w:tcPr>
          <w:p>
            <w:pPr>
              <w:spacing w:after="0" w:line="206" w:lineRule="exact"/>
              <w:rPr>
                <w:rFonts w:ascii="Arial" w:cs="Arial" w:eastAsia="Arial" w:hAnsi="Arial"/>
                <w:sz w:val="20"/>
                <w:szCs w:val="20"/>
                <w:color w:val="0000EE"/>
                <w:w w:val="96"/>
              </w:rPr>
            </w:pPr>
            <w:hyperlink w:anchor="page79">
              <w:r>
                <w:rPr>
                  <w:rFonts w:ascii="Arial" w:cs="Arial" w:eastAsia="Arial" w:hAnsi="Arial"/>
                  <w:sz w:val="20"/>
                  <w:szCs w:val="20"/>
                  <w:color w:val="0000EE"/>
                  <w:w w:val="96"/>
                </w:rPr>
                <w:t>New Board Members</w:t>
              </w:r>
            </w:hyperlink>
          </w:p>
        </w:tc>
        <w:tc>
          <w:tcPr>
            <w:tcW w:w="2760" w:type="dxa"/>
            <w:vAlign w:val="bottom"/>
            <w:tcBorders>
              <w:top w:val="single" w:sz="8" w:color="0000EE"/>
            </w:tcBorders>
          </w:tcPr>
          <w:p>
            <w:pPr>
              <w:spacing w:after="0"/>
              <w:rPr>
                <w:sz w:val="17"/>
                <w:szCs w:val="17"/>
                <w:color w:val="auto"/>
              </w:rPr>
            </w:pPr>
          </w:p>
        </w:tc>
        <w:tc>
          <w:tcPr>
            <w:tcW w:w="640" w:type="dxa"/>
            <w:vAlign w:val="bottom"/>
          </w:tcPr>
          <w:p>
            <w:pPr>
              <w:ind w:left="340"/>
              <w:spacing w:after="0" w:line="206" w:lineRule="exact"/>
              <w:rPr>
                <w:sz w:val="20"/>
                <w:szCs w:val="20"/>
                <w:color w:val="auto"/>
              </w:rPr>
            </w:pPr>
            <w:r>
              <w:rPr>
                <w:rFonts w:ascii="Arial" w:cs="Arial" w:eastAsia="Arial" w:hAnsi="Arial"/>
                <w:sz w:val="20"/>
                <w:szCs w:val="20"/>
                <w:color w:val="007CBA"/>
                <w:w w:val="89"/>
              </w:rPr>
              <w:t>A-1</w:t>
            </w:r>
          </w:p>
        </w:tc>
        <w:tc>
          <w:tcPr>
            <w:tcW w:w="0" w:type="dxa"/>
            <w:vAlign w:val="bottom"/>
          </w:tcPr>
          <w:p>
            <w:pPr>
              <w:spacing w:after="0"/>
              <w:rPr>
                <w:sz w:val="1"/>
                <w:szCs w:val="1"/>
                <w:color w:val="auto"/>
              </w:rPr>
            </w:pPr>
          </w:p>
        </w:tc>
      </w:tr>
      <w:tr>
        <w:trPr>
          <w:trHeight w:val="201"/>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45</w:t>
            </w:r>
          </w:p>
        </w:tc>
        <w:tc>
          <w:tcPr>
            <w:tcW w:w="4600" w:type="dxa"/>
            <w:vAlign w:val="bottom"/>
            <w:gridSpan w:val="2"/>
            <w:vMerge w:val="restart"/>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Appendix B – Non-GAAP Measures</w:t>
              </w:r>
            </w:hyperlink>
          </w:p>
        </w:tc>
        <w:tc>
          <w:tcPr>
            <w:tcW w:w="640" w:type="dxa"/>
            <w:vAlign w:val="bottom"/>
            <w:vMerge w:val="restart"/>
          </w:tcPr>
          <w:p>
            <w:pPr>
              <w:ind w:left="340"/>
              <w:spacing w:after="0"/>
              <w:rPr>
                <w:sz w:val="20"/>
                <w:szCs w:val="20"/>
                <w:color w:val="auto"/>
              </w:rPr>
            </w:pPr>
            <w:r>
              <w:rPr>
                <w:rFonts w:ascii="Arial" w:cs="Arial" w:eastAsia="Arial" w:hAnsi="Arial"/>
                <w:sz w:val="20"/>
                <w:szCs w:val="20"/>
                <w:color w:val="007CBA"/>
                <w:w w:val="89"/>
              </w:rPr>
              <w:t>B-1</w:t>
            </w:r>
          </w:p>
        </w:tc>
        <w:tc>
          <w:tcPr>
            <w:tcW w:w="0" w:type="dxa"/>
            <w:vAlign w:val="bottom"/>
          </w:tcPr>
          <w:p>
            <w:pPr>
              <w:spacing w:after="0"/>
              <w:rPr>
                <w:sz w:val="1"/>
                <w:szCs w:val="1"/>
                <w:color w:val="auto"/>
              </w:rPr>
            </w:pPr>
          </w:p>
        </w:tc>
      </w:tr>
      <w:tr>
        <w:trPr>
          <w:trHeight w:val="197"/>
        </w:trPr>
        <w:tc>
          <w:tcPr>
            <w:tcW w:w="58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46</w:t>
            </w:r>
          </w:p>
        </w:tc>
        <w:tc>
          <w:tcPr>
            <w:tcW w:w="460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80" w:type="dxa"/>
            <w:vAlign w:val="bottom"/>
            <w:vMerge w:val="continue"/>
          </w:tcPr>
          <w:p>
            <w:pPr>
              <w:spacing w:after="0"/>
              <w:rPr>
                <w:sz w:val="4"/>
                <w:szCs w:val="4"/>
                <w:color w:val="auto"/>
              </w:rPr>
            </w:pPr>
          </w:p>
        </w:tc>
        <w:tc>
          <w:tcPr>
            <w:tcW w:w="1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48</w:t>
            </w:r>
          </w:p>
        </w:tc>
        <w:tc>
          <w:tcPr>
            <w:tcW w:w="18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48</w:t>
            </w:r>
          </w:p>
        </w:tc>
        <w:tc>
          <w:tcPr>
            <w:tcW w:w="18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80" w:type="dxa"/>
            <w:vAlign w:val="bottom"/>
          </w:tcPr>
          <w:p>
            <w:pPr>
              <w:jc w:val="right"/>
              <w:ind w:right="320"/>
              <w:spacing w:after="0"/>
              <w:rPr>
                <w:sz w:val="20"/>
                <w:szCs w:val="20"/>
                <w:color w:val="auto"/>
              </w:rPr>
            </w:pPr>
            <w:r>
              <w:rPr>
                <w:rFonts w:ascii="Arial" w:cs="Arial" w:eastAsia="Arial" w:hAnsi="Arial"/>
                <w:sz w:val="16"/>
                <w:szCs w:val="16"/>
                <w:color w:val="auto"/>
                <w:w w:val="89"/>
              </w:rPr>
              <w:t>49</w:t>
            </w:r>
          </w:p>
        </w:tc>
        <w:tc>
          <w:tcPr>
            <w:tcW w:w="18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180975</wp:posOffset>
            </wp:positionV>
            <wp:extent cx="406400" cy="24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4600" w:space="520"/>
            <w:col w:w="5860"/>
          </w:cols>
          <w:pgMar w:left="320" w:top="455" w:right="599" w:bottom="1440" w:gutter="0" w:footer="0" w:header="0"/>
          <w:type w:val="continuous"/>
        </w:sectPr>
      </w:pPr>
    </w:p>
    <w:p>
      <w:pPr>
        <w:spacing w:after="0" w:line="46" w:lineRule="exact"/>
        <w:rPr>
          <w:sz w:val="20"/>
          <w:szCs w:val="20"/>
          <w:color w:val="auto"/>
        </w:rPr>
      </w:pPr>
    </w:p>
    <w:p>
      <w:pPr>
        <w:ind w:left="640"/>
        <w:spacing w:after="0"/>
        <w:rPr>
          <w:sz w:val="20"/>
          <w:szCs w:val="20"/>
          <w:color w:val="auto"/>
        </w:rPr>
      </w:pPr>
      <w:r>
        <w:rPr>
          <w:rFonts w:ascii="Arial" w:cs="Arial" w:eastAsia="Arial" w:hAnsi="Arial"/>
          <w:sz w:val="12"/>
          <w:szCs w:val="12"/>
          <w:color w:val="007CBA"/>
        </w:rPr>
        <w:t>2020 PROXY STATEMENT</w:t>
      </w:r>
    </w:p>
    <w:p>
      <w:pPr>
        <w:sectPr>
          <w:pgSz w:w="11900" w:h="16838" w:orient="portrait"/>
          <w:cols w:equalWidth="0" w:num="1">
            <w:col w:w="10980"/>
          </w:cols>
          <w:pgMar w:left="320" w:top="455" w:right="5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776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5625" cy="77603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Proxy Summary</w:t>
      </w:r>
    </w:p>
    <w:p>
      <w:pPr>
        <w:spacing w:after="0" w:line="322" w:lineRule="exact"/>
        <w:rPr>
          <w:sz w:val="20"/>
          <w:szCs w:val="20"/>
          <w:color w:val="auto"/>
        </w:rPr>
      </w:pPr>
    </w:p>
    <w:p>
      <w:pPr>
        <w:jc w:val="both"/>
        <w:ind w:left="620" w:right="440"/>
        <w:spacing w:after="0" w:line="247" w:lineRule="auto"/>
        <w:rPr>
          <w:sz w:val="20"/>
          <w:szCs w:val="20"/>
          <w:color w:val="auto"/>
        </w:rPr>
      </w:pPr>
      <w:r>
        <w:rPr>
          <w:rFonts w:ascii="Arial" w:cs="Arial" w:eastAsia="Arial" w:hAnsi="Arial"/>
          <w:sz w:val="16"/>
          <w:szCs w:val="16"/>
          <w:color w:val="auto"/>
        </w:rPr>
        <w:t>This Proxy Summary highlights information about Martin Marietta Materials, Inc. (Martin Marietta or the Company) that can be found elsewhere in this proxy statement. It does not contain all of the information you should consider in voting your shares. We encourage you to read the entire proxy statement for more detailed information on each topic prior to casting your vote. This proxy statement, the proxy card, and the notice of meeting are being sent commencing on approximately April 16, 2020 to shareholders of record on March 6, 2020.</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2020 Annual Meeting of Shareholders</w:t>
      </w:r>
    </w:p>
    <w:p>
      <w:pPr>
        <w:spacing w:after="0" w:line="195" w:lineRule="exact"/>
        <w:rPr>
          <w:sz w:val="20"/>
          <w:szCs w:val="20"/>
          <w:color w:val="auto"/>
        </w:rPr>
      </w:pPr>
    </w:p>
    <w:p>
      <w:pPr>
        <w:ind w:left="780"/>
        <w:spacing w:after="0"/>
        <w:tabs>
          <w:tab w:leader="none" w:pos="2200" w:val="left"/>
          <w:tab w:leader="none" w:pos="4880" w:val="left"/>
          <w:tab w:leader="none" w:pos="6120" w:val="left"/>
        </w:tabs>
        <w:rPr>
          <w:sz w:val="20"/>
          <w:szCs w:val="20"/>
          <w:color w:val="auto"/>
        </w:rPr>
      </w:pPr>
      <w:r>
        <w:rPr>
          <w:rFonts w:ascii="Arial" w:cs="Arial" w:eastAsia="Arial" w:hAnsi="Arial"/>
          <w:sz w:val="17"/>
          <w:szCs w:val="17"/>
          <w:b w:val="1"/>
          <w:bCs w:val="1"/>
          <w:color w:val="007CBA"/>
        </w:rPr>
        <w:t>Meeting Date:</w:t>
      </w:r>
      <w:r>
        <w:rPr>
          <w:sz w:val="20"/>
          <w:szCs w:val="20"/>
          <w:color w:val="auto"/>
        </w:rPr>
        <w:tab/>
      </w:r>
      <w:r>
        <w:rPr>
          <w:rFonts w:ascii="Arial" w:cs="Arial" w:eastAsia="Arial" w:hAnsi="Arial"/>
          <w:sz w:val="16"/>
          <w:szCs w:val="16"/>
          <w:color w:val="auto"/>
        </w:rPr>
        <w:t>May 14, 2020</w:t>
      </w:r>
      <w:r>
        <w:rPr>
          <w:sz w:val="20"/>
          <w:szCs w:val="20"/>
          <w:color w:val="auto"/>
        </w:rPr>
        <w:tab/>
      </w:r>
      <w:r>
        <w:rPr>
          <w:rFonts w:ascii="Arial" w:cs="Arial" w:eastAsia="Arial" w:hAnsi="Arial"/>
          <w:sz w:val="17"/>
          <w:szCs w:val="17"/>
          <w:b w:val="1"/>
          <w:bCs w:val="1"/>
          <w:color w:val="007CBA"/>
        </w:rPr>
        <w:t>Place:</w:t>
      </w:r>
      <w:r>
        <w:rPr>
          <w:sz w:val="20"/>
          <w:szCs w:val="20"/>
          <w:color w:val="auto"/>
        </w:rPr>
        <w:tab/>
      </w:r>
      <w:r>
        <w:rPr>
          <w:rFonts w:ascii="Arial" w:cs="Arial" w:eastAsia="Arial" w:hAnsi="Arial"/>
          <w:sz w:val="15"/>
          <w:szCs w:val="15"/>
          <w:color w:val="auto"/>
        </w:rPr>
        <w:t>2710 Wycliff Road, Raleigh, NC</w:t>
      </w:r>
    </w:p>
    <w:p>
      <w:pPr>
        <w:spacing w:after="0" w:line="135" w:lineRule="exact"/>
        <w:rPr>
          <w:sz w:val="20"/>
          <w:szCs w:val="20"/>
          <w:color w:val="auto"/>
        </w:rPr>
      </w:pPr>
    </w:p>
    <w:p>
      <w:pPr>
        <w:ind w:left="780"/>
        <w:spacing w:after="0"/>
        <w:tabs>
          <w:tab w:leader="none" w:pos="2200" w:val="left"/>
          <w:tab w:leader="none" w:pos="4880" w:val="left"/>
          <w:tab w:leader="none" w:pos="6120" w:val="left"/>
        </w:tabs>
        <w:rPr>
          <w:sz w:val="20"/>
          <w:szCs w:val="20"/>
          <w:color w:val="auto"/>
        </w:rPr>
      </w:pPr>
      <w:r>
        <w:rPr>
          <w:rFonts w:ascii="Arial" w:cs="Arial" w:eastAsia="Arial" w:hAnsi="Arial"/>
          <w:sz w:val="17"/>
          <w:szCs w:val="17"/>
          <w:b w:val="1"/>
          <w:bCs w:val="1"/>
          <w:color w:val="007CBA"/>
        </w:rPr>
        <w:t>Time:</w:t>
      </w:r>
      <w:r>
        <w:rPr>
          <w:sz w:val="20"/>
          <w:szCs w:val="20"/>
          <w:color w:val="auto"/>
        </w:rPr>
        <w:tab/>
      </w:r>
      <w:r>
        <w:rPr>
          <w:rFonts w:ascii="Arial" w:cs="Arial" w:eastAsia="Arial" w:hAnsi="Arial"/>
          <w:sz w:val="16"/>
          <w:szCs w:val="16"/>
          <w:color w:val="auto"/>
        </w:rPr>
        <w:t>11:30 am ET</w:t>
      </w:r>
      <w:r>
        <w:rPr>
          <w:sz w:val="20"/>
          <w:szCs w:val="20"/>
          <w:color w:val="auto"/>
        </w:rPr>
        <w:tab/>
      </w:r>
      <w:r>
        <w:rPr>
          <w:rFonts w:ascii="Arial" w:cs="Arial" w:eastAsia="Arial" w:hAnsi="Arial"/>
          <w:sz w:val="16"/>
          <w:szCs w:val="16"/>
          <w:b w:val="1"/>
          <w:bCs w:val="1"/>
          <w:color w:val="007CBA"/>
        </w:rPr>
        <w:t>Record Date:</w:t>
      </w:r>
      <w:r>
        <w:rPr>
          <w:sz w:val="20"/>
          <w:szCs w:val="20"/>
          <w:color w:val="auto"/>
        </w:rPr>
        <w:tab/>
      </w:r>
      <w:r>
        <w:rPr>
          <w:rFonts w:ascii="Arial" w:cs="Arial" w:eastAsia="Arial" w:hAnsi="Arial"/>
          <w:sz w:val="15"/>
          <w:szCs w:val="15"/>
          <w:color w:val="auto"/>
        </w:rPr>
        <w:t>March 6, 2020</w:t>
      </w:r>
    </w:p>
    <w:p>
      <w:pPr>
        <w:spacing w:after="0" w:line="182" w:lineRule="exact"/>
        <w:rPr>
          <w:sz w:val="20"/>
          <w:szCs w:val="20"/>
          <w:color w:val="auto"/>
        </w:rPr>
      </w:pPr>
    </w:p>
    <w:p>
      <w:pPr>
        <w:jc w:val="both"/>
        <w:ind w:left="620" w:right="440"/>
        <w:spacing w:after="0" w:line="249" w:lineRule="auto"/>
        <w:rPr>
          <w:sz w:val="20"/>
          <w:szCs w:val="20"/>
          <w:color w:val="auto"/>
        </w:rPr>
      </w:pPr>
      <w:r>
        <w:rPr>
          <w:rFonts w:ascii="Arial" w:cs="Arial" w:eastAsia="Arial" w:hAnsi="Arial"/>
          <w:sz w:val="16"/>
          <w:szCs w:val="16"/>
          <w:color w:val="auto"/>
        </w:rPr>
        <w:t>Your vote is important. You may vote in person at the 2020 Annual Meeting of Shareholders (Annual Meeting) or submit a proxy over the internet. If you have received a paper copy of the proxy card (or if you request a paper copy of the materials), you may submit a proxy by telephone or by mail.</w:t>
      </w:r>
    </w:p>
    <w:p>
      <w:pPr>
        <w:spacing w:after="0" w:line="327" w:lineRule="exact"/>
        <w:rPr>
          <w:sz w:val="20"/>
          <w:szCs w:val="20"/>
          <w:color w:val="auto"/>
        </w:rPr>
      </w:pPr>
    </w:p>
    <w:p>
      <w:pPr>
        <w:ind w:left="1420"/>
        <w:spacing w:after="0"/>
        <w:tabs>
          <w:tab w:leader="none" w:pos="6920" w:val="left"/>
        </w:tabs>
        <w:rPr>
          <w:sz w:val="20"/>
          <w:szCs w:val="20"/>
          <w:color w:val="auto"/>
        </w:rPr>
      </w:pPr>
      <w:r>
        <w:rPr>
          <w:rFonts w:ascii="Arial" w:cs="Arial" w:eastAsia="Arial" w:hAnsi="Arial"/>
          <w:sz w:val="16"/>
          <w:szCs w:val="16"/>
          <w:b w:val="1"/>
          <w:bCs w:val="1"/>
          <w:color w:val="007CBA"/>
        </w:rPr>
        <w:t>Via the Internet</w:t>
      </w:r>
      <w:r>
        <w:rPr>
          <w:sz w:val="20"/>
          <w:szCs w:val="20"/>
          <w:color w:val="auto"/>
        </w:rPr>
        <w:tab/>
      </w:r>
      <w:r>
        <w:rPr>
          <w:rFonts w:ascii="Arial" w:cs="Arial" w:eastAsia="Arial" w:hAnsi="Arial"/>
          <w:sz w:val="15"/>
          <w:szCs w:val="15"/>
          <w:b w:val="1"/>
          <w:bCs w:val="1"/>
          <w:color w:val="007CBA"/>
        </w:rPr>
        <w:t>In Person</w:t>
      </w:r>
    </w:p>
    <w:p>
      <w:pPr>
        <w:spacing w:after="0" w:line="143" w:lineRule="exact"/>
        <w:rPr>
          <w:sz w:val="20"/>
          <w:szCs w:val="20"/>
          <w:color w:val="auto"/>
        </w:rPr>
      </w:pPr>
    </w:p>
    <w:p>
      <w:pPr>
        <w:ind w:left="1420"/>
        <w:spacing w:after="0"/>
        <w:tabs>
          <w:tab w:leader="none" w:pos="6920" w:val="left"/>
        </w:tabs>
        <w:rPr>
          <w:sz w:val="20"/>
          <w:szCs w:val="20"/>
          <w:color w:val="auto"/>
        </w:rPr>
      </w:pPr>
      <w:r>
        <w:rPr>
          <w:rFonts w:ascii="Arial" w:cs="Arial" w:eastAsia="Arial" w:hAnsi="Arial"/>
          <w:sz w:val="16"/>
          <w:szCs w:val="16"/>
          <w:color w:val="auto"/>
        </w:rPr>
        <w:t>www.voteproxy.com</w:t>
      </w:r>
      <w:r>
        <w:rPr>
          <w:sz w:val="20"/>
          <w:szCs w:val="20"/>
          <w:color w:val="auto"/>
        </w:rPr>
        <w:tab/>
      </w:r>
      <w:r>
        <w:rPr>
          <w:rFonts w:ascii="Arial" w:cs="Arial" w:eastAsia="Arial" w:hAnsi="Arial"/>
          <w:sz w:val="16"/>
          <w:szCs w:val="16"/>
          <w:color w:val="auto"/>
        </w:rPr>
        <w:t>Attend the Annual Meeting and vote by ballot.</w:t>
      </w:r>
    </w:p>
    <w:p>
      <w:pPr>
        <w:spacing w:after="0" w:line="396" w:lineRule="exact"/>
        <w:rPr>
          <w:sz w:val="20"/>
          <w:szCs w:val="20"/>
          <w:color w:val="auto"/>
        </w:rPr>
      </w:pPr>
    </w:p>
    <w:p>
      <w:pPr>
        <w:ind w:left="1420"/>
        <w:spacing w:after="0"/>
        <w:tabs>
          <w:tab w:leader="none" w:pos="6920" w:val="left"/>
        </w:tabs>
        <w:rPr>
          <w:sz w:val="20"/>
          <w:szCs w:val="20"/>
          <w:color w:val="auto"/>
        </w:rPr>
      </w:pPr>
      <w:r>
        <w:rPr>
          <w:rFonts w:ascii="Arial" w:cs="Arial" w:eastAsia="Arial" w:hAnsi="Arial"/>
          <w:sz w:val="16"/>
          <w:szCs w:val="16"/>
          <w:b w:val="1"/>
          <w:bCs w:val="1"/>
          <w:color w:val="007CBA"/>
        </w:rPr>
        <w:t>By Telephone</w:t>
      </w:r>
      <w:r>
        <w:rPr>
          <w:sz w:val="20"/>
          <w:szCs w:val="20"/>
          <w:color w:val="auto"/>
        </w:rPr>
        <w:tab/>
      </w:r>
      <w:r>
        <w:rPr>
          <w:rFonts w:ascii="Arial" w:cs="Arial" w:eastAsia="Arial" w:hAnsi="Arial"/>
          <w:sz w:val="15"/>
          <w:szCs w:val="15"/>
          <w:b w:val="1"/>
          <w:bCs w:val="1"/>
          <w:color w:val="007CBA"/>
        </w:rPr>
        <w:t>By Mail</w:t>
      </w:r>
    </w:p>
    <w:p>
      <w:pPr>
        <w:sectPr>
          <w:pgSz w:w="11900" w:h="16838" w:orient="portrait"/>
          <w:cols w:equalWidth="0" w:num="1">
            <w:col w:w="11060"/>
          </w:cols>
          <w:pgMar w:left="320" w:top="455" w:right="519" w:bottom="1440" w:gutter="0" w:footer="0" w:header="0"/>
        </w:sectPr>
      </w:pP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1-800-PROXIES (1-800-776-9437)</w:t>
      </w:r>
    </w:p>
    <w:p>
      <w:pPr>
        <w:spacing w:after="0" w:line="3" w:lineRule="exact"/>
        <w:rPr>
          <w:sz w:val="20"/>
          <w:szCs w:val="20"/>
          <w:color w:val="auto"/>
        </w:rPr>
      </w:pPr>
    </w:p>
    <w:p>
      <w:pPr>
        <w:ind w:left="1420" w:right="2020"/>
        <w:spacing w:after="0" w:line="254" w:lineRule="auto"/>
        <w:rPr>
          <w:sz w:val="20"/>
          <w:szCs w:val="20"/>
          <w:color w:val="auto"/>
        </w:rPr>
      </w:pPr>
      <w:r>
        <w:rPr>
          <w:rFonts w:ascii="Arial" w:cs="Arial" w:eastAsia="Arial" w:hAnsi="Arial"/>
          <w:sz w:val="16"/>
          <w:szCs w:val="16"/>
          <w:color w:val="auto"/>
        </w:rPr>
        <w:t>in the United States or 1-718-921-8500 from outside the United States.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1440"/>
        <w:spacing w:after="0" w:line="254" w:lineRule="auto"/>
        <w:rPr>
          <w:sz w:val="20"/>
          <w:szCs w:val="20"/>
          <w:color w:val="auto"/>
        </w:rPr>
      </w:pPr>
      <w:r>
        <w:rPr>
          <w:rFonts w:ascii="Arial" w:cs="Arial" w:eastAsia="Arial" w:hAnsi="Arial"/>
          <w:sz w:val="16"/>
          <w:szCs w:val="16"/>
          <w:color w:val="auto"/>
        </w:rPr>
        <w:t>Sign, date and mail your proxy card in the envelope provided.</w:t>
      </w:r>
    </w:p>
    <w:p>
      <w:pPr>
        <w:spacing w:after="0" w:line="386" w:lineRule="exact"/>
        <w:rPr>
          <w:sz w:val="20"/>
          <w:szCs w:val="20"/>
          <w:color w:val="auto"/>
        </w:rPr>
      </w:pPr>
    </w:p>
    <w:p>
      <w:pPr>
        <w:sectPr>
          <w:pgSz w:w="11900" w:h="16838" w:orient="portrait"/>
          <w:cols w:equalWidth="0" w:num="2">
            <w:col w:w="6220" w:space="720"/>
            <w:col w:w="4120"/>
          </w:cols>
          <w:pgMar w:left="320" w:top="455" w:right="519" w:bottom="1440" w:gutter="0" w:footer="0" w:header="0"/>
          <w:type w:val="continuous"/>
        </w:sectPr>
      </w:pPr>
    </w:p>
    <w:p>
      <w:pPr>
        <w:spacing w:after="0" w:line="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you submit your proxy by telephone or over the internet, you do not need to return your proxy card by mail.</w:t>
      </w:r>
    </w:p>
    <w:p>
      <w:pPr>
        <w:spacing w:after="0" w:line="29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PROPOSALS AND VOTING RECOMMENDATIONS</w:t>
      </w:r>
    </w:p>
    <w:p>
      <w:pPr>
        <w:spacing w:after="0" w:line="110"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96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Proposal</w:t>
            </w:r>
          </w:p>
        </w:tc>
        <w:tc>
          <w:tcPr>
            <w:tcW w:w="40" w:type="dxa"/>
            <w:vAlign w:val="bottom"/>
            <w:shd w:val="clear" w:color="auto" w:fill="007CBA"/>
          </w:tcPr>
          <w:p>
            <w:pPr>
              <w:spacing w:after="0"/>
              <w:rPr>
                <w:sz w:val="18"/>
                <w:szCs w:val="18"/>
                <w:color w:val="auto"/>
              </w:rPr>
            </w:pPr>
          </w:p>
        </w:tc>
        <w:tc>
          <w:tcPr>
            <w:tcW w:w="4400" w:type="dxa"/>
            <w:vAlign w:val="bottom"/>
            <w:gridSpan w:val="4"/>
            <w:shd w:val="clear" w:color="auto" w:fill="007CBA"/>
          </w:tcPr>
          <w:p>
            <w:pPr>
              <w:spacing w:after="0"/>
              <w:rPr>
                <w:sz w:val="20"/>
                <w:szCs w:val="20"/>
                <w:color w:val="auto"/>
              </w:rPr>
            </w:pPr>
            <w:r>
              <w:rPr>
                <w:rFonts w:ascii="Arial" w:cs="Arial" w:eastAsia="Arial" w:hAnsi="Arial"/>
                <w:sz w:val="16"/>
                <w:szCs w:val="16"/>
                <w:b w:val="1"/>
                <w:bCs w:val="1"/>
                <w:color w:val="FFFFFF"/>
              </w:rPr>
              <w:t>Description</w:t>
            </w:r>
          </w:p>
        </w:tc>
        <w:tc>
          <w:tcPr>
            <w:tcW w:w="3340" w:type="dxa"/>
            <w:vAlign w:val="bottom"/>
            <w:shd w:val="clear" w:color="auto" w:fill="007CBA"/>
          </w:tcPr>
          <w:p>
            <w:pPr>
              <w:ind w:left="380"/>
              <w:spacing w:after="0"/>
              <w:rPr>
                <w:sz w:val="20"/>
                <w:szCs w:val="20"/>
                <w:color w:val="auto"/>
              </w:rPr>
            </w:pPr>
            <w:r>
              <w:rPr>
                <w:rFonts w:ascii="Arial" w:cs="Arial" w:eastAsia="Arial" w:hAnsi="Arial"/>
                <w:sz w:val="16"/>
                <w:szCs w:val="16"/>
                <w:b w:val="1"/>
                <w:bCs w:val="1"/>
                <w:color w:val="FFFFFF"/>
              </w:rPr>
              <w:t>Board Voting Recommendation</w:t>
            </w:r>
          </w:p>
        </w:tc>
        <w:tc>
          <w:tcPr>
            <w:tcW w:w="760" w:type="dxa"/>
            <w:vAlign w:val="bottom"/>
            <w:shd w:val="clear" w:color="auto" w:fill="007CBA"/>
          </w:tcPr>
          <w:p>
            <w:pPr>
              <w:jc w:val="right"/>
              <w:ind w:right="80"/>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328"/>
        </w:trPr>
        <w:tc>
          <w:tcPr>
            <w:tcW w:w="960" w:type="dxa"/>
            <w:vAlign w:val="bottom"/>
          </w:tcPr>
          <w:p>
            <w:pPr>
              <w:ind w:left="6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4"/>
                <w:szCs w:val="24"/>
                <w:color w:val="auto"/>
              </w:rPr>
            </w:pPr>
          </w:p>
        </w:tc>
        <w:tc>
          <w:tcPr>
            <w:tcW w:w="4400" w:type="dxa"/>
            <w:vAlign w:val="bottom"/>
            <w:gridSpan w:val="4"/>
          </w:tcPr>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Election of ten director nominees</w:t>
              </w:r>
            </w:hyperlink>
          </w:p>
        </w:tc>
        <w:tc>
          <w:tcPr>
            <w:tcW w:w="3340" w:type="dxa"/>
            <w:vAlign w:val="bottom"/>
          </w:tcPr>
          <w:p>
            <w:pPr>
              <w:ind w:left="640"/>
              <w:spacing w:after="0"/>
              <w:rPr>
                <w:sz w:val="20"/>
                <w:szCs w:val="20"/>
                <w:color w:val="auto"/>
              </w:rPr>
            </w:pPr>
            <w:r>
              <w:rPr>
                <w:rFonts w:ascii="Arial" w:cs="Arial" w:eastAsia="Arial" w:hAnsi="Arial"/>
                <w:sz w:val="16"/>
                <w:szCs w:val="16"/>
                <w:color w:val="auto"/>
              </w:rPr>
              <w:t>FOR EACH DIRECTOR NOMINEE</w:t>
            </w: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5"/>
        </w:trPr>
        <w:tc>
          <w:tcPr>
            <w:tcW w:w="960" w:type="dxa"/>
            <w:vAlign w:val="bottom"/>
            <w:tcBorders>
              <w:bottom w:val="single" w:sz="8" w:color="007CBA"/>
            </w:tcBorders>
          </w:tcPr>
          <w:p>
            <w:pPr>
              <w:spacing w:after="0"/>
              <w:rPr>
                <w:sz w:val="3"/>
                <w:szCs w:val="3"/>
                <w:color w:val="auto"/>
              </w:rPr>
            </w:pPr>
          </w:p>
        </w:tc>
        <w:tc>
          <w:tcPr>
            <w:tcW w:w="40" w:type="dxa"/>
            <w:vAlign w:val="bottom"/>
            <w:tcBorders>
              <w:bottom w:val="single" w:sz="8" w:color="007CBA"/>
            </w:tcBorders>
          </w:tcPr>
          <w:p>
            <w:pPr>
              <w:spacing w:after="0"/>
              <w:rPr>
                <w:sz w:val="3"/>
                <w:szCs w:val="3"/>
                <w:color w:val="auto"/>
              </w:rPr>
            </w:pPr>
          </w:p>
        </w:tc>
        <w:tc>
          <w:tcPr>
            <w:tcW w:w="1000" w:type="dxa"/>
            <w:vAlign w:val="bottom"/>
            <w:tcBorders>
              <w:bottom w:val="single" w:sz="8" w:color="007CBA"/>
            </w:tcBorders>
          </w:tcPr>
          <w:p>
            <w:pPr>
              <w:spacing w:after="0"/>
              <w:rPr>
                <w:sz w:val="3"/>
                <w:szCs w:val="3"/>
                <w:color w:val="auto"/>
              </w:rPr>
            </w:pPr>
          </w:p>
        </w:tc>
        <w:tc>
          <w:tcPr>
            <w:tcW w:w="1340" w:type="dxa"/>
            <w:vAlign w:val="bottom"/>
            <w:tcBorders>
              <w:bottom w:val="single" w:sz="8" w:color="007CBA"/>
            </w:tcBorders>
          </w:tcPr>
          <w:p>
            <w:pPr>
              <w:spacing w:after="0"/>
              <w:rPr>
                <w:sz w:val="3"/>
                <w:szCs w:val="3"/>
                <w:color w:val="auto"/>
              </w:rPr>
            </w:pPr>
          </w:p>
        </w:tc>
        <w:tc>
          <w:tcPr>
            <w:tcW w:w="1680" w:type="dxa"/>
            <w:vAlign w:val="bottom"/>
            <w:tcBorders>
              <w:bottom w:val="single" w:sz="8" w:color="007CBA"/>
            </w:tcBorders>
          </w:tcPr>
          <w:p>
            <w:pPr>
              <w:spacing w:after="0"/>
              <w:rPr>
                <w:sz w:val="3"/>
                <w:szCs w:val="3"/>
                <w:color w:val="auto"/>
              </w:rPr>
            </w:pPr>
          </w:p>
        </w:tc>
        <w:tc>
          <w:tcPr>
            <w:tcW w:w="380" w:type="dxa"/>
            <w:vAlign w:val="bottom"/>
            <w:tcBorders>
              <w:bottom w:val="single" w:sz="8" w:color="007CBA"/>
            </w:tcBorders>
          </w:tcPr>
          <w:p>
            <w:pPr>
              <w:spacing w:after="0"/>
              <w:rPr>
                <w:sz w:val="3"/>
                <w:szCs w:val="3"/>
                <w:color w:val="auto"/>
              </w:rPr>
            </w:pPr>
          </w:p>
        </w:tc>
        <w:tc>
          <w:tcPr>
            <w:tcW w:w="3340" w:type="dxa"/>
            <w:vAlign w:val="bottom"/>
            <w:tcBorders>
              <w:bottom w:val="single" w:sz="8" w:color="007CBA"/>
            </w:tcBorders>
          </w:tcPr>
          <w:p>
            <w:pPr>
              <w:spacing w:after="0"/>
              <w:rPr>
                <w:sz w:val="3"/>
                <w:szCs w:val="3"/>
                <w:color w:val="auto"/>
              </w:rPr>
            </w:pPr>
          </w:p>
        </w:tc>
        <w:tc>
          <w:tcPr>
            <w:tcW w:w="760" w:type="dxa"/>
            <w:vAlign w:val="bottom"/>
            <w:tcBorders>
              <w:bottom w:val="single" w:sz="8" w:color="007CBA"/>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960" w:type="dxa"/>
            <w:vAlign w:val="bottom"/>
            <w:vMerge w:val="restart"/>
          </w:tcPr>
          <w:p>
            <w:pPr>
              <w:ind w:left="6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4400" w:type="dxa"/>
            <w:vAlign w:val="bottom"/>
            <w:gridSpan w:val="4"/>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Ratification of the appointment of</w:t>
              </w:r>
            </w:hyperlink>
          </w:p>
        </w:tc>
        <w:tc>
          <w:tcPr>
            <w:tcW w:w="3340" w:type="dxa"/>
            <w:vAlign w:val="bottom"/>
            <w:vMerge w:val="restart"/>
          </w:tcPr>
          <w:p>
            <w:pPr>
              <w:ind w:left="640"/>
              <w:spacing w:after="0"/>
              <w:rPr>
                <w:sz w:val="20"/>
                <w:szCs w:val="20"/>
                <w:color w:val="auto"/>
              </w:rPr>
            </w:pPr>
            <w:r>
              <w:rPr>
                <w:rFonts w:ascii="Arial" w:cs="Arial" w:eastAsia="Arial" w:hAnsi="Arial"/>
                <w:sz w:val="16"/>
                <w:szCs w:val="16"/>
                <w:color w:val="auto"/>
              </w:rPr>
              <w:t>FOR</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400" w:type="dxa"/>
            <w:vAlign w:val="bottom"/>
            <w:gridSpan w:val="4"/>
            <w:vMerge w:val="restart"/>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PricewaterhouseCoopers LLP as independent auditors</w:t>
              </w:r>
            </w:hyperlink>
          </w:p>
        </w:tc>
        <w:tc>
          <w:tcPr>
            <w:tcW w:w="3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0" w:type="dxa"/>
            <w:vAlign w:val="bottom"/>
            <w:gridSpan w:val="4"/>
            <w:vMerge w:val="continue"/>
          </w:tcPr>
          <w:p>
            <w:pPr>
              <w:spacing w:after="0"/>
              <w:rPr>
                <w:sz w:val="8"/>
                <w:szCs w:val="8"/>
                <w:color w:val="auto"/>
              </w:rPr>
            </w:pPr>
          </w:p>
        </w:tc>
        <w:tc>
          <w:tcPr>
            <w:tcW w:w="33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960" w:type="dxa"/>
            <w:vAlign w:val="bottom"/>
            <w:tcBorders>
              <w:bottom w:val="single" w:sz="8" w:color="007CBA"/>
            </w:tcBorders>
          </w:tcPr>
          <w:p>
            <w:pPr>
              <w:spacing w:after="0"/>
              <w:rPr>
                <w:sz w:val="3"/>
                <w:szCs w:val="3"/>
                <w:color w:val="auto"/>
              </w:rPr>
            </w:pPr>
          </w:p>
        </w:tc>
        <w:tc>
          <w:tcPr>
            <w:tcW w:w="40" w:type="dxa"/>
            <w:vAlign w:val="bottom"/>
            <w:tcBorders>
              <w:bottom w:val="single" w:sz="8" w:color="007CBA"/>
            </w:tcBorders>
          </w:tcPr>
          <w:p>
            <w:pPr>
              <w:spacing w:after="0"/>
              <w:rPr>
                <w:sz w:val="3"/>
                <w:szCs w:val="3"/>
                <w:color w:val="auto"/>
              </w:rPr>
            </w:pPr>
          </w:p>
        </w:tc>
        <w:tc>
          <w:tcPr>
            <w:tcW w:w="1000" w:type="dxa"/>
            <w:vAlign w:val="bottom"/>
            <w:tcBorders>
              <w:bottom w:val="single" w:sz="8" w:color="007CBA"/>
            </w:tcBorders>
          </w:tcPr>
          <w:p>
            <w:pPr>
              <w:spacing w:after="0"/>
              <w:rPr>
                <w:sz w:val="3"/>
                <w:szCs w:val="3"/>
                <w:color w:val="auto"/>
              </w:rPr>
            </w:pPr>
          </w:p>
        </w:tc>
        <w:tc>
          <w:tcPr>
            <w:tcW w:w="1340" w:type="dxa"/>
            <w:vAlign w:val="bottom"/>
            <w:tcBorders>
              <w:bottom w:val="single" w:sz="8" w:color="007CBA"/>
            </w:tcBorders>
          </w:tcPr>
          <w:p>
            <w:pPr>
              <w:spacing w:after="0"/>
              <w:rPr>
                <w:sz w:val="3"/>
                <w:szCs w:val="3"/>
                <w:color w:val="auto"/>
              </w:rPr>
            </w:pPr>
          </w:p>
        </w:tc>
        <w:tc>
          <w:tcPr>
            <w:tcW w:w="1680" w:type="dxa"/>
            <w:vAlign w:val="bottom"/>
            <w:tcBorders>
              <w:bottom w:val="single" w:sz="8" w:color="007CBA"/>
            </w:tcBorders>
          </w:tcPr>
          <w:p>
            <w:pPr>
              <w:spacing w:after="0"/>
              <w:rPr>
                <w:sz w:val="3"/>
                <w:szCs w:val="3"/>
                <w:color w:val="auto"/>
              </w:rPr>
            </w:pPr>
          </w:p>
        </w:tc>
        <w:tc>
          <w:tcPr>
            <w:tcW w:w="380" w:type="dxa"/>
            <w:vAlign w:val="bottom"/>
            <w:tcBorders>
              <w:bottom w:val="single" w:sz="8" w:color="007CBA"/>
            </w:tcBorders>
          </w:tcPr>
          <w:p>
            <w:pPr>
              <w:spacing w:after="0"/>
              <w:rPr>
                <w:sz w:val="3"/>
                <w:szCs w:val="3"/>
                <w:color w:val="auto"/>
              </w:rPr>
            </w:pPr>
          </w:p>
        </w:tc>
        <w:tc>
          <w:tcPr>
            <w:tcW w:w="3340" w:type="dxa"/>
            <w:vAlign w:val="bottom"/>
            <w:tcBorders>
              <w:bottom w:val="single" w:sz="8" w:color="007CBA"/>
            </w:tcBorders>
          </w:tcPr>
          <w:p>
            <w:pPr>
              <w:spacing w:after="0"/>
              <w:rPr>
                <w:sz w:val="3"/>
                <w:szCs w:val="3"/>
                <w:color w:val="auto"/>
              </w:rPr>
            </w:pPr>
          </w:p>
        </w:tc>
        <w:tc>
          <w:tcPr>
            <w:tcW w:w="760" w:type="dxa"/>
            <w:vAlign w:val="bottom"/>
            <w:tcBorders>
              <w:bottom w:val="single" w:sz="8" w:color="007CBA"/>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960" w:type="dxa"/>
            <w:vAlign w:val="bottom"/>
          </w:tcPr>
          <w:p>
            <w:pPr>
              <w:ind w:left="6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4400" w:type="dxa"/>
            <w:vAlign w:val="bottom"/>
            <w:gridSpan w:val="4"/>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Advisory vote on the Company’s named executive officer</w:t>
              </w:r>
            </w:hyperlink>
          </w:p>
        </w:tc>
        <w:tc>
          <w:tcPr>
            <w:tcW w:w="3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20" w:type="dxa"/>
            <w:vAlign w:val="bottom"/>
            <w:tcBorders>
              <w:top w:val="single" w:sz="8" w:color="0000EE"/>
            </w:tcBorders>
            <w:gridSpan w:val="3"/>
          </w:tcPr>
          <w:p>
            <w:pPr>
              <w:spacing w:after="0" w:line="167" w:lineRule="exact"/>
              <w:rPr>
                <w:rFonts w:ascii="Arial" w:cs="Arial" w:eastAsia="Arial" w:hAnsi="Arial"/>
                <w:sz w:val="16"/>
                <w:szCs w:val="16"/>
                <w:color w:val="0000EE"/>
              </w:rPr>
            </w:pPr>
            <w:hyperlink w:anchor="page73">
              <w:r>
                <w:rPr>
                  <w:rFonts w:ascii="Arial" w:cs="Arial" w:eastAsia="Arial" w:hAnsi="Arial"/>
                  <w:sz w:val="16"/>
                  <w:szCs w:val="16"/>
                  <w:color w:val="0000EE"/>
                </w:rPr>
                <w:t>compensation</w:t>
              </w:r>
            </w:hyperlink>
          </w:p>
        </w:tc>
        <w:tc>
          <w:tcPr>
            <w:tcW w:w="380" w:type="dxa"/>
            <w:vAlign w:val="bottom"/>
          </w:tcPr>
          <w:p>
            <w:pPr>
              <w:spacing w:after="0"/>
              <w:rPr>
                <w:sz w:val="14"/>
                <w:szCs w:val="14"/>
                <w:color w:val="auto"/>
              </w:rPr>
            </w:pPr>
          </w:p>
        </w:tc>
        <w:tc>
          <w:tcPr>
            <w:tcW w:w="3340" w:type="dxa"/>
            <w:vAlign w:val="bottom"/>
          </w:tcPr>
          <w:p>
            <w:pPr>
              <w:ind w:left="640"/>
              <w:spacing w:after="0" w:line="167" w:lineRule="exact"/>
              <w:rPr>
                <w:sz w:val="20"/>
                <w:szCs w:val="20"/>
                <w:color w:val="auto"/>
              </w:rPr>
            </w:pPr>
            <w:r>
              <w:rPr>
                <w:rFonts w:ascii="Arial" w:cs="Arial" w:eastAsia="Arial" w:hAnsi="Arial"/>
                <w:sz w:val="16"/>
                <w:szCs w:val="16"/>
                <w:color w:val="auto"/>
              </w:rPr>
              <w:t>FOR</w:t>
            </w:r>
          </w:p>
        </w:tc>
        <w:tc>
          <w:tcPr>
            <w:tcW w:w="760" w:type="dxa"/>
            <w:vAlign w:val="bottom"/>
          </w:tcPr>
          <w:p>
            <w:pPr>
              <w:jc w:val="right"/>
              <w:spacing w:after="0" w:line="167"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60"/>
        </w:trPr>
        <w:tc>
          <w:tcPr>
            <w:tcW w:w="960" w:type="dxa"/>
            <w:vAlign w:val="bottom"/>
            <w:tcBorders>
              <w:bottom w:val="single" w:sz="8" w:color="007CBA"/>
            </w:tcBorders>
          </w:tcPr>
          <w:p>
            <w:pPr>
              <w:spacing w:after="0"/>
              <w:rPr>
                <w:sz w:val="5"/>
                <w:szCs w:val="5"/>
                <w:color w:val="auto"/>
              </w:rPr>
            </w:pPr>
          </w:p>
        </w:tc>
        <w:tc>
          <w:tcPr>
            <w:tcW w:w="40" w:type="dxa"/>
            <w:vAlign w:val="bottom"/>
            <w:tcBorders>
              <w:bottom w:val="single" w:sz="8" w:color="007CBA"/>
            </w:tcBorders>
          </w:tcPr>
          <w:p>
            <w:pPr>
              <w:spacing w:after="0"/>
              <w:rPr>
                <w:sz w:val="5"/>
                <w:szCs w:val="5"/>
                <w:color w:val="auto"/>
              </w:rPr>
            </w:pPr>
          </w:p>
        </w:tc>
        <w:tc>
          <w:tcPr>
            <w:tcW w:w="1000" w:type="dxa"/>
            <w:vAlign w:val="bottom"/>
            <w:tcBorders>
              <w:top w:val="single" w:sz="8" w:color="0000EE"/>
              <w:bottom w:val="single" w:sz="8" w:color="007CBA"/>
            </w:tcBorders>
          </w:tcPr>
          <w:p>
            <w:pPr>
              <w:spacing w:after="0"/>
              <w:rPr>
                <w:sz w:val="5"/>
                <w:szCs w:val="5"/>
                <w:color w:val="auto"/>
              </w:rPr>
            </w:pPr>
          </w:p>
        </w:tc>
        <w:tc>
          <w:tcPr>
            <w:tcW w:w="1340" w:type="dxa"/>
            <w:vAlign w:val="bottom"/>
            <w:tcBorders>
              <w:bottom w:val="single" w:sz="8" w:color="007CBA"/>
            </w:tcBorders>
          </w:tcPr>
          <w:p>
            <w:pPr>
              <w:spacing w:after="0"/>
              <w:rPr>
                <w:sz w:val="5"/>
                <w:szCs w:val="5"/>
                <w:color w:val="auto"/>
              </w:rPr>
            </w:pPr>
          </w:p>
        </w:tc>
        <w:tc>
          <w:tcPr>
            <w:tcW w:w="1680" w:type="dxa"/>
            <w:vAlign w:val="bottom"/>
            <w:tcBorders>
              <w:bottom w:val="single" w:sz="8" w:color="007CBA"/>
            </w:tcBorders>
          </w:tcPr>
          <w:p>
            <w:pPr>
              <w:spacing w:after="0"/>
              <w:rPr>
                <w:sz w:val="5"/>
                <w:szCs w:val="5"/>
                <w:color w:val="auto"/>
              </w:rPr>
            </w:pPr>
          </w:p>
        </w:tc>
        <w:tc>
          <w:tcPr>
            <w:tcW w:w="380" w:type="dxa"/>
            <w:vAlign w:val="bottom"/>
            <w:tcBorders>
              <w:bottom w:val="single" w:sz="8" w:color="007CBA"/>
            </w:tcBorders>
          </w:tcPr>
          <w:p>
            <w:pPr>
              <w:spacing w:after="0"/>
              <w:rPr>
                <w:sz w:val="5"/>
                <w:szCs w:val="5"/>
                <w:color w:val="auto"/>
              </w:rPr>
            </w:pPr>
          </w:p>
        </w:tc>
        <w:tc>
          <w:tcPr>
            <w:tcW w:w="3340" w:type="dxa"/>
            <w:vAlign w:val="bottom"/>
            <w:tcBorders>
              <w:bottom w:val="single" w:sz="8" w:color="007CBA"/>
            </w:tcBorders>
          </w:tcPr>
          <w:p>
            <w:pPr>
              <w:spacing w:after="0"/>
              <w:rPr>
                <w:sz w:val="5"/>
                <w:szCs w:val="5"/>
                <w:color w:val="auto"/>
              </w:rPr>
            </w:pPr>
          </w:p>
        </w:tc>
        <w:tc>
          <w:tcPr>
            <w:tcW w:w="760" w:type="dxa"/>
            <w:vAlign w:val="bottom"/>
            <w:tcBorders>
              <w:bottom w:val="single" w:sz="8" w:color="007CB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2479675</wp:posOffset>
            </wp:positionV>
            <wp:extent cx="406400" cy="24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70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bl>
    <w:p>
      <w:pPr>
        <w:sectPr>
          <w:pgSz w:w="11900" w:h="16838" w:orient="portrait"/>
          <w:cols w:equalWidth="0" w:num="1">
            <w:col w:w="11060"/>
          </w:cols>
          <w:pgMar w:left="320" w:top="455" w:right="5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7912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5625" cy="791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2020 BUSINESS HIGHLIGHTS</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Shareholders Benefit from Martin Marietta’s Record 2019 Performance</w:t>
      </w:r>
    </w:p>
    <w:p>
      <w:pPr>
        <w:spacing w:after="0" w:line="219" w:lineRule="exact"/>
        <w:rPr>
          <w:sz w:val="20"/>
          <w:szCs w:val="20"/>
          <w:color w:val="auto"/>
        </w:rPr>
      </w:pPr>
    </w:p>
    <w:p>
      <w:pPr>
        <w:jc w:val="both"/>
        <w:ind w:left="620" w:right="20"/>
        <w:spacing w:after="0" w:line="245" w:lineRule="auto"/>
        <w:rPr>
          <w:sz w:val="20"/>
          <w:szCs w:val="20"/>
          <w:color w:val="auto"/>
        </w:rPr>
      </w:pPr>
      <w:r>
        <w:rPr>
          <w:rFonts w:ascii="Arial" w:cs="Arial" w:eastAsia="Arial" w:hAnsi="Arial"/>
          <w:sz w:val="16"/>
          <w:szCs w:val="16"/>
          <w:color w:val="auto"/>
        </w:rPr>
        <w:t>The past year was one of improved financial performance, disciplined capital allocation and continued emphasis on safety, health and our other tenets of sustainability. We continued to see the full-year benefits from our 2018 acquisition and quick-paced integration of Bluegrass Materials Company (Bluegrass), strengthening our foundation for long-term financial success. Our record 2019 financial performance is a continuation of the growth in total revenues, gross profit, adjusted EBITDA and earnings diluted per share (EPS) since 2011. These trends, along with our record safety results, validate both our strategic plan and our ability to logically and successfully execute against that plan. Disciplined execution against our capital allocation priorities was also reflected in 2019 as we continued our share repurchase program and meaningfully increased our dividend again.</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are highlights of our financial performance in 2019:</w:t>
      </w:r>
    </w:p>
    <w:p>
      <w:pPr>
        <w:spacing w:after="0" w:line="103" w:lineRule="exact"/>
        <w:rPr>
          <w:sz w:val="20"/>
          <w:szCs w:val="20"/>
          <w:color w:val="auto"/>
        </w:rPr>
      </w:pPr>
    </w:p>
    <w:p>
      <w:pPr>
        <w:jc w:val="both"/>
        <w:ind w:left="1040" w:hanging="427"/>
        <w:spacing w:after="0" w:line="262" w:lineRule="auto"/>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Record consolidated revenues of $4.7 billion, a 12% year-on-year increase, </w:t>
      </w:r>
      <w:r>
        <w:rPr>
          <w:rFonts w:ascii="Arial" w:cs="Arial" w:eastAsia="Arial" w:hAnsi="Arial"/>
          <w:sz w:val="16"/>
          <w:szCs w:val="16"/>
          <w:color w:val="auto"/>
        </w:rPr>
        <w:t>driven by double-digit aggregates and cement</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 growth and steady pricing gains across the Building Materials business, with net earnings attributable to Martin Marietta of $612 million</w:t>
      </w:r>
    </w:p>
    <w:p>
      <w:pPr>
        <w:spacing w:after="0" w:line="76" w:lineRule="exact"/>
        <w:rPr>
          <w:rFonts w:ascii="MS PGothic" w:cs="MS PGothic" w:eastAsia="MS PGothic" w:hAnsi="MS PGothic"/>
          <w:sz w:val="16"/>
          <w:szCs w:val="16"/>
          <w:color w:val="auto"/>
        </w:rPr>
      </w:pPr>
    </w:p>
    <w:p>
      <w:pPr>
        <w:ind w:left="1040" w:hanging="427"/>
        <w:spacing w:after="0"/>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color w:val="auto"/>
        </w:rPr>
        <w:t>Achieved 8</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consecutive year of revenue, gross profit, adjusted EBITDA and EPS growth</w:t>
      </w:r>
    </w:p>
    <w:p>
      <w:pPr>
        <w:spacing w:after="0" w:line="30" w:lineRule="exact"/>
        <w:rPr>
          <w:rFonts w:ascii="MS PGothic" w:cs="MS PGothic" w:eastAsia="MS PGothic" w:hAnsi="MS PGothic"/>
          <w:sz w:val="16"/>
          <w:szCs w:val="16"/>
          <w:color w:val="auto"/>
        </w:rPr>
      </w:pPr>
    </w:p>
    <w:p>
      <w:pPr>
        <w:ind w:left="1040" w:hanging="427"/>
        <w:spacing w:after="0"/>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 xml:space="preserve">Record-setting results yielded a </w:t>
      </w:r>
      <w:r>
        <w:rPr>
          <w:rFonts w:ascii="Arial" w:cs="Arial" w:eastAsia="Arial" w:hAnsi="Arial"/>
          <w:sz w:val="16"/>
          <w:szCs w:val="16"/>
          <w:b w:val="1"/>
          <w:bCs w:val="1"/>
          <w:color w:val="auto"/>
        </w:rPr>
        <w:t>64 percent Total Shareholder Return (TSR), more than double the S&amp;P 500</w:t>
      </w:r>
    </w:p>
    <w:p>
      <w:pPr>
        <w:spacing w:after="0" w:line="115" w:lineRule="exact"/>
        <w:rPr>
          <w:rFonts w:ascii="MS PGothic" w:cs="MS PGothic" w:eastAsia="MS PGothic" w:hAnsi="MS PGothic"/>
          <w:sz w:val="16"/>
          <w:szCs w:val="16"/>
          <w:color w:val="auto"/>
        </w:rPr>
      </w:pPr>
    </w:p>
    <w:p>
      <w:pPr>
        <w:ind w:left="1040" w:hanging="427"/>
        <w:spacing w:after="0"/>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color w:val="auto"/>
        </w:rPr>
        <w:t>$50 million contributed to the Company’s ~100% funded qualified pension plan</w:t>
      </w:r>
    </w:p>
    <w:p>
      <w:pPr>
        <w:spacing w:after="0" w:line="135" w:lineRule="exact"/>
        <w:rPr>
          <w:rFonts w:ascii="MS PGothic" w:cs="MS PGothic" w:eastAsia="MS PGothic" w:hAnsi="MS PGothic"/>
          <w:sz w:val="16"/>
          <w:szCs w:val="16"/>
          <w:color w:val="auto"/>
        </w:rPr>
      </w:pPr>
    </w:p>
    <w:p>
      <w:pPr>
        <w:ind w:left="1040" w:hanging="427"/>
        <w:spacing w:after="0" w:line="280" w:lineRule="auto"/>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Repurchased 416,000 shares for $98.2 million </w:t>
      </w:r>
      <w:r>
        <w:rPr>
          <w:rFonts w:ascii="Arial" w:cs="Arial" w:eastAsia="Arial" w:hAnsi="Arial"/>
          <w:sz w:val="16"/>
          <w:szCs w:val="16"/>
          <w:color w:val="auto"/>
        </w:rPr>
        <w:t>($236.04 per share); 13.7 million shares remaining on our February 2015</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w:t>
      </w:r>
    </w:p>
    <w:p>
      <w:pPr>
        <w:spacing w:after="0" w:line="83" w:lineRule="exact"/>
        <w:rPr>
          <w:rFonts w:ascii="MS PGothic" w:cs="MS PGothic" w:eastAsia="MS PGothic" w:hAnsi="MS PGothic"/>
          <w:sz w:val="16"/>
          <w:szCs w:val="16"/>
          <w:color w:val="auto"/>
        </w:rPr>
      </w:pPr>
    </w:p>
    <w:p>
      <w:pPr>
        <w:ind w:left="1040" w:hanging="427"/>
        <w:spacing w:after="0" w:line="254" w:lineRule="auto"/>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 xml:space="preserve">Our Board of Directors (Board) approved a 15% dividend increase ($2.20 per share on an annualized basis) in August, one of the </w:t>
      </w:r>
      <w:r>
        <w:rPr>
          <w:rFonts w:ascii="Arial" w:cs="Arial" w:eastAsia="Arial" w:hAnsi="Arial"/>
          <w:sz w:val="16"/>
          <w:szCs w:val="16"/>
          <w:b w:val="1"/>
          <w:bCs w:val="1"/>
          <w:color w:val="auto"/>
        </w:rPr>
        <w:t>largest increases in Company history</w:t>
      </w:r>
    </w:p>
    <w:p>
      <w:pPr>
        <w:spacing w:after="0" w:line="83" w:lineRule="exact"/>
        <w:rPr>
          <w:rFonts w:ascii="MS PGothic" w:cs="MS PGothic" w:eastAsia="MS PGothic" w:hAnsi="MS PGothic"/>
          <w:sz w:val="16"/>
          <w:szCs w:val="16"/>
          <w:color w:val="auto"/>
        </w:rPr>
      </w:pPr>
    </w:p>
    <w:p>
      <w:pPr>
        <w:ind w:left="1040" w:hanging="427"/>
        <w:spacing w:after="0" w:line="280" w:lineRule="auto"/>
        <w:tabs>
          <w:tab w:leader="none" w:pos="104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 xml:space="preserve">Maintained our investment grade credit rating, exiting the year at </w:t>
      </w:r>
      <w:r>
        <w:rPr>
          <w:rFonts w:ascii="Arial" w:cs="Arial" w:eastAsia="Arial" w:hAnsi="Arial"/>
          <w:sz w:val="16"/>
          <w:szCs w:val="16"/>
          <w:b w:val="1"/>
          <w:bCs w:val="1"/>
          <w:color w:val="auto"/>
        </w:rPr>
        <w:t>2.2x debt-to-EBITDA leverage ratio</w:t>
      </w:r>
      <w:r>
        <w:rPr>
          <w:rFonts w:ascii="Arial" w:cs="Arial" w:eastAsia="Arial" w:hAnsi="Arial"/>
          <w:sz w:val="16"/>
          <w:szCs w:val="16"/>
          <w:color w:val="auto"/>
        </w:rPr>
        <w:t>, within our target ratio of 2.0x – 2.5x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Please see Appendix B for a reconciliation of non-GAAP measures to GAAP measures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1122045</wp:posOffset>
            </wp:positionV>
            <wp:extent cx="406400" cy="24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hanging="433"/>
        <w:spacing w:after="0"/>
        <w:tabs>
          <w:tab w:leader="none" w:pos="620" w:val="left"/>
        </w:tabs>
        <w:numPr>
          <w:ilvl w:val="0"/>
          <w:numId w:val="7"/>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0640"/>
          </w:cols>
          <w:pgMar w:left="320" w:top="455" w:right="9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8479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5625" cy="847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 xml:space="preserve">Our Commitment to our </w:t>
      </w:r>
      <w:r>
        <w:rPr>
          <w:rFonts w:ascii="Arial" w:cs="Arial" w:eastAsia="Arial" w:hAnsi="Arial"/>
          <w:sz w:val="25"/>
          <w:szCs w:val="25"/>
          <w:b w:val="1"/>
          <w:bCs w:val="1"/>
          <w:i w:val="1"/>
          <w:iCs w:val="1"/>
          <w:color w:val="007CBA"/>
        </w:rPr>
        <w:t>Guardian Angel</w:t>
      </w:r>
      <w:r>
        <w:rPr>
          <w:rFonts w:ascii="Arial" w:cs="Arial" w:eastAsia="Arial" w:hAnsi="Arial"/>
          <w:sz w:val="25"/>
          <w:szCs w:val="25"/>
          <w:b w:val="1"/>
          <w:bCs w:val="1"/>
          <w:color w:val="007CBA"/>
        </w:rPr>
        <w:t xml:space="preserve"> Safety Culture</w:t>
      </w:r>
    </w:p>
    <w:p>
      <w:pPr>
        <w:spacing w:after="0" w:line="271" w:lineRule="exact"/>
        <w:rPr>
          <w:sz w:val="20"/>
          <w:szCs w:val="20"/>
          <w:color w:val="auto"/>
        </w:rPr>
      </w:pPr>
    </w:p>
    <w:p>
      <w:pPr>
        <w:ind w:left="1040" w:hanging="427"/>
        <w:spacing w:after="0"/>
        <w:tabs>
          <w:tab w:leader="none" w:pos="10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World-class LTIR for the 3</w:t>
      </w:r>
      <w:r>
        <w:rPr>
          <w:rFonts w:ascii="Arial" w:cs="Arial" w:eastAsia="Arial" w:hAnsi="Arial"/>
          <w:sz w:val="27"/>
          <w:szCs w:val="27"/>
          <w:color w:val="auto"/>
          <w:vertAlign w:val="superscript"/>
        </w:rPr>
        <w:t>rd</w:t>
      </w:r>
      <w:r>
        <w:rPr>
          <w:rFonts w:ascii="Arial" w:cs="Arial" w:eastAsia="Arial" w:hAnsi="Arial"/>
          <w:sz w:val="16"/>
          <w:szCs w:val="16"/>
          <w:color w:val="auto"/>
        </w:rPr>
        <w:t xml:space="preserve"> consecutive year</w:t>
      </w:r>
    </w:p>
    <w:p>
      <w:pPr>
        <w:spacing w:after="0" w:line="14" w:lineRule="exact"/>
        <w:rPr>
          <w:rFonts w:ascii="MS PGothic" w:cs="MS PGothic" w:eastAsia="MS PGothic" w:hAnsi="MS PGothic"/>
          <w:sz w:val="16"/>
          <w:szCs w:val="16"/>
          <w:color w:val="auto"/>
        </w:rPr>
      </w:pPr>
    </w:p>
    <w:p>
      <w:pPr>
        <w:ind w:left="1040" w:hanging="427"/>
        <w:spacing w:after="0"/>
        <w:tabs>
          <w:tab w:leader="none" w:pos="10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Safety performance sets the foundation for long-term financial strength and successful strategic plan (SOAR)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40" w:hanging="427"/>
        <w:spacing w:after="0"/>
        <w:tabs>
          <w:tab w:leader="none" w:pos="1040"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We outperformed our peers in 2019, and also outperformed the S&amp;P 500 and S&amp;P 500 Materials on TSR</w:t>
      </w:r>
    </w:p>
    <w:p>
      <w:pPr>
        <w:spacing w:after="0" w:line="135" w:lineRule="exact"/>
        <w:rPr>
          <w:rFonts w:ascii="MS PGothic" w:cs="MS PGothic" w:eastAsia="MS PGothic" w:hAnsi="MS PGothic"/>
          <w:sz w:val="16"/>
          <w:szCs w:val="16"/>
          <w:color w:val="auto"/>
        </w:rPr>
      </w:pPr>
    </w:p>
    <w:p>
      <w:pPr>
        <w:ind w:left="1040" w:right="420" w:hanging="427"/>
        <w:spacing w:after="0" w:line="254" w:lineRule="auto"/>
        <w:tabs>
          <w:tab w:leader="none" w:pos="1040"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Our short- and long-term performance, reflected in our TSR over the 1-, 5- and 10-year periods ended December 31, 2019, show the strength of our strategic plan.</w:t>
      </w:r>
    </w:p>
    <w:p>
      <w:pPr>
        <w:spacing w:after="0" w:line="83" w:lineRule="exact"/>
        <w:rPr>
          <w:rFonts w:ascii="MS PGothic" w:cs="MS PGothic" w:eastAsia="MS PGothic" w:hAnsi="MS PGothic"/>
          <w:sz w:val="16"/>
          <w:szCs w:val="16"/>
          <w:color w:val="auto"/>
        </w:rPr>
      </w:pPr>
    </w:p>
    <w:p>
      <w:pPr>
        <w:ind w:left="1040" w:hanging="427"/>
        <w:spacing w:after="0"/>
        <w:tabs>
          <w:tab w:leader="none" w:pos="1040"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 xml:space="preserve">Our shareholders received a </w:t>
      </w:r>
      <w:r>
        <w:rPr>
          <w:rFonts w:ascii="Arial" w:cs="Arial" w:eastAsia="Arial" w:hAnsi="Arial"/>
          <w:sz w:val="16"/>
          <w:szCs w:val="16"/>
          <w:b w:val="1"/>
          <w:bCs w:val="1"/>
          <w:color w:val="auto"/>
        </w:rPr>
        <w:t>total return of 64% over the 1-year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5335905</wp:posOffset>
            </wp:positionV>
            <wp:extent cx="406400" cy="24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70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3</w:t>
            </w:r>
          </w:p>
        </w:tc>
      </w:tr>
    </w:tbl>
    <w:p>
      <w:pPr>
        <w:sectPr>
          <w:pgSz w:w="11900" w:h="16838" w:orient="portrait"/>
          <w:cols w:equalWidth="0" w:num="1">
            <w:col w:w="11060"/>
          </w:cols>
          <w:pgMar w:left="320" w:top="455"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8310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5625" cy="831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Corporate Governance Highlights:</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Creating Sustainable Long-Term Shareholder Value</w:t>
      </w: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Recent Updates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b w:val="1"/>
          <w:bCs w:val="1"/>
          <w:color w:val="000000"/>
        </w:rPr>
        <w:t>Directors elected annually</w:t>
      </w:r>
      <w:r>
        <w:rPr>
          <w:rFonts w:ascii="Arial" w:cs="Arial" w:eastAsia="Arial" w:hAnsi="Arial"/>
          <w:sz w:val="16"/>
          <w:szCs w:val="16"/>
          <w:color w:val="007CBA"/>
        </w:rPr>
        <w:t xml:space="preserve"> </w:t>
      </w:r>
      <w:r>
        <w:rPr>
          <w:rFonts w:ascii="Arial" w:cs="Arial" w:eastAsia="Arial" w:hAnsi="Arial"/>
          <w:sz w:val="16"/>
          <w:szCs w:val="16"/>
          <w:color w:val="000000"/>
        </w:rPr>
        <w:t>to serve one-year terms</w:t>
      </w:r>
    </w:p>
    <w:p>
      <w:pPr>
        <w:spacing w:after="0" w:line="149" w:lineRule="exact"/>
        <w:rPr>
          <w:sz w:val="20"/>
          <w:szCs w:val="20"/>
          <w:color w:val="auto"/>
        </w:rPr>
      </w:pPr>
    </w:p>
    <w:p>
      <w:pPr>
        <w:ind w:left="740" w:right="20" w:hanging="163"/>
        <w:spacing w:after="0" w:line="280" w:lineRule="auto"/>
        <w:tabs>
          <w:tab w:leader="none" w:pos="760" w:val="left"/>
        </w:tabs>
        <w:numPr>
          <w:ilvl w:val="0"/>
          <w:numId w:val="10"/>
        </w:numPr>
        <w:rPr>
          <w:rFonts w:ascii="Arial" w:cs="Arial" w:eastAsia="Arial" w:hAnsi="Arial"/>
          <w:sz w:val="16"/>
          <w:szCs w:val="16"/>
          <w:color w:val="007CBA"/>
        </w:rPr>
      </w:pPr>
      <w:r>
        <w:rPr>
          <w:rFonts w:ascii="Arial" w:cs="Arial" w:eastAsia="Arial" w:hAnsi="Arial"/>
          <w:sz w:val="16"/>
          <w:szCs w:val="16"/>
          <w:b w:val="1"/>
          <w:bCs w:val="1"/>
          <w:color w:val="auto"/>
        </w:rPr>
        <w:t>Elimination of excise tax gross-up, walk-right and value of perquisites in the severance calculation in Employment Protection Agreements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Elimination of single-trigger vesting in equity award agreements for grants beginning in 2019</w:t>
      </w:r>
    </w:p>
    <w:p>
      <w:pPr>
        <w:spacing w:after="0" w:line="149" w:lineRule="exact"/>
        <w:rPr>
          <w:sz w:val="20"/>
          <w:szCs w:val="20"/>
          <w:color w:val="auto"/>
        </w:rPr>
      </w:pPr>
    </w:p>
    <w:p>
      <w:pPr>
        <w:ind w:left="740" w:hanging="163"/>
        <w:spacing w:after="0"/>
        <w:tabs>
          <w:tab w:leader="none" w:pos="74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color w:val="auto"/>
        </w:rPr>
        <w:t>Stock Ownership Guidelines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Adoption of</w:t>
      </w:r>
      <w:r>
        <w:rPr>
          <w:rFonts w:ascii="Arial" w:cs="Arial" w:eastAsia="Arial" w:hAnsi="Arial"/>
          <w:sz w:val="16"/>
          <w:szCs w:val="16"/>
          <w:color w:val="007CBA"/>
        </w:rPr>
        <w:t xml:space="preserve"> </w:t>
      </w:r>
      <w:r>
        <w:rPr>
          <w:rFonts w:ascii="Arial" w:cs="Arial" w:eastAsia="Arial" w:hAnsi="Arial"/>
          <w:sz w:val="16"/>
          <w:szCs w:val="16"/>
          <w:b w:val="1"/>
          <w:bCs w:val="1"/>
          <w:color w:val="000000"/>
        </w:rPr>
        <w:t>Hedging and Pledging Policy</w:t>
      </w:r>
    </w:p>
    <w:p>
      <w:pPr>
        <w:spacing w:after="0" w:line="149" w:lineRule="exact"/>
        <w:rPr>
          <w:sz w:val="20"/>
          <w:szCs w:val="20"/>
          <w:color w:val="auto"/>
        </w:rPr>
      </w:pPr>
    </w:p>
    <w:p>
      <w:pPr>
        <w:ind w:left="740" w:hanging="163"/>
        <w:spacing w:after="0"/>
        <w:tabs>
          <w:tab w:leader="none" w:pos="740" w:val="left"/>
        </w:tabs>
        <w:numPr>
          <w:ilvl w:val="0"/>
          <w:numId w:val="12"/>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color w:val="auto"/>
        </w:rPr>
        <w:t>Clawback Policy</w:t>
      </w:r>
    </w:p>
    <w:p>
      <w:pPr>
        <w:spacing w:after="0" w:line="169" w:lineRule="exact"/>
        <w:rPr>
          <w:rFonts w:ascii="Arial" w:cs="Arial" w:eastAsia="Arial" w:hAnsi="Arial"/>
          <w:sz w:val="16"/>
          <w:szCs w:val="16"/>
          <w:color w:val="007CBA"/>
        </w:rPr>
      </w:pPr>
    </w:p>
    <w:p>
      <w:pPr>
        <w:ind w:left="740" w:hanging="163"/>
        <w:spacing w:after="0" w:line="254" w:lineRule="auto"/>
        <w:tabs>
          <w:tab w:leader="none" w:pos="757" w:val="left"/>
        </w:tabs>
        <w:numPr>
          <w:ilvl w:val="0"/>
          <w:numId w:val="12"/>
        </w:numPr>
        <w:rPr>
          <w:rFonts w:ascii="Arial" w:cs="Arial" w:eastAsia="Arial" w:hAnsi="Arial"/>
          <w:sz w:val="16"/>
          <w:szCs w:val="16"/>
          <w:color w:val="007CBA"/>
        </w:rPr>
      </w:pPr>
      <w:r>
        <w:rPr>
          <w:rFonts w:ascii="Arial" w:cs="Arial" w:eastAsia="Arial" w:hAnsi="Arial"/>
          <w:sz w:val="16"/>
          <w:szCs w:val="16"/>
          <w:color w:val="auto"/>
        </w:rPr>
        <w:t xml:space="preserve">Our shareholders have the ability to nominate director candidates and have those nominees included in our proxy statement, subject to meeting the requirements in our Bylaws, a shareholder right known as </w:t>
      </w:r>
      <w:r>
        <w:rPr>
          <w:rFonts w:ascii="Arial" w:cs="Arial" w:eastAsia="Arial" w:hAnsi="Arial"/>
          <w:sz w:val="16"/>
          <w:szCs w:val="16"/>
          <w:b w:val="1"/>
          <w:bCs w:val="1"/>
          <w:color w:val="auto"/>
        </w:rPr>
        <w:t>proxy access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Board of Directors</w:t>
      </w:r>
    </w:p>
    <w:p>
      <w:pPr>
        <w:spacing w:after="0" w:line="164" w:lineRule="exact"/>
        <w:rPr>
          <w:sz w:val="20"/>
          <w:szCs w:val="20"/>
          <w:color w:val="auto"/>
        </w:rPr>
      </w:pPr>
    </w:p>
    <w:p>
      <w:pPr>
        <w:ind w:left="740" w:hanging="163"/>
        <w:spacing w:after="0"/>
        <w:tabs>
          <w:tab w:leader="none" w:pos="740" w:val="left"/>
        </w:tabs>
        <w:numPr>
          <w:ilvl w:val="0"/>
          <w:numId w:val="13"/>
        </w:numPr>
        <w:rPr>
          <w:rFonts w:ascii="Arial" w:cs="Arial" w:eastAsia="Arial" w:hAnsi="Arial"/>
          <w:sz w:val="16"/>
          <w:szCs w:val="16"/>
          <w:color w:val="007CBA"/>
        </w:rPr>
      </w:pPr>
      <w:r>
        <w:rPr>
          <w:rFonts w:ascii="Arial" w:cs="Arial" w:eastAsia="Arial" w:hAnsi="Arial"/>
          <w:sz w:val="16"/>
          <w:szCs w:val="16"/>
          <w:color w:val="auto"/>
        </w:rPr>
        <w:t>Lead Independent Director who is a former public company CEO</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10 current Directors; 9 or 90% are independent</w:t>
      </w:r>
    </w:p>
    <w:p>
      <w:pPr>
        <w:spacing w:after="0" w:line="169" w:lineRule="exact"/>
        <w:rPr>
          <w:sz w:val="20"/>
          <w:szCs w:val="20"/>
          <w:color w:val="auto"/>
        </w:rPr>
      </w:pPr>
    </w:p>
    <w:p>
      <w:pPr>
        <w:ind w:left="740" w:hanging="163"/>
        <w:spacing w:after="0" w:line="280" w:lineRule="auto"/>
        <w:tabs>
          <w:tab w:leader="none" w:pos="764" w:val="left"/>
        </w:tabs>
        <w:numPr>
          <w:ilvl w:val="0"/>
          <w:numId w:val="14"/>
        </w:numPr>
        <w:rPr>
          <w:rFonts w:ascii="Arial" w:cs="Arial" w:eastAsia="Arial" w:hAnsi="Arial"/>
          <w:sz w:val="16"/>
          <w:szCs w:val="16"/>
          <w:b w:val="1"/>
          <w:bCs w:val="1"/>
          <w:color w:val="007CBA"/>
        </w:rPr>
      </w:pPr>
      <w:r>
        <w:rPr>
          <w:rFonts w:ascii="Arial" w:cs="Arial" w:eastAsia="Arial" w:hAnsi="Arial"/>
          <w:sz w:val="16"/>
          <w:szCs w:val="16"/>
          <w:b w:val="1"/>
          <w:bCs w:val="1"/>
          <w:color w:val="auto"/>
        </w:rPr>
        <w:t>Key committee Chairs are independent, consisting of independent Chairs of the Audit Committee, Management Development and Compensation Committee, and Nominating and Corporate Governance Committee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Executive sessions of non-management Directors at each regularly-scheduled meeting</w:t>
      </w:r>
    </w:p>
    <w:p>
      <w:pPr>
        <w:spacing w:after="0" w:line="189" w:lineRule="exact"/>
        <w:rPr>
          <w:sz w:val="20"/>
          <w:szCs w:val="20"/>
          <w:color w:val="auto"/>
        </w:rPr>
      </w:pPr>
    </w:p>
    <w:p>
      <w:pPr>
        <w:ind w:left="740" w:hanging="163"/>
        <w:spacing w:after="0"/>
        <w:tabs>
          <w:tab w:leader="none" w:pos="740"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All Directors attended 100% of all Board and committee meetings during their term of service in 2019</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90% of our Board has experience on other public company boards and 60% are current or former public company CEOs</w:t>
      </w:r>
    </w:p>
    <w:p>
      <w:pPr>
        <w:spacing w:after="0" w:line="173" w:lineRule="exact"/>
        <w:rPr>
          <w:sz w:val="20"/>
          <w:szCs w:val="20"/>
          <w:color w:val="auto"/>
        </w:rPr>
      </w:pPr>
    </w:p>
    <w:p>
      <w:pPr>
        <w:ind w:left="740" w:hanging="163"/>
        <w:spacing w:after="0"/>
        <w:tabs>
          <w:tab w:leader="none" w:pos="740" w:val="left"/>
        </w:tabs>
        <w:numPr>
          <w:ilvl w:val="0"/>
          <w:numId w:val="16"/>
        </w:numPr>
        <w:rPr>
          <w:rFonts w:ascii="Arial" w:cs="Arial" w:eastAsia="Arial" w:hAnsi="Arial"/>
          <w:sz w:val="16"/>
          <w:szCs w:val="16"/>
          <w:color w:val="007CBA"/>
        </w:rPr>
      </w:pPr>
      <w:r>
        <w:rPr>
          <w:rFonts w:ascii="Arial" w:cs="Arial" w:eastAsia="Arial" w:hAnsi="Arial"/>
          <w:sz w:val="16"/>
          <w:szCs w:val="16"/>
          <w:i w:val="1"/>
          <w:iCs w:val="1"/>
          <w:color w:val="auto"/>
        </w:rPr>
        <w:t xml:space="preserve">Code of Ethical Business Conduct </w:t>
      </w:r>
      <w:r>
        <w:rPr>
          <w:rFonts w:ascii="Arial" w:cs="Arial" w:eastAsia="Arial" w:hAnsi="Arial"/>
          <w:sz w:val="16"/>
          <w:szCs w:val="16"/>
          <w:color w:val="auto"/>
        </w:rPr>
        <w:t>and ethics program reports to a Board Committee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Annual Board and individual performance evaluations are conducted, including Director peer review</w:t>
      </w:r>
    </w:p>
    <w:p>
      <w:pPr>
        <w:spacing w:after="0" w:line="209" w:lineRule="exact"/>
        <w:rPr>
          <w:sz w:val="20"/>
          <w:szCs w:val="20"/>
          <w:color w:val="auto"/>
        </w:rPr>
      </w:pPr>
    </w:p>
    <w:p>
      <w:pPr>
        <w:ind w:left="740" w:hanging="163"/>
        <w:spacing w:after="0"/>
        <w:tabs>
          <w:tab w:leader="none" w:pos="740" w:val="left"/>
        </w:tabs>
        <w:numPr>
          <w:ilvl w:val="0"/>
          <w:numId w:val="17"/>
        </w:numPr>
        <w:rPr>
          <w:rFonts w:ascii="Arial" w:cs="Arial" w:eastAsia="Arial" w:hAnsi="Arial"/>
          <w:sz w:val="16"/>
          <w:szCs w:val="16"/>
          <w:color w:val="007CBA"/>
        </w:rPr>
      </w:pPr>
      <w:r>
        <w:rPr>
          <w:rFonts w:ascii="Arial" w:cs="Arial" w:eastAsia="Arial" w:hAnsi="Arial"/>
          <w:sz w:val="16"/>
          <w:szCs w:val="16"/>
          <w:color w:val="auto"/>
        </w:rPr>
        <w:t>Risk oversight by full Board and Committees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Chair/CEO is the only Board member who is currently also management</w:t>
      </w:r>
    </w:p>
    <w:p>
      <w:pPr>
        <w:spacing w:after="0" w:line="189" w:lineRule="exact"/>
        <w:rPr>
          <w:sz w:val="20"/>
          <w:szCs w:val="20"/>
          <w:color w:val="auto"/>
        </w:rPr>
      </w:pPr>
    </w:p>
    <w:p>
      <w:pPr>
        <w:ind w:left="740" w:right="20" w:hanging="163"/>
        <w:spacing w:after="0" w:line="280" w:lineRule="auto"/>
        <w:tabs>
          <w:tab w:leader="none" w:pos="772" w:val="left"/>
        </w:tabs>
        <w:numPr>
          <w:ilvl w:val="0"/>
          <w:numId w:val="18"/>
        </w:numPr>
        <w:rPr>
          <w:rFonts w:ascii="Arial" w:cs="Arial" w:eastAsia="Arial" w:hAnsi="Arial"/>
          <w:sz w:val="16"/>
          <w:szCs w:val="16"/>
          <w:b w:val="1"/>
          <w:bCs w:val="1"/>
          <w:color w:val="007CBA"/>
        </w:rPr>
      </w:pPr>
      <w:r>
        <w:rPr>
          <w:rFonts w:ascii="Arial" w:cs="Arial" w:eastAsia="Arial" w:hAnsi="Arial"/>
          <w:sz w:val="16"/>
          <w:szCs w:val="16"/>
          <w:b w:val="1"/>
          <w:bCs w:val="1"/>
          <w:color w:val="auto"/>
        </w:rPr>
        <w:t>Only one member of our 10-member Board of Directors standing for reelection is currently or formerly management of the Company</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Shareholder Interest</w:t>
      </w:r>
    </w:p>
    <w:p>
      <w:pPr>
        <w:spacing w:after="0" w:line="164" w:lineRule="exact"/>
        <w:rPr>
          <w:sz w:val="20"/>
          <w:szCs w:val="20"/>
          <w:color w:val="auto"/>
        </w:rPr>
      </w:pPr>
    </w:p>
    <w:p>
      <w:pPr>
        <w:ind w:left="740" w:hanging="163"/>
        <w:spacing w:after="0"/>
        <w:tabs>
          <w:tab w:leader="none" w:pos="740"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Majority voting standard for uncontested Director elections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No shareholder rights plan</w:t>
      </w:r>
    </w:p>
    <w:p>
      <w:pPr>
        <w:spacing w:after="0" w:line="189" w:lineRule="exact"/>
        <w:rPr>
          <w:sz w:val="20"/>
          <w:szCs w:val="20"/>
          <w:color w:val="auto"/>
        </w:rPr>
      </w:pPr>
    </w:p>
    <w:p>
      <w:pPr>
        <w:ind w:left="740" w:hanging="163"/>
        <w:spacing w:after="0"/>
        <w:tabs>
          <w:tab w:leader="none" w:pos="740"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Annual advisory vote to ratify independent auditor</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Annual advisory vote to approve executive compensation</w:t>
      </w:r>
    </w:p>
    <w:p>
      <w:pPr>
        <w:spacing w:after="0" w:line="189" w:lineRule="exact"/>
        <w:rPr>
          <w:sz w:val="20"/>
          <w:szCs w:val="20"/>
          <w:color w:val="auto"/>
        </w:rPr>
      </w:pPr>
    </w:p>
    <w:p>
      <w:pPr>
        <w:ind w:left="740" w:hanging="163"/>
        <w:spacing w:after="0"/>
        <w:tabs>
          <w:tab w:leader="none" w:pos="740"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Longstanding active shareholder engagement</w:t>
      </w:r>
    </w:p>
    <w:p>
      <w:pPr>
        <w:spacing w:after="0" w:line="169" w:lineRule="exact"/>
        <w:rPr>
          <w:rFonts w:ascii="Arial" w:cs="Arial" w:eastAsia="Arial" w:hAnsi="Arial"/>
          <w:sz w:val="16"/>
          <w:szCs w:val="16"/>
          <w:color w:val="007CBA"/>
        </w:rPr>
      </w:pPr>
    </w:p>
    <w:p>
      <w:pPr>
        <w:ind w:left="740" w:hanging="163"/>
        <w:spacing w:after="0" w:line="256" w:lineRule="auto"/>
        <w:tabs>
          <w:tab w:leader="none" w:pos="744" w:val="left"/>
        </w:tabs>
        <w:numPr>
          <w:ilvl w:val="0"/>
          <w:numId w:val="21"/>
        </w:numPr>
        <w:rPr>
          <w:rFonts w:ascii="Arial" w:cs="Arial" w:eastAsia="Arial" w:hAnsi="Arial"/>
          <w:sz w:val="16"/>
          <w:szCs w:val="16"/>
          <w:color w:val="007CBA"/>
        </w:rPr>
      </w:pPr>
      <w:r>
        <w:rPr>
          <w:rFonts w:ascii="Arial" w:cs="Arial" w:eastAsia="Arial" w:hAnsi="Arial"/>
          <w:sz w:val="16"/>
          <w:szCs w:val="16"/>
          <w:b w:val="1"/>
          <w:bCs w:val="1"/>
          <w:color w:val="auto"/>
        </w:rPr>
        <w:t xml:space="preserve">We publish annually a Sustainability Report </w:t>
      </w:r>
      <w:r>
        <w:rPr>
          <w:rFonts w:ascii="Arial" w:cs="Arial" w:eastAsia="Arial" w:hAnsi="Arial"/>
          <w:sz w:val="16"/>
          <w:szCs w:val="16"/>
          <w:color w:val="auto"/>
        </w:rPr>
        <w:t>that discusses our commitment to our shareholders, employees and the communities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we serve.</w:t>
      </w:r>
    </w:p>
    <w:p>
      <w:pPr>
        <w:ind w:left="1120" w:hanging="127"/>
        <w:spacing w:after="0"/>
        <w:tabs>
          <w:tab w:leader="none" w:pos="1120" w:val="left"/>
        </w:tabs>
        <w:numPr>
          <w:ilvl w:val="1"/>
          <w:numId w:val="21"/>
        </w:numPr>
        <w:rPr>
          <w:rFonts w:ascii="Arial" w:cs="Arial" w:eastAsia="Arial" w:hAnsi="Arial"/>
          <w:sz w:val="16"/>
          <w:szCs w:val="16"/>
          <w:color w:val="007CBA"/>
        </w:rPr>
      </w:pPr>
      <w:r>
        <w:rPr>
          <w:rFonts w:ascii="Arial" w:cs="Arial" w:eastAsia="Arial" w:hAnsi="Arial"/>
          <w:sz w:val="16"/>
          <w:szCs w:val="16"/>
          <w:color w:val="auto"/>
        </w:rPr>
        <w:t>We also created a new position to better focus on these important issues</w:t>
      </w:r>
    </w:p>
    <w:p>
      <w:pPr>
        <w:spacing w:after="0" w:line="2" w:lineRule="exact"/>
        <w:rPr>
          <w:rFonts w:ascii="Arial" w:cs="Arial" w:eastAsia="Arial" w:hAnsi="Arial"/>
          <w:sz w:val="16"/>
          <w:szCs w:val="16"/>
          <w:color w:val="007CBA"/>
        </w:rPr>
      </w:pPr>
    </w:p>
    <w:p>
      <w:pPr>
        <w:ind w:left="1120" w:hanging="127"/>
        <w:spacing w:after="0"/>
        <w:tabs>
          <w:tab w:leader="none" w:pos="1120" w:val="left"/>
        </w:tabs>
        <w:numPr>
          <w:ilvl w:val="1"/>
          <w:numId w:val="21"/>
        </w:numPr>
        <w:rPr>
          <w:rFonts w:ascii="Arial" w:cs="Arial" w:eastAsia="Arial" w:hAnsi="Arial"/>
          <w:sz w:val="16"/>
          <w:szCs w:val="16"/>
          <w:color w:val="007CBA"/>
        </w:rPr>
      </w:pPr>
      <w:r>
        <w:rPr>
          <w:rFonts w:ascii="Arial" w:cs="Arial" w:eastAsia="Arial" w:hAnsi="Arial"/>
          <w:sz w:val="16"/>
          <w:szCs w:val="16"/>
          <w:color w:val="auto"/>
        </w:rPr>
        <w:t>Our Board committees review the Company’s accomplishments with regard to sustainability</w:t>
      </w:r>
    </w:p>
    <w:p>
      <w:pPr>
        <w:spacing w:after="0" w:line="189" w:lineRule="exact"/>
        <w:rPr>
          <w:rFonts w:ascii="Arial" w:cs="Arial" w:eastAsia="Arial" w:hAnsi="Arial"/>
          <w:sz w:val="16"/>
          <w:szCs w:val="16"/>
          <w:color w:val="007CBA"/>
        </w:rPr>
      </w:pPr>
    </w:p>
    <w:p>
      <w:pPr>
        <w:ind w:left="700" w:hanging="123"/>
        <w:spacing w:after="0"/>
        <w:tabs>
          <w:tab w:leader="none" w:pos="700"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No shares with enhanced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330200</wp:posOffset>
            </wp:positionV>
            <wp:extent cx="406400" cy="24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20" w:hanging="433"/>
        <w:spacing w:after="0"/>
        <w:tabs>
          <w:tab w:leader="none" w:pos="620"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0540"/>
          </w:cols>
          <w:pgMar w:left="320" w:top="455"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8589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5625" cy="85896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Board Composition</w:t>
      </w:r>
    </w:p>
    <w:p>
      <w:pPr>
        <w:spacing w:after="0" w:line="191" w:lineRule="exact"/>
        <w:rPr>
          <w:sz w:val="20"/>
          <w:szCs w:val="20"/>
          <w:color w:val="auto"/>
        </w:rPr>
      </w:pPr>
    </w:p>
    <w:p>
      <w:pPr>
        <w:jc w:val="both"/>
        <w:ind w:left="520" w:right="520"/>
        <w:spacing w:after="0" w:line="247" w:lineRule="auto"/>
        <w:rPr>
          <w:sz w:val="20"/>
          <w:szCs w:val="20"/>
          <w:color w:val="auto"/>
        </w:rPr>
      </w:pPr>
      <w:r>
        <w:rPr>
          <w:rFonts w:ascii="Arial" w:cs="Arial" w:eastAsia="Arial" w:hAnsi="Arial"/>
          <w:sz w:val="16"/>
          <w:szCs w:val="16"/>
          <w:color w:val="auto"/>
        </w:rPr>
        <w:t xml:space="preserve">We seek to include a diverse group of Directors on our Board to provide different perspectives to the Board’s oversight responsibilities. Our Board nominees demonstrate diversity in the form of experience, geography, gender, ethnicity, age and tenure. We were recognized in 2019, 2017 and 2015 at the </w:t>
      </w:r>
      <w:r>
        <w:rPr>
          <w:rFonts w:ascii="Arial" w:cs="Arial" w:eastAsia="Arial" w:hAnsi="Arial"/>
          <w:sz w:val="16"/>
          <w:szCs w:val="16"/>
          <w:b w:val="1"/>
          <w:bCs w:val="1"/>
          <w:i w:val="1"/>
          <w:iCs w:val="1"/>
          <w:color w:val="auto"/>
        </w:rPr>
        <w:t>Women’s Forum of New York</w:t>
      </w:r>
      <w:r>
        <w:rPr>
          <w:rFonts w:ascii="Arial" w:cs="Arial" w:eastAsia="Arial" w:hAnsi="Arial"/>
          <w:sz w:val="16"/>
          <w:szCs w:val="16"/>
          <w:color w:val="auto"/>
        </w:rPr>
        <w:t xml:space="preserve"> at its Biennial Breakfast of Corporate Champions for our Board diversity. We were also recognized by </w:t>
      </w:r>
      <w:r>
        <w:rPr>
          <w:rFonts w:ascii="Arial" w:cs="Arial" w:eastAsia="Arial" w:hAnsi="Arial"/>
          <w:sz w:val="16"/>
          <w:szCs w:val="16"/>
          <w:b w:val="1"/>
          <w:bCs w:val="1"/>
          <w:i w:val="1"/>
          <w:iCs w:val="1"/>
          <w:color w:val="auto"/>
        </w:rPr>
        <w:t>2020 Women on Boards</w:t>
      </w:r>
      <w:r>
        <w:rPr>
          <w:rFonts w:ascii="Arial" w:cs="Arial" w:eastAsia="Arial" w:hAnsi="Arial"/>
          <w:sz w:val="16"/>
          <w:szCs w:val="16"/>
          <w:color w:val="auto"/>
        </w:rPr>
        <w:t xml:space="preserve"> as a Winning ‘W’ Company for </w:t>
      </w:r>
      <w:r>
        <w:rPr>
          <w:rFonts w:ascii="Arial" w:cs="Arial" w:eastAsia="Arial" w:hAnsi="Arial"/>
          <w:sz w:val="16"/>
          <w:szCs w:val="16"/>
          <w:b w:val="1"/>
          <w:bCs w:val="1"/>
          <w:color w:val="auto"/>
        </w:rPr>
        <w:t>eight consecutive years</w:t>
      </w:r>
      <w:r>
        <w:rPr>
          <w:rFonts w:ascii="Arial" w:cs="Arial" w:eastAsia="Arial" w:hAnsi="Arial"/>
          <w:sz w:val="16"/>
          <w:szCs w:val="16"/>
          <w:color w:val="auto"/>
        </w:rPr>
        <w:t xml:space="preserve"> for championing board diversity.</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160"/>
        <w:spacing w:after="0"/>
        <w:rPr>
          <w:sz w:val="20"/>
          <w:szCs w:val="20"/>
          <w:color w:val="auto"/>
        </w:rPr>
      </w:pPr>
      <w:r>
        <w:rPr>
          <w:rFonts w:ascii="Arial" w:cs="Arial" w:eastAsia="Arial" w:hAnsi="Arial"/>
          <w:sz w:val="39"/>
          <w:szCs w:val="39"/>
          <w:b w:val="1"/>
          <w:bCs w:val="1"/>
          <w:color w:val="007CBA"/>
        </w:rPr>
        <w:t>30%</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39"/>
          <w:szCs w:val="39"/>
          <w:b w:val="1"/>
          <w:bCs w:val="1"/>
          <w:color w:val="007CBA"/>
        </w:rPr>
        <w:t>40%</w:t>
      </w:r>
    </w:p>
    <w:p>
      <w:pPr>
        <w:spacing w:after="0" w:line="111" w:lineRule="exact"/>
        <w:rPr>
          <w:sz w:val="20"/>
          <w:szCs w:val="20"/>
          <w:color w:val="auto"/>
        </w:rPr>
      </w:pPr>
    </w:p>
    <w:p>
      <w:pPr>
        <w:ind w:left="1900"/>
        <w:spacing w:after="0"/>
        <w:rPr>
          <w:sz w:val="20"/>
          <w:szCs w:val="20"/>
          <w:color w:val="auto"/>
        </w:rPr>
      </w:pPr>
      <w:r>
        <w:rPr>
          <w:rFonts w:ascii="Arial" w:cs="Arial" w:eastAsia="Arial" w:hAnsi="Arial"/>
          <w:sz w:val="39"/>
          <w:szCs w:val="39"/>
          <w:b w:val="1"/>
          <w:bCs w:val="1"/>
          <w:color w:val="007CBA"/>
        </w:rPr>
        <w:t xml:space="preserve">&lt;7 </w:t>
      </w:r>
      <w:r>
        <w:rPr>
          <w:rFonts w:ascii="Arial" w:cs="Arial" w:eastAsia="Arial" w:hAnsi="Arial"/>
          <w:sz w:val="28"/>
          <w:szCs w:val="28"/>
          <w:b w:val="1"/>
          <w:bCs w:val="1"/>
          <w:color w:val="007CBA"/>
        </w:rPr>
        <w:t>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Women represent 30% of our Board nominees</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40% of our Board nominees bring diversity in gender or ethnicity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average tenure of our Board nominees is less than 7 years</w:t>
      </w:r>
    </w:p>
    <w:p>
      <w:pPr>
        <w:spacing w:after="0" w:line="205" w:lineRule="exact"/>
        <w:rPr>
          <w:sz w:val="20"/>
          <w:szCs w:val="20"/>
          <w:color w:val="auto"/>
        </w:rPr>
      </w:pPr>
    </w:p>
    <w:p>
      <w:pPr>
        <w:sectPr>
          <w:pgSz w:w="11900" w:h="16838" w:orient="portrait"/>
          <w:cols w:equalWidth="0" w:num="2">
            <w:col w:w="3200" w:space="280"/>
            <w:col w:w="7580"/>
          </w:cols>
          <w:pgMar w:left="320" w:top="455" w:right="519" w:bottom="1440" w:gutter="0" w:footer="0" w:header="0"/>
          <w:type w:val="continuous"/>
        </w:sectPr>
      </w:pPr>
    </w:p>
    <w:p>
      <w:pPr>
        <w:spacing w:after="0" w:line="144" w:lineRule="exact"/>
        <w:rPr>
          <w:sz w:val="20"/>
          <w:szCs w:val="20"/>
          <w:color w:val="auto"/>
        </w:rPr>
      </w:pPr>
    </w:p>
    <w:p>
      <w:pPr>
        <w:ind w:left="700" w:right="520"/>
        <w:spacing w:after="0" w:line="254" w:lineRule="auto"/>
        <w:rPr>
          <w:sz w:val="20"/>
          <w:szCs w:val="20"/>
          <w:color w:val="auto"/>
        </w:rPr>
      </w:pPr>
      <w:r>
        <w:rPr>
          <w:rFonts w:ascii="Arial" w:cs="Arial" w:eastAsia="Arial" w:hAnsi="Arial"/>
          <w:sz w:val="16"/>
          <w:szCs w:val="16"/>
          <w:color w:val="auto"/>
        </w:rPr>
        <w:t>Our Board refreshment has resulted in a decrease of the Board’s average tenure, with a greater mix of Directors with long-term knowledge of the Company, its strategy, opportunities and challenges and those with new perspectives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Board Attendance</w:t>
      </w:r>
    </w:p>
    <w:p>
      <w:pPr>
        <w:spacing w:after="0" w:line="284" w:lineRule="exact"/>
        <w:rPr>
          <w:sz w:val="20"/>
          <w:szCs w:val="20"/>
          <w:color w:val="auto"/>
        </w:rPr>
      </w:pPr>
    </w:p>
    <w:p>
      <w:pPr>
        <w:ind w:left="620" w:right="440"/>
        <w:spacing w:after="0" w:line="254" w:lineRule="auto"/>
        <w:rPr>
          <w:sz w:val="20"/>
          <w:szCs w:val="20"/>
          <w:color w:val="auto"/>
        </w:rPr>
      </w:pPr>
      <w:r>
        <w:rPr>
          <w:rFonts w:ascii="Arial" w:cs="Arial" w:eastAsia="Arial" w:hAnsi="Arial"/>
          <w:sz w:val="16"/>
          <w:szCs w:val="16"/>
          <w:color w:val="auto"/>
        </w:rPr>
        <w:t>In 2019, during their terms of service, all directors attended 100% of the total Board and committee meetings to which they were assigned. All directors then in office attended the May 2019 Annual Meeting, and all directors expect to attend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352425</wp:posOffset>
            </wp:positionV>
            <wp:extent cx="406400" cy="245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70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5</w:t>
            </w:r>
          </w:p>
        </w:tc>
      </w:tr>
    </w:tbl>
    <w:p>
      <w:pPr>
        <w:sectPr>
          <w:pgSz w:w="11900" w:h="16838" w:orient="portrait"/>
          <w:cols w:equalWidth="0" w:num="1">
            <w:col w:w="11060"/>
          </w:cols>
          <w:pgMar w:left="320" w:top="455" w:right="5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8251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5625" cy="825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Arial" w:cs="Arial" w:eastAsia="Arial" w:hAnsi="Arial"/>
          <w:sz w:val="23"/>
          <w:szCs w:val="23"/>
          <w:b w:val="1"/>
          <w:bCs w:val="1"/>
          <w:color w:val="007CBA"/>
        </w:rPr>
        <w:t>Effective Shareholder Engagement</w:t>
      </w:r>
    </w:p>
    <w:p>
      <w:pPr>
        <w:spacing w:after="0" w:line="148" w:lineRule="exact"/>
        <w:rPr>
          <w:sz w:val="20"/>
          <w:szCs w:val="20"/>
          <w:color w:val="auto"/>
        </w:rPr>
      </w:pPr>
    </w:p>
    <w:p>
      <w:pPr>
        <w:jc w:val="both"/>
        <w:ind w:left="500" w:right="5180"/>
        <w:spacing w:after="0" w:line="244" w:lineRule="auto"/>
        <w:rPr>
          <w:sz w:val="20"/>
          <w:szCs w:val="20"/>
          <w:color w:val="auto"/>
        </w:rPr>
      </w:pPr>
      <w:r>
        <w:rPr>
          <w:rFonts w:ascii="Arial" w:cs="Arial" w:eastAsia="Arial" w:hAnsi="Arial"/>
          <w:sz w:val="16"/>
          <w:szCs w:val="16"/>
          <w:color w:val="auto"/>
        </w:rPr>
        <w:t>Accountability to our shareholders is an important component of the Company’s success. We recognize the value of building informed relationships with our investors that promote further transparency and accountability. While proxy voting is one direct way to influence corporate behavior, proactive engagement with our investors can be effective and impactful. Investor views are communicated to the Board and are instrumental in the development of our governance, compensation and sustainability policies and inform our business strategy.</w:t>
      </w:r>
    </w:p>
    <w:p>
      <w:pPr>
        <w:spacing w:after="0" w:line="102" w:lineRule="exact"/>
        <w:rPr>
          <w:sz w:val="20"/>
          <w:szCs w:val="20"/>
          <w:color w:val="auto"/>
        </w:rPr>
      </w:pPr>
    </w:p>
    <w:p>
      <w:pPr>
        <w:jc w:val="both"/>
        <w:ind w:left="500" w:right="5180"/>
        <w:spacing w:after="0" w:line="247" w:lineRule="auto"/>
        <w:rPr>
          <w:sz w:val="20"/>
          <w:szCs w:val="20"/>
          <w:color w:val="auto"/>
        </w:rPr>
      </w:pPr>
      <w:r>
        <w:rPr>
          <w:rFonts w:ascii="Arial" w:cs="Arial" w:eastAsia="Arial" w:hAnsi="Arial"/>
          <w:sz w:val="16"/>
          <w:szCs w:val="16"/>
          <w:color w:val="auto"/>
        </w:rPr>
        <w:t>During 2019, we engaged in person, by telephone and/or written correspondence with our largest institutional investors and other significant shareholders on an array of governance topics, including our executive compensation programs.</w:t>
      </w:r>
    </w:p>
    <w:p>
      <w:pPr>
        <w:spacing w:after="0" w:line="96" w:lineRule="exact"/>
        <w:rPr>
          <w:sz w:val="20"/>
          <w:szCs w:val="20"/>
          <w:color w:val="auto"/>
        </w:rPr>
      </w:pPr>
    </w:p>
    <w:p>
      <w:pPr>
        <w:jc w:val="both"/>
        <w:ind w:left="500" w:right="5180"/>
        <w:spacing w:after="0" w:line="246" w:lineRule="auto"/>
        <w:rPr>
          <w:sz w:val="20"/>
          <w:szCs w:val="20"/>
          <w:color w:val="auto"/>
        </w:rPr>
      </w:pPr>
      <w:r>
        <w:rPr>
          <w:rFonts w:ascii="Arial" w:cs="Arial" w:eastAsia="Arial" w:hAnsi="Arial"/>
          <w:sz w:val="16"/>
          <w:szCs w:val="16"/>
          <w:color w:val="auto"/>
        </w:rPr>
        <w:t>At our 2019 Annual Meeting of Shareholders, 92% of the shares cast voted in favor of the advisory vote on executive compensation, or Say On Pay. We made meaningful changes in 2018 to our compensation program based on feedback from shareholders consisting of:</w:t>
      </w:r>
    </w:p>
    <w:p>
      <w:pPr>
        <w:spacing w:after="0" w:line="57" w:lineRule="exact"/>
        <w:rPr>
          <w:sz w:val="20"/>
          <w:szCs w:val="20"/>
          <w:color w:val="auto"/>
        </w:rPr>
      </w:pPr>
    </w:p>
    <w:p>
      <w:pPr>
        <w:ind w:left="780" w:right="5180" w:hanging="274"/>
        <w:spacing w:after="0" w:line="254" w:lineRule="auto"/>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The elimination of the excise tax gross-up in executive officers’ Employment Protection Agreements</w:t>
      </w:r>
    </w:p>
    <w:p>
      <w:pPr>
        <w:spacing w:after="0" w:line="50" w:lineRule="exact"/>
        <w:rPr>
          <w:rFonts w:ascii="Arial" w:cs="Arial" w:eastAsia="Arial" w:hAnsi="Arial"/>
          <w:sz w:val="16"/>
          <w:szCs w:val="16"/>
          <w:color w:val="007CBA"/>
        </w:rPr>
      </w:pPr>
    </w:p>
    <w:p>
      <w:pPr>
        <w:jc w:val="both"/>
        <w:ind w:left="780" w:right="5180" w:hanging="274"/>
        <w:spacing w:after="0" w:line="249" w:lineRule="auto"/>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The elimination of the walk-right and value of perks in the severance calculation in executive officers’ Employment Protection Agreements</w:t>
      </w:r>
    </w:p>
    <w:p>
      <w:pPr>
        <w:spacing w:after="0" w:line="53" w:lineRule="exact"/>
        <w:rPr>
          <w:rFonts w:ascii="Arial" w:cs="Arial" w:eastAsia="Arial" w:hAnsi="Arial"/>
          <w:sz w:val="16"/>
          <w:szCs w:val="16"/>
          <w:color w:val="007CBA"/>
        </w:rPr>
      </w:pPr>
    </w:p>
    <w:p>
      <w:pPr>
        <w:ind w:left="780" w:right="5180" w:hanging="274"/>
        <w:spacing w:after="0" w:line="254" w:lineRule="auto"/>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The decision to not include these provisions in future Employment Protection Agreements</w:t>
      </w:r>
    </w:p>
    <w:p>
      <w:pPr>
        <w:spacing w:after="0" w:line="50" w:lineRule="exact"/>
        <w:rPr>
          <w:rFonts w:ascii="Arial" w:cs="Arial" w:eastAsia="Arial" w:hAnsi="Arial"/>
          <w:sz w:val="16"/>
          <w:szCs w:val="16"/>
          <w:color w:val="007CBA"/>
        </w:rPr>
      </w:pPr>
    </w:p>
    <w:p>
      <w:pPr>
        <w:ind w:left="780" w:right="5180" w:hanging="274"/>
        <w:spacing w:after="0" w:line="254" w:lineRule="auto"/>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The elimination of the single-trigger vesting for equity awards beginning in 2019</w:t>
      </w:r>
    </w:p>
    <w:p>
      <w:pPr>
        <w:spacing w:after="0" w:line="398" w:lineRule="exact"/>
        <w:rPr>
          <w:sz w:val="20"/>
          <w:szCs w:val="20"/>
          <w:color w:val="auto"/>
        </w:rPr>
      </w:pPr>
    </w:p>
    <w:p>
      <w:pPr>
        <w:ind w:left="620"/>
        <w:spacing w:after="0"/>
        <w:rPr>
          <w:sz w:val="20"/>
          <w:szCs w:val="20"/>
          <w:color w:val="auto"/>
        </w:rPr>
      </w:pPr>
      <w:r>
        <w:rPr>
          <w:rFonts w:ascii="Arial" w:cs="Arial" w:eastAsia="Arial" w:hAnsi="Arial"/>
          <w:sz w:val="23"/>
          <w:szCs w:val="23"/>
          <w:b w:val="1"/>
          <w:bCs w:val="1"/>
          <w:color w:val="007CBA"/>
        </w:rPr>
        <w:t>Proactively Engaging and Responding to Shareholders</w:t>
      </w:r>
    </w:p>
    <w:p>
      <w:pPr>
        <w:spacing w:after="0" w:line="200" w:lineRule="exact"/>
        <w:rPr>
          <w:sz w:val="20"/>
          <w:szCs w:val="20"/>
          <w:color w:val="auto"/>
        </w:rPr>
      </w:pPr>
    </w:p>
    <w:p>
      <w:pPr>
        <w:spacing w:after="0" w:line="21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007CBA"/>
        </w:rPr>
        <w:t>CORPORATE GOVERNANCE HIGHLIGHTS</w:t>
      </w:r>
    </w:p>
    <w:p>
      <w:pPr>
        <w:spacing w:after="0" w:line="96" w:lineRule="exact"/>
        <w:rPr>
          <w:sz w:val="20"/>
          <w:szCs w:val="20"/>
          <w:color w:val="auto"/>
        </w:rPr>
      </w:pPr>
    </w:p>
    <w:p>
      <w:pPr>
        <w:ind w:left="58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Directors </w:t>
      </w:r>
      <w:r>
        <w:rPr>
          <w:rFonts w:ascii="Arial" w:cs="Arial" w:eastAsia="Arial" w:hAnsi="Arial"/>
          <w:sz w:val="16"/>
          <w:szCs w:val="16"/>
          <w:b w:val="1"/>
          <w:bCs w:val="1"/>
          <w:color w:val="007CBA"/>
        </w:rPr>
        <w:t>elected for 1-year terms</w:t>
      </w:r>
    </w:p>
    <w:p>
      <w:pPr>
        <w:spacing w:after="0" w:line="136" w:lineRule="exact"/>
        <w:rPr>
          <w:sz w:val="20"/>
          <w:szCs w:val="20"/>
          <w:color w:val="auto"/>
        </w:rPr>
      </w:pPr>
    </w:p>
    <w:p>
      <w:pPr>
        <w:ind w:left="5820"/>
        <w:spacing w:after="0" w:line="184" w:lineRule="exact"/>
        <w:rPr>
          <w:sz w:val="20"/>
          <w:szCs w:val="20"/>
          <w:color w:val="auto"/>
        </w:rPr>
      </w:pPr>
      <w:r>
        <w:rPr>
          <w:rFonts w:ascii="MS PGothic" w:cs="MS PGothic" w:eastAsia="MS PGothic" w:hAnsi="MS PGothic"/>
          <w:sz w:val="16"/>
          <w:szCs w:val="16"/>
          <w:color w:val="000000"/>
        </w:rPr>
        <w:t>✓</w:t>
      </w:r>
      <w:r>
        <w:rPr>
          <w:rFonts w:ascii="Arial" w:cs="Arial" w:eastAsia="Arial" w:hAnsi="Arial"/>
          <w:sz w:val="16"/>
          <w:szCs w:val="16"/>
          <w:b w:val="1"/>
          <w:bCs w:val="1"/>
          <w:color w:val="007CBA"/>
        </w:rPr>
        <w:t xml:space="preserve"> Eliminated gross-up, walk-right on Change of Control</w:t>
      </w:r>
    </w:p>
    <w:p>
      <w:pPr>
        <w:spacing w:after="0" w:line="136" w:lineRule="exact"/>
        <w:rPr>
          <w:sz w:val="20"/>
          <w:szCs w:val="20"/>
          <w:color w:val="auto"/>
        </w:rPr>
      </w:pPr>
    </w:p>
    <w:p>
      <w:pPr>
        <w:ind w:left="6060" w:right="80" w:hanging="239"/>
        <w:spacing w:after="0" w:line="217" w:lineRule="exact"/>
        <w:rPr>
          <w:sz w:val="20"/>
          <w:szCs w:val="20"/>
          <w:color w:val="auto"/>
        </w:rPr>
      </w:pPr>
      <w:r>
        <w:rPr>
          <w:rFonts w:ascii="MS PGothic" w:cs="MS PGothic" w:eastAsia="MS PGothic" w:hAnsi="MS PGothic"/>
          <w:sz w:val="16"/>
          <w:szCs w:val="16"/>
          <w:color w:val="000000"/>
        </w:rPr>
        <w:t>✓</w:t>
      </w:r>
      <w:r>
        <w:rPr>
          <w:rFonts w:ascii="Arial" w:cs="Arial" w:eastAsia="Arial" w:hAnsi="Arial"/>
          <w:sz w:val="16"/>
          <w:szCs w:val="16"/>
          <w:b w:val="1"/>
          <w:bCs w:val="1"/>
          <w:color w:val="007CBA"/>
        </w:rPr>
        <w:t xml:space="preserve"> Eliminated single-trigger vesting </w:t>
      </w:r>
      <w:r>
        <w:rPr>
          <w:rFonts w:ascii="Arial" w:cs="Arial" w:eastAsia="Arial" w:hAnsi="Arial"/>
          <w:sz w:val="16"/>
          <w:szCs w:val="16"/>
          <w:color w:val="000000"/>
        </w:rPr>
        <w:t>for equity awards beginning</w:t>
      </w:r>
      <w:r>
        <w:rPr>
          <w:rFonts w:ascii="Arial" w:cs="Arial" w:eastAsia="Arial" w:hAnsi="Arial"/>
          <w:sz w:val="16"/>
          <w:szCs w:val="16"/>
          <w:b w:val="1"/>
          <w:bCs w:val="1"/>
          <w:color w:val="007CBA"/>
        </w:rPr>
        <w:t xml:space="preserve"> </w:t>
      </w:r>
      <w:r>
        <w:rPr>
          <w:rFonts w:ascii="Arial" w:cs="Arial" w:eastAsia="Arial" w:hAnsi="Arial"/>
          <w:sz w:val="16"/>
          <w:szCs w:val="16"/>
          <w:color w:val="000000"/>
        </w:rPr>
        <w:t>in 2019</w:t>
      </w:r>
    </w:p>
    <w:p>
      <w:pPr>
        <w:spacing w:after="0" w:line="73" w:lineRule="exact"/>
        <w:rPr>
          <w:sz w:val="20"/>
          <w:szCs w:val="20"/>
          <w:color w:val="auto"/>
        </w:rPr>
      </w:pPr>
    </w:p>
    <w:p>
      <w:pPr>
        <w:ind w:left="6060" w:hanging="239"/>
        <w:spacing w:after="0" w:line="21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Established robust </w:t>
      </w:r>
      <w:r>
        <w:rPr>
          <w:rFonts w:ascii="Arial" w:cs="Arial" w:eastAsia="Arial" w:hAnsi="Arial"/>
          <w:sz w:val="16"/>
          <w:szCs w:val="16"/>
          <w:b w:val="1"/>
          <w:bCs w:val="1"/>
          <w:color w:val="007CBA"/>
        </w:rPr>
        <w:t>stock ownership guidelines</w:t>
      </w:r>
      <w:r>
        <w:rPr>
          <w:rFonts w:ascii="Arial" w:cs="Arial" w:eastAsia="Arial" w:hAnsi="Arial"/>
          <w:sz w:val="16"/>
          <w:szCs w:val="16"/>
          <w:color w:val="auto"/>
        </w:rPr>
        <w:t xml:space="preserve"> for officers and directors</w:t>
      </w:r>
    </w:p>
    <w:p>
      <w:pPr>
        <w:spacing w:after="0" w:line="73" w:lineRule="exact"/>
        <w:rPr>
          <w:sz w:val="20"/>
          <w:szCs w:val="20"/>
          <w:color w:val="auto"/>
        </w:rPr>
      </w:pPr>
    </w:p>
    <w:p>
      <w:pPr>
        <w:ind w:left="5820" w:right="1420"/>
        <w:spacing w:after="0" w:line="28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w:t>
      </w:r>
      <w:r>
        <w:rPr>
          <w:rFonts w:ascii="Arial" w:cs="Arial" w:eastAsia="Arial" w:hAnsi="Arial"/>
          <w:sz w:val="16"/>
          <w:szCs w:val="16"/>
          <w:b w:val="1"/>
          <w:bCs w:val="1"/>
          <w:color w:val="007CBA"/>
        </w:rPr>
        <w:t>hedging and pledging policy</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Adopted </w:t>
      </w:r>
      <w:r>
        <w:rPr>
          <w:rFonts w:ascii="Arial" w:cs="Arial" w:eastAsia="Arial" w:hAnsi="Arial"/>
          <w:sz w:val="16"/>
          <w:szCs w:val="16"/>
          <w:b w:val="1"/>
          <w:bCs w:val="1"/>
          <w:color w:val="007CBA"/>
        </w:rPr>
        <w:t>clawback policy</w:t>
      </w:r>
    </w:p>
    <w:p>
      <w:pPr>
        <w:spacing w:after="0" w:line="68" w:lineRule="exact"/>
        <w:rPr>
          <w:sz w:val="20"/>
          <w:szCs w:val="20"/>
          <w:color w:val="auto"/>
        </w:rPr>
      </w:pPr>
    </w:p>
    <w:p>
      <w:pPr>
        <w:ind w:left="5820" w:right="1720"/>
        <w:spacing w:after="0" w:line="29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w:t>
      </w:r>
      <w:r>
        <w:rPr>
          <w:rFonts w:ascii="Arial" w:cs="Arial" w:eastAsia="Arial" w:hAnsi="Arial"/>
          <w:sz w:val="16"/>
          <w:szCs w:val="16"/>
          <w:b w:val="1"/>
          <w:bCs w:val="1"/>
          <w:color w:val="007CBA"/>
        </w:rPr>
        <w:t>majority voting standard</w:t>
      </w:r>
      <w:r>
        <w:rPr>
          <w:rFonts w:ascii="Arial" w:cs="Arial" w:eastAsia="Arial" w:hAnsi="Arial"/>
          <w:sz w:val="16"/>
          <w:szCs w:val="16"/>
          <w:color w:val="auto"/>
        </w:rPr>
        <w:t xml:space="preserve"> </w:t>
      </w:r>
      <w:r>
        <w:rPr>
          <w:rFonts w:ascii="MS PGothic" w:cs="MS PGothic" w:eastAsia="MS PGothic" w:hAnsi="MS PGothic"/>
          <w:sz w:val="16"/>
          <w:szCs w:val="16"/>
          <w:color w:val="000000"/>
        </w:rPr>
        <w:t>✓</w:t>
      </w:r>
      <w:r>
        <w:rPr>
          <w:rFonts w:ascii="Arial" w:cs="Arial" w:eastAsia="Arial" w:hAnsi="Arial"/>
          <w:sz w:val="16"/>
          <w:szCs w:val="16"/>
          <w:b w:val="1"/>
          <w:bCs w:val="1"/>
          <w:color w:val="007CBA"/>
        </w:rPr>
        <w:t xml:space="preserve"> Eliminated shareholder rights plan </w:t>
      </w:r>
      <w:r>
        <w:rPr>
          <w:rFonts w:ascii="MS PGothic" w:cs="MS PGothic" w:eastAsia="MS PGothic" w:hAnsi="MS PGothic"/>
          <w:sz w:val="16"/>
          <w:szCs w:val="16"/>
          <w:color w:val="000000"/>
        </w:rPr>
        <w:t>✓</w:t>
      </w:r>
      <w:r>
        <w:rPr>
          <w:rFonts w:ascii="Arial" w:cs="Arial" w:eastAsia="Arial" w:hAnsi="Arial"/>
          <w:sz w:val="16"/>
          <w:szCs w:val="16"/>
          <w:color w:val="000000"/>
        </w:rPr>
        <w:t xml:space="preserve"> Adopted </w:t>
      </w:r>
      <w:r>
        <w:rPr>
          <w:rFonts w:ascii="Arial" w:cs="Arial" w:eastAsia="Arial" w:hAnsi="Arial"/>
          <w:sz w:val="16"/>
          <w:szCs w:val="16"/>
          <w:b w:val="1"/>
          <w:bCs w:val="1"/>
          <w:color w:val="007CBA"/>
        </w:rPr>
        <w:t>proxy access</w:t>
      </w:r>
    </w:p>
    <w:p>
      <w:pPr>
        <w:spacing w:after="0" w:line="70" w:lineRule="exact"/>
        <w:rPr>
          <w:sz w:val="20"/>
          <w:szCs w:val="20"/>
          <w:color w:val="auto"/>
        </w:rPr>
      </w:pPr>
    </w:p>
    <w:p>
      <w:pPr>
        <w:ind w:left="6060" w:right="480" w:hanging="239"/>
        <w:spacing w:after="0" w:line="21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Added </w:t>
      </w:r>
      <w:r>
        <w:rPr>
          <w:rFonts w:ascii="Arial" w:cs="Arial" w:eastAsia="Arial" w:hAnsi="Arial"/>
          <w:sz w:val="16"/>
          <w:szCs w:val="16"/>
          <w:b w:val="1"/>
          <w:bCs w:val="1"/>
          <w:color w:val="007CBA"/>
        </w:rPr>
        <w:t>6 new Board members</w:t>
      </w:r>
      <w:r>
        <w:rPr>
          <w:rFonts w:ascii="Arial" w:cs="Arial" w:eastAsia="Arial" w:hAnsi="Arial"/>
          <w:sz w:val="16"/>
          <w:szCs w:val="16"/>
          <w:color w:val="auto"/>
        </w:rPr>
        <w:t xml:space="preserve"> since 2016 (assuming the election of Mr. Wajsgras)</w:t>
      </w:r>
    </w:p>
    <w:p>
      <w:pPr>
        <w:spacing w:after="0" w:line="73" w:lineRule="exact"/>
        <w:rPr>
          <w:sz w:val="20"/>
          <w:szCs w:val="20"/>
          <w:color w:val="auto"/>
        </w:rPr>
      </w:pPr>
    </w:p>
    <w:p>
      <w:pPr>
        <w:ind w:left="58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Published </w:t>
      </w:r>
      <w:r>
        <w:rPr>
          <w:rFonts w:ascii="Arial" w:cs="Arial" w:eastAsia="Arial" w:hAnsi="Arial"/>
          <w:sz w:val="16"/>
          <w:szCs w:val="16"/>
          <w:b w:val="1"/>
          <w:bCs w:val="1"/>
          <w:color w:val="007CBA"/>
        </w:rPr>
        <w:t>Annual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822325</wp:posOffset>
            </wp:positionV>
            <wp:extent cx="406400" cy="245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20" w:hanging="433"/>
        <w:spacing w:after="0"/>
        <w:tabs>
          <w:tab w:leader="none" w:pos="620" w:val="left"/>
        </w:tabs>
        <w:numPr>
          <w:ilvl w:val="0"/>
          <w:numId w:val="24"/>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0580"/>
          </w:cols>
          <w:pgMar w:left="320" w:top="455" w:right="9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7752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05625" cy="77520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left="940" w:right="740"/>
        <w:spacing w:after="0" w:line="301" w:lineRule="auto"/>
        <w:rPr>
          <w:sz w:val="20"/>
          <w:szCs w:val="20"/>
          <w:color w:val="auto"/>
        </w:rPr>
      </w:pPr>
      <w:r>
        <w:rPr>
          <w:rFonts w:ascii="Arial" w:cs="Arial" w:eastAsia="Arial" w:hAnsi="Arial"/>
          <w:sz w:val="24"/>
          <w:szCs w:val="24"/>
          <w:b w:val="1"/>
          <w:bCs w:val="1"/>
          <w:color w:val="007CBA"/>
        </w:rPr>
        <w:t>Our Commitment to Excellence, Safety, Corporate Governance, Shareholder Engagement and Sustainability Is Integral to Our Strategic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20" w:right="440"/>
        <w:spacing w:after="0" w:line="245" w:lineRule="auto"/>
        <w:rPr>
          <w:sz w:val="20"/>
          <w:szCs w:val="20"/>
          <w:color w:val="auto"/>
        </w:rPr>
      </w:pPr>
      <w:r>
        <w:rPr>
          <w:rFonts w:ascii="Arial" w:cs="Arial" w:eastAsia="Arial" w:hAnsi="Arial"/>
          <w:sz w:val="14"/>
          <w:szCs w:val="14"/>
          <w:color w:val="auto"/>
        </w:rPr>
        <w:t>Sources: (1) Company materials, Wall Street Research, IHS Markit, S&amp;P Global and U.S. State Ratings and Outlooks. (2) Based on top 10 revenue generating states based on 2019 Building Materials product revenues by state of destination. (3) Management calculation based on aggregates consumption per capita multiplied by estimated state population. Based on latest information available as of December 31, 2019.</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007CBA"/>
        </w:rPr>
        <w:t>Over the last decade, Martin Marietta has been a disciplined and well-run heavy construction materials company</w:t>
      </w:r>
    </w:p>
    <w:p>
      <w:pPr>
        <w:spacing w:after="0" w:line="99" w:lineRule="exact"/>
        <w:rPr>
          <w:sz w:val="20"/>
          <w:szCs w:val="20"/>
          <w:color w:val="auto"/>
        </w:rPr>
      </w:pPr>
    </w:p>
    <w:p>
      <w:pPr>
        <w:ind w:left="1040" w:hanging="427"/>
        <w:spacing w:after="0"/>
        <w:tabs>
          <w:tab w:leader="none" w:pos="1040" w:val="left"/>
        </w:tabs>
        <w:numPr>
          <w:ilvl w:val="0"/>
          <w:numId w:val="25"/>
        </w:numPr>
        <w:rPr>
          <w:rFonts w:ascii="MS PGothic" w:cs="MS PGothic" w:eastAsia="MS PGothic" w:hAnsi="MS PGothic"/>
          <w:sz w:val="16"/>
          <w:szCs w:val="16"/>
          <w:color w:val="007CBA"/>
        </w:rPr>
      </w:pPr>
      <w:r>
        <w:rPr>
          <w:rFonts w:ascii="Arial" w:cs="Arial" w:eastAsia="Arial" w:hAnsi="Arial"/>
          <w:sz w:val="16"/>
          <w:szCs w:val="16"/>
          <w:color w:val="auto"/>
        </w:rPr>
        <w:t>Grew total revenues by 3.0x (11% compounded annual growth rate (CAGR)) and Adjusted EBITDA by 3.4x (13% CAGR) over this period</w:t>
      </w:r>
    </w:p>
    <w:p>
      <w:pPr>
        <w:spacing w:after="0" w:line="95" w:lineRule="exact"/>
        <w:rPr>
          <w:rFonts w:ascii="MS PGothic" w:cs="MS PGothic" w:eastAsia="MS PGothic" w:hAnsi="MS PGothic"/>
          <w:sz w:val="16"/>
          <w:szCs w:val="16"/>
          <w:color w:val="007CBA"/>
        </w:rPr>
      </w:pPr>
    </w:p>
    <w:p>
      <w:pPr>
        <w:ind w:left="1040" w:right="120" w:hanging="427"/>
        <w:spacing w:after="0" w:line="254" w:lineRule="auto"/>
        <w:tabs>
          <w:tab w:leader="none" w:pos="1040" w:val="left"/>
        </w:tabs>
        <w:numPr>
          <w:ilvl w:val="0"/>
          <w:numId w:val="25"/>
        </w:numPr>
        <w:rPr>
          <w:rFonts w:ascii="MS PGothic" w:cs="MS PGothic" w:eastAsia="MS PGothic" w:hAnsi="MS PGothic"/>
          <w:sz w:val="16"/>
          <w:szCs w:val="16"/>
          <w:color w:val="007CBA"/>
        </w:rPr>
      </w:pPr>
      <w:r>
        <w:rPr>
          <w:rFonts w:ascii="Arial" w:cs="Arial" w:eastAsia="Arial" w:hAnsi="Arial"/>
          <w:sz w:val="16"/>
          <w:szCs w:val="16"/>
          <w:color w:val="auto"/>
        </w:rPr>
        <w:t>Completed creative asset swap in Colorado, and acquisitions of Texas Industries, Inc. (Texas aggregates, strategic cement) and Bluegrass Materials (strong margins, significantly below mid-cycle demand states)</w:t>
      </w:r>
    </w:p>
    <w:p>
      <w:pPr>
        <w:spacing w:after="0" w:line="63" w:lineRule="exact"/>
        <w:rPr>
          <w:rFonts w:ascii="MS PGothic" w:cs="MS PGothic" w:eastAsia="MS PGothic" w:hAnsi="MS PGothic"/>
          <w:sz w:val="16"/>
          <w:szCs w:val="16"/>
          <w:color w:val="007CBA"/>
        </w:rPr>
      </w:pPr>
    </w:p>
    <w:p>
      <w:pPr>
        <w:ind w:left="1040" w:hanging="427"/>
        <w:spacing w:after="0"/>
        <w:tabs>
          <w:tab w:leader="none" w:pos="1040" w:val="left"/>
        </w:tabs>
        <w:numPr>
          <w:ilvl w:val="0"/>
          <w:numId w:val="25"/>
        </w:numPr>
        <w:rPr>
          <w:rFonts w:ascii="MS PGothic" w:cs="MS PGothic" w:eastAsia="MS PGothic" w:hAnsi="MS PGothic"/>
          <w:sz w:val="16"/>
          <w:szCs w:val="16"/>
          <w:color w:val="007CBA"/>
        </w:rPr>
      </w:pPr>
      <w:r>
        <w:rPr>
          <w:rFonts w:ascii="Arial" w:cs="Arial" w:eastAsia="Arial" w:hAnsi="Arial"/>
          <w:sz w:val="16"/>
          <w:szCs w:val="16"/>
          <w:color w:val="auto"/>
        </w:rPr>
        <w:t>After maintaining dividends through the financial crisis, consistently increased dividends through the decade</w:t>
      </w:r>
    </w:p>
    <w:p>
      <w:pPr>
        <w:spacing w:after="0" w:line="95" w:lineRule="exact"/>
        <w:rPr>
          <w:rFonts w:ascii="MS PGothic" w:cs="MS PGothic" w:eastAsia="MS PGothic" w:hAnsi="MS PGothic"/>
          <w:sz w:val="16"/>
          <w:szCs w:val="16"/>
          <w:color w:val="007CBA"/>
        </w:rPr>
      </w:pPr>
    </w:p>
    <w:p>
      <w:pPr>
        <w:ind w:left="1040" w:hanging="427"/>
        <w:spacing w:after="0"/>
        <w:tabs>
          <w:tab w:leader="none" w:pos="1040" w:val="left"/>
        </w:tabs>
        <w:numPr>
          <w:ilvl w:val="0"/>
          <w:numId w:val="25"/>
        </w:numPr>
        <w:rPr>
          <w:rFonts w:ascii="MS PGothic" w:cs="MS PGothic" w:eastAsia="MS PGothic" w:hAnsi="MS PGothic"/>
          <w:sz w:val="16"/>
          <w:szCs w:val="16"/>
          <w:color w:val="007CBA"/>
        </w:rPr>
      </w:pPr>
      <w:r>
        <w:rPr>
          <w:rFonts w:ascii="Arial" w:cs="Arial" w:eastAsia="Arial" w:hAnsi="Arial"/>
          <w:sz w:val="16"/>
          <w:szCs w:val="16"/>
          <w:color w:val="auto"/>
        </w:rPr>
        <w:t>Maintained a strong investment grade rating, with a leverage ratio now within target range of 2.0x to 2.5x</w:t>
      </w:r>
    </w:p>
    <w:p>
      <w:pPr>
        <w:spacing w:after="0" w:line="95" w:lineRule="exact"/>
        <w:rPr>
          <w:rFonts w:ascii="MS PGothic" w:cs="MS PGothic" w:eastAsia="MS PGothic" w:hAnsi="MS PGothic"/>
          <w:sz w:val="16"/>
          <w:szCs w:val="16"/>
          <w:color w:val="007CBA"/>
        </w:rPr>
      </w:pPr>
    </w:p>
    <w:p>
      <w:pPr>
        <w:ind w:left="1040" w:hanging="427"/>
        <w:spacing w:after="0"/>
        <w:tabs>
          <w:tab w:leader="none" w:pos="1040" w:val="left"/>
        </w:tabs>
        <w:numPr>
          <w:ilvl w:val="0"/>
          <w:numId w:val="25"/>
        </w:numPr>
        <w:rPr>
          <w:rFonts w:ascii="MS PGothic" w:cs="MS PGothic" w:eastAsia="MS PGothic" w:hAnsi="MS PGothic"/>
          <w:sz w:val="16"/>
          <w:szCs w:val="16"/>
          <w:color w:val="007CBA"/>
        </w:rPr>
      </w:pPr>
      <w:r>
        <w:rPr>
          <w:rFonts w:ascii="Arial" w:cs="Arial" w:eastAsia="Arial" w:hAnsi="Arial"/>
          <w:sz w:val="16"/>
          <w:szCs w:val="16"/>
          <w:color w:val="auto"/>
        </w:rPr>
        <w:t>Delivered superior shareholder value (2010-2019 TSR CAGR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2987675</wp:posOffset>
            </wp:positionV>
            <wp:extent cx="406400" cy="245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70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7</w:t>
            </w:r>
          </w:p>
        </w:tc>
      </w:tr>
    </w:tbl>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201295</wp:posOffset>
            </wp:positionV>
            <wp:extent cx="6905625" cy="7752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5625" cy="775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Our Compensation Approach</w:t>
      </w:r>
    </w:p>
    <w:p>
      <w:pPr>
        <w:spacing w:after="0" w:line="249" w:lineRule="exact"/>
        <w:rPr>
          <w:sz w:val="20"/>
          <w:szCs w:val="20"/>
          <w:color w:val="auto"/>
        </w:rPr>
      </w:pPr>
    </w:p>
    <w:p>
      <w:pPr>
        <w:jc w:val="both"/>
        <w:ind w:left="620" w:right="220"/>
        <w:spacing w:after="0" w:line="243" w:lineRule="auto"/>
        <w:rPr>
          <w:sz w:val="20"/>
          <w:szCs w:val="20"/>
          <w:color w:val="auto"/>
        </w:rPr>
      </w:pPr>
      <w:r>
        <w:rPr>
          <w:rFonts w:ascii="Arial" w:cs="Arial" w:eastAsia="Arial" w:hAnsi="Arial"/>
          <w:sz w:val="16"/>
          <w:szCs w:val="16"/>
          <w:color w:val="auto"/>
        </w:rPr>
        <w:t xml:space="preserve">A substantial portion of compensation paid to our named executive officers (NEOs) is variable and performance-based. We use the 50th percentile of our peer group as a reference point when determining target compensation, but target pay is set based on a variety of factors and actual pay realized by our NEOs is dependent on our financial, operational and other related performance. Based on our record levels of performance in 2019, variable compensation payable under both our short-term and long-term incentive plans exceeded the target amounts established for each NEO, which is consistent with our pay-for-performance philosophy. </w:t>
      </w:r>
      <w:r>
        <w:rPr>
          <w:rFonts w:ascii="Arial" w:cs="Arial" w:eastAsia="Arial" w:hAnsi="Arial"/>
          <w:sz w:val="16"/>
          <w:szCs w:val="16"/>
          <w:b w:val="1"/>
          <w:bCs w:val="1"/>
          <w:color w:val="auto"/>
        </w:rPr>
        <w:t>All compensation paid to our CEO and other</w:t>
      </w:r>
    </w:p>
    <w:p>
      <w:pPr>
        <w:spacing w:after="0" w:line="1" w:lineRule="exact"/>
        <w:rPr>
          <w:sz w:val="20"/>
          <w:szCs w:val="20"/>
          <w:color w:val="auto"/>
        </w:rPr>
      </w:pPr>
    </w:p>
    <w:p>
      <w:pPr>
        <w:jc w:val="both"/>
        <w:ind w:left="620" w:right="220"/>
        <w:spacing w:after="0" w:line="254" w:lineRule="auto"/>
        <w:rPr>
          <w:sz w:val="20"/>
          <w:szCs w:val="20"/>
          <w:color w:val="auto"/>
        </w:rPr>
      </w:pPr>
      <w:r>
        <w:rPr>
          <w:rFonts w:ascii="Arial" w:cs="Arial" w:eastAsia="Arial" w:hAnsi="Arial"/>
          <w:sz w:val="16"/>
          <w:szCs w:val="16"/>
          <w:b w:val="1"/>
          <w:bCs w:val="1"/>
          <w:color w:val="auto"/>
        </w:rPr>
        <w:t>NEOs in 2019 was performance-based other than base salary: approximately 87% of our CEO’s compensation was performance-based and 74% of our other NEOs’ compensation was performance based.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40" w:hanging="327"/>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grant date value of Performance Share Units (PSUs) and Restricted Stock Units (RSUs).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Will any other matters be presented at the Annual Meeting?</w:t>
      </w:r>
    </w:p>
    <w:p>
      <w:pPr>
        <w:spacing w:after="0" w:line="223" w:lineRule="exact"/>
        <w:rPr>
          <w:sz w:val="20"/>
          <w:szCs w:val="20"/>
          <w:color w:val="auto"/>
        </w:rPr>
      </w:pPr>
    </w:p>
    <w:p>
      <w:pPr>
        <w:jc w:val="both"/>
        <w:ind w:left="620" w:right="220"/>
        <w:spacing w:after="0" w:line="246" w:lineRule="auto"/>
        <w:rPr>
          <w:sz w:val="20"/>
          <w:szCs w:val="20"/>
          <w:color w:val="auto"/>
        </w:rPr>
      </w:pPr>
      <w:r>
        <w:rPr>
          <w:rFonts w:ascii="Arial" w:cs="Arial" w:eastAsia="Arial" w:hAnsi="Arial"/>
          <w:sz w:val="16"/>
          <w:szCs w:val="16"/>
          <w:color w:val="auto"/>
        </w:rPr>
        <w:t>At the time this proxy statement was filed with the Securities and Exchange Commission (SEC),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or, if no recommendation is given, in their own discretion. It is also intended that discretionary authority will be exercised with respect to the vote on any matters incident to the conduct of the meeting.</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007CBA"/>
        </w:rPr>
        <w:t>What are the Board’s recommendations?</w:t>
      </w:r>
    </w:p>
    <w:p>
      <w:pPr>
        <w:spacing w:after="0" w:line="209" w:lineRule="exact"/>
        <w:rPr>
          <w:sz w:val="20"/>
          <w:szCs w:val="20"/>
          <w:color w:val="auto"/>
        </w:rPr>
      </w:pPr>
    </w:p>
    <w:p>
      <w:pPr>
        <w:jc w:val="both"/>
        <w:ind w:left="620" w:right="220"/>
        <w:spacing w:after="0" w:line="249" w:lineRule="auto"/>
        <w:rPr>
          <w:sz w:val="20"/>
          <w:szCs w:val="20"/>
          <w:color w:val="auto"/>
        </w:rPr>
      </w:pPr>
      <w:r>
        <w:rPr>
          <w:rFonts w:ascii="Arial" w:cs="Arial" w:eastAsia="Arial" w:hAnsi="Arial"/>
          <w:sz w:val="16"/>
          <w:szCs w:val="16"/>
          <w:color w:val="auto"/>
        </w:rPr>
        <w:t>Unless you give other instructions on your proxy card, the persons named as proxy holders on the proxy card will vote in accordance with the recommendations of the Board. The Board’s recommendation, as well as a description of each proposal, is set forth in this proxy statement. The Board recommends a vote:</w:t>
      </w:r>
    </w:p>
    <w:p>
      <w:pPr>
        <w:spacing w:after="0" w:line="87" w:lineRule="exact"/>
        <w:rPr>
          <w:sz w:val="20"/>
          <w:szCs w:val="20"/>
          <w:color w:val="auto"/>
        </w:rPr>
      </w:pPr>
    </w:p>
    <w:p>
      <w:pPr>
        <w:ind w:left="1040" w:hanging="320"/>
        <w:spacing w:after="0"/>
        <w:tabs>
          <w:tab w:leader="none" w:pos="1040" w:val="left"/>
        </w:tabs>
        <w:numPr>
          <w:ilvl w:val="0"/>
          <w:numId w:val="27"/>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Director Nominees;</w:t>
      </w:r>
    </w:p>
    <w:p>
      <w:pPr>
        <w:spacing w:after="0" w:line="122" w:lineRule="exact"/>
        <w:rPr>
          <w:rFonts w:ascii="Arial" w:cs="Arial" w:eastAsia="Arial" w:hAnsi="Arial"/>
          <w:sz w:val="16"/>
          <w:szCs w:val="16"/>
          <w:color w:val="007CBA"/>
        </w:rPr>
      </w:pPr>
    </w:p>
    <w:p>
      <w:pPr>
        <w:ind w:left="1040" w:hanging="320"/>
        <w:spacing w:after="0"/>
        <w:tabs>
          <w:tab w:leader="none" w:pos="1040" w:val="left"/>
        </w:tabs>
        <w:numPr>
          <w:ilvl w:val="0"/>
          <w:numId w:val="27"/>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PricewaterhouseCoopers LLP as independent auditors; and</w:t>
      </w:r>
    </w:p>
    <w:p>
      <w:pPr>
        <w:spacing w:after="0" w:line="122" w:lineRule="exact"/>
        <w:rPr>
          <w:rFonts w:ascii="Arial" w:cs="Arial" w:eastAsia="Arial" w:hAnsi="Arial"/>
          <w:sz w:val="16"/>
          <w:szCs w:val="16"/>
          <w:color w:val="007CBA"/>
        </w:rPr>
      </w:pPr>
    </w:p>
    <w:p>
      <w:pPr>
        <w:ind w:left="1040" w:hanging="320"/>
        <w:spacing w:after="0"/>
        <w:tabs>
          <w:tab w:leader="none" w:pos="1040" w:val="left"/>
        </w:tabs>
        <w:numPr>
          <w:ilvl w:val="0"/>
          <w:numId w:val="27"/>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NEOs as described in this proxy statement.</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21"/>
          <w:szCs w:val="21"/>
          <w:b w:val="1"/>
          <w:bCs w:val="1"/>
          <w:color w:val="007CBA"/>
        </w:rPr>
        <w:t>CAUTIONARY NOTE REGARDING FORWARD-LOOKING STATEMENTS</w:t>
      </w:r>
    </w:p>
    <w:p>
      <w:pPr>
        <w:spacing w:after="0" w:line="235" w:lineRule="exact"/>
        <w:rPr>
          <w:sz w:val="20"/>
          <w:szCs w:val="20"/>
          <w:color w:val="auto"/>
        </w:rPr>
      </w:pPr>
    </w:p>
    <w:p>
      <w:pPr>
        <w:jc w:val="both"/>
        <w:ind w:left="400"/>
        <w:spacing w:after="0" w:line="245" w:lineRule="auto"/>
        <w:rPr>
          <w:sz w:val="20"/>
          <w:szCs w:val="20"/>
          <w:color w:val="auto"/>
        </w:rPr>
      </w:pPr>
      <w:r>
        <w:rPr>
          <w:rFonts w:ascii="Arial" w:cs="Arial" w:eastAsia="Arial" w:hAnsi="Arial"/>
          <w:sz w:val="14"/>
          <w:szCs w:val="14"/>
          <w:i w:val="1"/>
          <w:iCs w:val="1"/>
          <w:color w:val="auto"/>
        </w:rPr>
        <w:t>This proxy statement contains forward-looking statements as defined in the Securities Exchange Act of 1934 and is subject to the safe harbors created therein. The forward-looking statements contained herein are generally identified by the words “believe,” “project,” “expect,” “anticipate,” “estimate,” “intend,” “strategy,” “future,” “opportunity,” “plan,” “may,” “should,” “will,” “would,” “will be,” “will continue,” “will likely result,” and similar expressions. Forward-looking statements are based on the beliefs and assumptions of our management and on currently available information. A detailed discussion of risks and uncertainties that could cause actual results and events to differ materially from such forward-looking statements is included in our annual report on Form 10-K for the fiscal year ended December 31, 2019. We undertake no responsibility to publicly update or revise any forward-looking statement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683260</wp:posOffset>
            </wp:positionV>
            <wp:extent cx="406400" cy="2451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433"/>
        <w:spacing w:after="0"/>
        <w:tabs>
          <w:tab w:leader="none" w:pos="620" w:val="left"/>
        </w:tabs>
        <w:numPr>
          <w:ilvl w:val="0"/>
          <w:numId w:val="28"/>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0840"/>
          </w:cols>
          <w:pgMar w:left="320" w:top="455" w:right="7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2"/>
          <w:szCs w:val="42"/>
          <w:color w:val="auto"/>
        </w:rPr>
        <w:t>The Board of Directors</w:t>
      </w:r>
    </w:p>
    <w:p>
      <w:pPr>
        <w:sectPr>
          <w:pgSz w:w="11900" w:h="16838" w:orient="portrait"/>
          <w:cols w:equalWidth="0" w:num="1">
            <w:col w:w="11060"/>
          </w:cols>
          <w:pgMar w:left="320" w:top="455" w:right="519" w:bottom="1440" w:gutter="0" w:footer="0" w:header="0"/>
        </w:sectPr>
      </w:pPr>
    </w:p>
    <w:p>
      <w:pPr>
        <w:spacing w:after="0" w:line="307"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Board of Directors currently consists of ten members, nine of whom are non-employee Directors. Under our Bylaws, nominations of persons for election to the Board may be made at an Annual Meeting of Shareholders by the Board and by any shareholder who complies with the notice procedures set forth in the Bylaws. As described in the proxy statement for our 2019 Annual Meeting, for a nomination to be properly made by a shareholder at the 2020 Annual Meeting, the shareholder’s notice must have been sent to, and received by, our Secretary at our principal executive offices between January 11, 2020 and February 10, 2020. No such notice was received during this period.</w:t>
      </w:r>
    </w:p>
    <w:p>
      <w:pPr>
        <w:spacing w:after="0" w:line="209" w:lineRule="exact"/>
        <w:rPr>
          <w:sz w:val="20"/>
          <w:szCs w:val="20"/>
          <w:color w:val="auto"/>
        </w:rPr>
      </w:pPr>
    </w:p>
    <w:p>
      <w:pPr>
        <w:jc w:val="both"/>
        <w:ind w:left="200"/>
        <w:spacing w:after="0" w:line="262" w:lineRule="auto"/>
        <w:rPr>
          <w:sz w:val="20"/>
          <w:szCs w:val="20"/>
          <w:color w:val="auto"/>
        </w:rPr>
      </w:pPr>
      <w:r>
        <w:rPr>
          <w:rFonts w:ascii="Arial" w:cs="Arial" w:eastAsia="Arial" w:hAnsi="Arial"/>
          <w:sz w:val="15"/>
          <w:szCs w:val="15"/>
          <w:color w:val="auto"/>
        </w:rPr>
        <w:t>The Bylaws of the Corporation provide that a Director will retire at the Annual Meeting of Shareholders following the Director’s 75th birthday. One of our current Directors, Stephen P. Zelnak, Jr., reached this mandatory retirement age this year and is not eligible for election at the Annual Meeting for a new term. Mr. Zelnak has stated that he intends to serve as a Director through the commencement of the 2020 Annual Meeting of Shareholders, after which he will retire from the Board. The Board extends its sincere appreciation to Mr. Zelnak for his years of service and thoughtful Board leadership. Mr. Zelnak gave generously of his time and consistently provided the Board with independent insight and advice, which have been invaluable to the Board and to Martin Marietta.</w:t>
      </w:r>
    </w:p>
    <w:p>
      <w:pPr>
        <w:spacing w:after="0" w:line="194"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The Board has nominated Thomas H. Pike and David C. Wajsgras to stand for election by shareholders at the 2020 Annual Meeting. Mr. Pike was first elected as a Director by the Board in July 2019 and Mr. Wajsgras is being nominated to fill the vacancy resulting from Mr. Zelnak’s retirement. Both Mr. Pike and Mr. Wajsgras were initially identified by the Chairman, President and CEO and were recommended as a director nominee by the Nominating and Corporate Governance Committee. The Nominating and Corporate Governance Committee from time to time retains a search firm to help identify director prospects, perform candidate outreach, assist in reference checks, and provide other related services. The recruiting process typically involves either the Chairman, President and CEO, the search firm or a member of the Nominating and Corporate Governance Committee contacting a prospect to gauge his or her interest and availability. A candidate will then meet with several members of the Nominating and Corporate Governance Committee and sometimes the Board. At the same time, the Nominating and Corporate Governance Committee and the search firm will contact references for the prospect. A background check is completed before a final recommendation is made to the Board to appoint a candidate to the Board.</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Board has nominated ten persons for election as Directors to serve a one-year term expiring in 2021. Unless otherwise directed, proxies will be voted in favor of these nominees. Each nominee has agreed to serve if elected. Each of the nominees, other than Mr. Wajsgras,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 Proxies cannot be voted for a greater number of persons than the number of nominees named. Should any of the following nominees be unavailable for election by reason of death or other unexpected occurrence, the proxy, to the extent permitted by applicable law, may be voted with discretionary authority in connection with the nomination by the Board and the election of any substitute nominee.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007CBA"/>
        </w:rPr>
        <w:t>BOARD EFFECTIVENESS AND REFRESHMENT</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Board composition is one of the most critical areas of focus for the Board of Directors. Having the right mix of people who bring diverse perspectives, business and professional experiences, and skills provides a foundation for robust dialogue, informed advice and collaboration in the boardroom. The Nominating and Corporate Governance Committee develops criteria for open Board positions, taking into account a variety of factors, which may include current Board member skills, composition, age, tenure, other diversity factors, the range of talents and experience that would best complement those already represented on the Board, the need for specialized expertise, and anticipated retirements to define gaps that may need to be filled through the board refreshment process. The Board strives to ensure an environment that encourages diverse critical thinking and values innovative, strategic discussions to achieve a higher level of success for the Company.</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Nominating and Corporate Governance Committee screens and recommends candidates for nomination by the full Board. It uses a variety of methods to help identify potential Board candidates with the desired skills and background needed for the Company’s business, including from time to time informal networks, third party search firms and other channels. When the Committee is assisted from time to time with its recruitment efforts by an outside search firm, the firm recommends candidates that satisfy the criteria defined by the Board, and provides background research and pertinent information regarding prospective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334645</wp:posOffset>
            </wp:positionV>
            <wp:extent cx="406400" cy="245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70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9</w:t>
            </w:r>
          </w:p>
        </w:tc>
      </w:tr>
    </w:tbl>
    <w:p>
      <w:pPr>
        <w:sectPr>
          <w:pgSz w:w="11900" w:h="16838" w:orient="portrait"/>
          <w:cols w:equalWidth="0" w:num="2">
            <w:col w:w="5400" w:space="340"/>
            <w:col w:w="5320"/>
          </w:cols>
          <w:pgMar w:left="320" w:top="455" w:right="5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540" w:hanging="280"/>
        <w:spacing w:after="0"/>
        <w:tabs>
          <w:tab w:leader="none" w:pos="540" w:val="left"/>
        </w:tabs>
        <w:numPr>
          <w:ilvl w:val="0"/>
          <w:numId w:val="29"/>
        </w:numPr>
        <w:rPr>
          <w:rFonts w:ascii="MS PGothic" w:cs="MS PGothic" w:eastAsia="MS PGothic" w:hAnsi="MS PGothic"/>
          <w:sz w:val="25"/>
          <w:szCs w:val="25"/>
          <w:color w:val="007CBA"/>
        </w:rPr>
      </w:pPr>
      <w:r>
        <w:rPr>
          <w:rFonts w:ascii="Arial" w:cs="Arial" w:eastAsia="Arial" w:hAnsi="Arial"/>
          <w:sz w:val="13"/>
          <w:szCs w:val="13"/>
          <w:color w:val="007CBA"/>
        </w:rPr>
        <w:t>The Board of Directors</w:t>
      </w:r>
    </w:p>
    <w:p>
      <w:pPr>
        <w:spacing w:after="0" w:line="22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Once the Committee has identified a prospective nominee, it makes an initial determination as to whether to conduct a full evaluation. In making this determination, the Committee takes into account various information, including information provided at the time of the candidate recommendation, the Committee’s own knowledge, and information obtained through inquiries to third parties to the extent the Committee deems appropriate. The preliminary determination is based primarily on the need for additional Board members and the likelihood that the prospective nominee can satisfy the criteria that the Committee has established. If the Committee determines, in consultation with the Chairman, President and CEO and other Directors as appropriate, that additional consideration is warranted, it may request management or a third-party search firm to gather additional information about the prospective nominee’s background and experience and to report its findings to the Committee. The Committee then evaluates the prospective nominee against the specific criteria that it has established for the position, as well as the standards and qualifications set out in the Company’s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including:</w:t>
      </w:r>
    </w:p>
    <w:p>
      <w:pPr>
        <w:spacing w:after="0" w:line="111" w:lineRule="exact"/>
        <w:rPr>
          <w:sz w:val="20"/>
          <w:szCs w:val="20"/>
          <w:color w:val="auto"/>
        </w:rPr>
      </w:pPr>
    </w:p>
    <w:p>
      <w:pPr>
        <w:ind w:left="880" w:right="20" w:hanging="294"/>
        <w:spacing w:after="0" w:line="254" w:lineRule="auto"/>
        <w:tabs>
          <w:tab w:leader="none" w:pos="88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the ability of the prospective nominee to represent the interests of the shareholders of the Company;</w:t>
      </w:r>
    </w:p>
    <w:p>
      <w:pPr>
        <w:spacing w:after="0" w:line="103" w:lineRule="exact"/>
        <w:rPr>
          <w:rFonts w:ascii="Arial" w:cs="Arial" w:eastAsia="Arial" w:hAnsi="Arial"/>
          <w:sz w:val="16"/>
          <w:szCs w:val="16"/>
          <w:color w:val="007CBA"/>
        </w:rPr>
      </w:pPr>
    </w:p>
    <w:p>
      <w:pPr>
        <w:ind w:left="880" w:right="20" w:hanging="294"/>
        <w:spacing w:after="0" w:line="254" w:lineRule="auto"/>
        <w:tabs>
          <w:tab w:leader="none" w:pos="88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the prospective nominee’s standards of integrity, commitment and independence of thought and judgment;</w:t>
      </w:r>
    </w:p>
    <w:p>
      <w:pPr>
        <w:spacing w:after="0" w:line="103" w:lineRule="exact"/>
        <w:rPr>
          <w:rFonts w:ascii="Arial" w:cs="Arial" w:eastAsia="Arial" w:hAnsi="Arial"/>
          <w:sz w:val="16"/>
          <w:szCs w:val="16"/>
          <w:color w:val="007CBA"/>
        </w:rPr>
      </w:pPr>
    </w:p>
    <w:p>
      <w:pPr>
        <w:jc w:val="both"/>
        <w:ind w:left="880" w:hanging="294"/>
        <w:spacing w:after="0" w:line="246" w:lineRule="auto"/>
        <w:tabs>
          <w:tab w:leader="none" w:pos="88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 xml:space="preserve">the prospective nominee’s ability to dedicate sufficient time, energy and attention to the diligent performance of his or her duties, including the prospective nominee’s service on other public company boards, as specifically set out in the Company’s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w:t>
      </w:r>
    </w:p>
    <w:p>
      <w:pPr>
        <w:spacing w:after="0" w:line="315" w:lineRule="exact"/>
        <w:rPr>
          <w:sz w:val="20"/>
          <w:szCs w:val="20"/>
          <w:color w:val="auto"/>
        </w:rPr>
      </w:pPr>
    </w:p>
    <w:p>
      <w:pPr>
        <w:ind w:left="620" w:hanging="433"/>
        <w:spacing w:after="0"/>
        <w:tabs>
          <w:tab w:leader="none" w:pos="620" w:val="left"/>
        </w:tabs>
        <w:numPr>
          <w:ilvl w:val="0"/>
          <w:numId w:val="31"/>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80" w:right="20" w:hanging="288"/>
        <w:spacing w:after="0" w:line="254" w:lineRule="auto"/>
        <w:tabs>
          <w:tab w:leader="none" w:pos="680" w:val="left"/>
        </w:tabs>
        <w:numPr>
          <w:ilvl w:val="0"/>
          <w:numId w:val="32"/>
        </w:numPr>
        <w:rPr>
          <w:rFonts w:ascii="Arial" w:cs="Arial" w:eastAsia="Arial" w:hAnsi="Arial"/>
          <w:sz w:val="16"/>
          <w:szCs w:val="16"/>
          <w:color w:val="007CBA"/>
        </w:rPr>
      </w:pPr>
      <w:r>
        <w:rPr>
          <w:rFonts w:ascii="Arial" w:cs="Arial" w:eastAsia="Arial" w:hAnsi="Arial"/>
          <w:sz w:val="16"/>
          <w:szCs w:val="16"/>
          <w:color w:val="auto"/>
        </w:rPr>
        <w:t>the extent to which the prospective nominee contributes to the range of talent, skill and expertise appropriate for the Board; and</w:t>
      </w:r>
    </w:p>
    <w:p>
      <w:pPr>
        <w:spacing w:after="0" w:line="103" w:lineRule="exact"/>
        <w:rPr>
          <w:rFonts w:ascii="Arial" w:cs="Arial" w:eastAsia="Arial" w:hAnsi="Arial"/>
          <w:sz w:val="16"/>
          <w:szCs w:val="16"/>
          <w:color w:val="007CBA"/>
        </w:rPr>
      </w:pPr>
    </w:p>
    <w:p>
      <w:pPr>
        <w:jc w:val="both"/>
        <w:ind w:left="680" w:right="20" w:hanging="288"/>
        <w:spacing w:after="0" w:line="249" w:lineRule="auto"/>
        <w:tabs>
          <w:tab w:leader="none" w:pos="680" w:val="left"/>
        </w:tabs>
        <w:numPr>
          <w:ilvl w:val="0"/>
          <w:numId w:val="32"/>
        </w:numPr>
        <w:rPr>
          <w:rFonts w:ascii="Arial" w:cs="Arial" w:eastAsia="Arial" w:hAnsi="Arial"/>
          <w:sz w:val="16"/>
          <w:szCs w:val="16"/>
          <w:color w:val="007CBA"/>
        </w:rPr>
      </w:pPr>
      <w:r>
        <w:rPr>
          <w:rFonts w:ascii="Arial" w:cs="Arial" w:eastAsia="Arial" w:hAnsi="Arial"/>
          <w:sz w:val="16"/>
          <w:szCs w:val="16"/>
          <w:color w:val="auto"/>
        </w:rPr>
        <w:t>the extent to which the prospective nominee helps the Board reflect the diversity of the Company’s shareholders, employees, customers and the communities in which it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-1523365</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If the Committee decides, on the basis of its preliminary review, to proceed with further consideration, members of the Committee, the Chairman, President and CEO, as well as other members of the Board as appropriate, interview the nominee. After completing this evaluation and interview, the Committee makes a recommendation to the full Board, which makes the final determination whether to nominate or appoint the new Director after considering the Committee’s report. A background check is completed before a final recommendation is made to the Board to appoint a candidate to the Board.</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selecting nominees for the Board, the Board seeks to achieve a mix of members who together bring experience and personal backgrounds relevant to the Company’s strategic priorities and the scope and complexity of the Company’s business. The Board also seeks a demonstrated ability to manage complex issues that involve a balance of risk and reward. The background information on current nominees beginning on page 17 and the skills matrix on page 11 set out how each of the current nominees contributes to the mix of experience and qualifications the Board seeks. In making its recommendations with respect to the nomination for re-election of existing Directors at the annual shareholders meeting, the Committee assesses the composition of the Board at the time and considers the extent to which the Board continues to reflect the criteria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181610</wp:posOffset>
            </wp:positionV>
            <wp:extent cx="406400" cy="245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40"/>
            <w:col w:w="5320"/>
          </w:cols>
          <w:pgMar w:left="320" w:top="455"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9380"/>
        <w:spacing w:after="0" w:line="276"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4"/>
          <w:szCs w:val="24"/>
          <w:color w:val="007CBA"/>
        </w:rPr>
        <w:t>◆</w:t>
      </w:r>
    </w:p>
    <w:p>
      <w:pPr>
        <w:spacing w:after="0" w:line="228"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following sets forth certain information for each nominee for election regarding age, gender, diversity, tenure and skills that are important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140970</wp:posOffset>
            </wp:positionV>
            <wp:extent cx="6905625" cy="473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5625" cy="47371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Demographics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and Background</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18"/>
        </w:trPr>
        <w:tc>
          <w:tcPr>
            <w:tcW w:w="1400" w:type="dxa"/>
            <w:vAlign w:val="bottom"/>
            <w:shd w:val="clear" w:color="auto" w:fill="E5F1F8"/>
          </w:tcPr>
          <w:p>
            <w:pPr>
              <w:ind w:left="80"/>
              <w:spacing w:after="0"/>
              <w:rPr>
                <w:sz w:val="20"/>
                <w:szCs w:val="20"/>
                <w:color w:val="auto"/>
              </w:rPr>
            </w:pPr>
            <w:r>
              <w:rPr>
                <w:rFonts w:ascii="Arial" w:cs="Arial" w:eastAsia="Arial" w:hAnsi="Arial"/>
                <w:sz w:val="14"/>
                <w:szCs w:val="14"/>
                <w:color w:val="auto"/>
              </w:rPr>
              <w:t>Age</w:t>
            </w:r>
          </w:p>
        </w:tc>
        <w:tc>
          <w:tcPr>
            <w:tcW w:w="50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520" w:type="dxa"/>
            <w:vAlign w:val="bottom"/>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50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62</w:t>
            </w:r>
          </w:p>
        </w:tc>
        <w:tc>
          <w:tcPr>
            <w:tcW w:w="560" w:type="dxa"/>
            <w:vAlign w:val="bottom"/>
            <w:shd w:val="clear" w:color="auto" w:fill="E5F1F8"/>
          </w:tcPr>
          <w:p>
            <w:pPr>
              <w:ind w:left="200"/>
              <w:spacing w:after="0"/>
              <w:rPr>
                <w:sz w:val="20"/>
                <w:szCs w:val="20"/>
                <w:color w:val="auto"/>
              </w:rPr>
            </w:pPr>
            <w:r>
              <w:rPr>
                <w:rFonts w:ascii="Arial" w:cs="Arial" w:eastAsia="Arial" w:hAnsi="Arial"/>
                <w:sz w:val="14"/>
                <w:szCs w:val="14"/>
                <w:color w:val="auto"/>
              </w:rPr>
              <w:t>69</w:t>
            </w:r>
          </w:p>
        </w:tc>
        <w:tc>
          <w:tcPr>
            <w:tcW w:w="600" w:type="dxa"/>
            <w:vAlign w:val="bottom"/>
            <w:tcBorders>
              <w:right w:val="single" w:sz="8" w:color="E5F1F8"/>
            </w:tcBorders>
            <w:shd w:val="clear" w:color="auto" w:fill="E5F1F8"/>
          </w:tcPr>
          <w:p>
            <w:pPr>
              <w:jc w:val="right"/>
              <w:ind w:right="189"/>
              <w:spacing w:after="0"/>
              <w:rPr>
                <w:sz w:val="20"/>
                <w:szCs w:val="20"/>
                <w:color w:val="auto"/>
              </w:rPr>
            </w:pPr>
            <w:r>
              <w:rPr>
                <w:rFonts w:ascii="Arial" w:cs="Arial" w:eastAsia="Arial" w:hAnsi="Arial"/>
                <w:sz w:val="14"/>
                <w:szCs w:val="14"/>
                <w:color w:val="auto"/>
              </w:rPr>
              <w:t>72</w:t>
            </w:r>
          </w:p>
        </w:tc>
        <w:tc>
          <w:tcPr>
            <w:tcW w:w="660" w:type="dxa"/>
            <w:vAlign w:val="bottom"/>
            <w:shd w:val="clear" w:color="auto" w:fill="E5F1F8"/>
          </w:tcPr>
          <w:p>
            <w:pPr>
              <w:jc w:val="right"/>
              <w:ind w:right="229"/>
              <w:spacing w:after="0"/>
              <w:rPr>
                <w:sz w:val="20"/>
                <w:szCs w:val="20"/>
                <w:color w:val="auto"/>
              </w:rPr>
            </w:pPr>
            <w:r>
              <w:rPr>
                <w:rFonts w:ascii="Arial" w:cs="Arial" w:eastAsia="Arial" w:hAnsi="Arial"/>
                <w:sz w:val="14"/>
                <w:szCs w:val="14"/>
                <w:color w:val="auto"/>
              </w:rPr>
              <w:t>69</w:t>
            </w:r>
          </w:p>
        </w:tc>
        <w:tc>
          <w:tcPr>
            <w:tcW w:w="640" w:type="dxa"/>
            <w:vAlign w:val="bottom"/>
            <w:gridSpan w:val="2"/>
            <w:shd w:val="clear" w:color="auto" w:fill="E5F1F8"/>
          </w:tcPr>
          <w:p>
            <w:pPr>
              <w:ind w:left="140"/>
              <w:spacing w:after="0"/>
              <w:rPr>
                <w:sz w:val="20"/>
                <w:szCs w:val="20"/>
                <w:color w:val="auto"/>
              </w:rPr>
            </w:pPr>
            <w:r>
              <w:rPr>
                <w:rFonts w:ascii="Arial" w:cs="Arial" w:eastAsia="Arial" w:hAnsi="Arial"/>
                <w:sz w:val="14"/>
                <w:szCs w:val="14"/>
                <w:color w:val="auto"/>
              </w:rPr>
              <w:t>57</w:t>
            </w:r>
          </w:p>
        </w:tc>
        <w:tc>
          <w:tcPr>
            <w:tcW w:w="400" w:type="dxa"/>
            <w:vAlign w:val="bottom"/>
            <w:shd w:val="clear" w:color="auto" w:fill="E5F1F8"/>
          </w:tcPr>
          <w:p>
            <w:pPr>
              <w:jc w:val="center"/>
              <w:ind w:right="89"/>
              <w:spacing w:after="0"/>
              <w:rPr>
                <w:sz w:val="20"/>
                <w:szCs w:val="20"/>
                <w:color w:val="auto"/>
              </w:rPr>
            </w:pPr>
            <w:r>
              <w:rPr>
                <w:rFonts w:ascii="Arial" w:cs="Arial" w:eastAsia="Arial" w:hAnsi="Arial"/>
                <w:sz w:val="14"/>
                <w:szCs w:val="14"/>
                <w:color w:val="auto"/>
              </w:rPr>
              <w:t>66</w:t>
            </w:r>
          </w:p>
        </w:tc>
        <w:tc>
          <w:tcPr>
            <w:tcW w:w="460" w:type="dxa"/>
            <w:vAlign w:val="bottom"/>
            <w:gridSpan w:val="2"/>
            <w:shd w:val="clear" w:color="auto" w:fill="E5F1F8"/>
          </w:tcPr>
          <w:p>
            <w:pPr>
              <w:jc w:val="center"/>
              <w:spacing w:after="0"/>
              <w:rPr>
                <w:sz w:val="20"/>
                <w:szCs w:val="20"/>
                <w:color w:val="auto"/>
              </w:rPr>
            </w:pPr>
            <w:r>
              <w:rPr>
                <w:rFonts w:ascii="Arial" w:cs="Arial" w:eastAsia="Arial" w:hAnsi="Arial"/>
                <w:sz w:val="14"/>
                <w:szCs w:val="14"/>
                <w:color w:val="auto"/>
              </w:rPr>
              <w:t>60</w:t>
            </w:r>
          </w:p>
        </w:tc>
        <w:tc>
          <w:tcPr>
            <w:tcW w:w="520" w:type="dxa"/>
            <w:vAlign w:val="bottom"/>
            <w:shd w:val="clear" w:color="auto" w:fill="E5F1F8"/>
          </w:tcPr>
          <w:p>
            <w:pPr>
              <w:jc w:val="center"/>
              <w:ind w:left="169"/>
              <w:spacing w:after="0"/>
              <w:rPr>
                <w:sz w:val="20"/>
                <w:szCs w:val="20"/>
                <w:color w:val="auto"/>
              </w:rPr>
            </w:pPr>
            <w:r>
              <w:rPr>
                <w:rFonts w:ascii="Arial" w:cs="Arial" w:eastAsia="Arial" w:hAnsi="Arial"/>
                <w:sz w:val="14"/>
                <w:szCs w:val="14"/>
                <w:color w:val="auto"/>
              </w:rPr>
              <w:t>71</w:t>
            </w:r>
          </w:p>
        </w:tc>
        <w:tc>
          <w:tcPr>
            <w:tcW w:w="5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58</w:t>
            </w:r>
          </w:p>
        </w:tc>
        <w:tc>
          <w:tcPr>
            <w:tcW w:w="260" w:type="dxa"/>
            <w:vAlign w:val="bottom"/>
            <w:shd w:val="clear" w:color="auto" w:fill="E5F1F8"/>
          </w:tcPr>
          <w:p>
            <w:pPr>
              <w:spacing w:after="0"/>
              <w:rPr>
                <w:sz w:val="18"/>
                <w:szCs w:val="18"/>
                <w:color w:val="auto"/>
              </w:rPr>
            </w:pPr>
          </w:p>
        </w:tc>
        <w:tc>
          <w:tcPr>
            <w:tcW w:w="620" w:type="dxa"/>
            <w:vAlign w:val="bottom"/>
            <w:shd w:val="clear" w:color="auto" w:fill="E5F1F8"/>
          </w:tcPr>
          <w:p>
            <w:pPr>
              <w:jc w:val="right"/>
              <w:ind w:right="20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335"/>
        </w:trPr>
        <w:tc>
          <w:tcPr>
            <w:tcW w:w="1400" w:type="dxa"/>
            <w:vAlign w:val="bottom"/>
          </w:tcPr>
          <w:p>
            <w:pPr>
              <w:ind w:left="80"/>
              <w:spacing w:after="0"/>
              <w:rPr>
                <w:sz w:val="20"/>
                <w:szCs w:val="20"/>
                <w:color w:val="auto"/>
              </w:rPr>
            </w:pPr>
            <w:r>
              <w:rPr>
                <w:rFonts w:ascii="Arial" w:cs="Arial" w:eastAsia="Arial" w:hAnsi="Arial"/>
                <w:sz w:val="14"/>
                <w:szCs w:val="14"/>
                <w:color w:val="auto"/>
              </w:rPr>
              <w:t>Gender</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F</w:t>
            </w:r>
          </w:p>
        </w:tc>
        <w:tc>
          <w:tcPr>
            <w:tcW w:w="560" w:type="dxa"/>
            <w:vAlign w:val="bottom"/>
          </w:tcPr>
          <w:p>
            <w:pPr>
              <w:ind w:left="220"/>
              <w:spacing w:after="0"/>
              <w:rPr>
                <w:sz w:val="20"/>
                <w:szCs w:val="20"/>
                <w:color w:val="auto"/>
              </w:rPr>
            </w:pPr>
            <w:r>
              <w:rPr>
                <w:rFonts w:ascii="Arial" w:cs="Arial" w:eastAsia="Arial" w:hAnsi="Arial"/>
                <w:sz w:val="14"/>
                <w:szCs w:val="14"/>
                <w:color w:val="auto"/>
              </w:rPr>
              <w:t>F</w:t>
            </w:r>
          </w:p>
        </w:tc>
        <w:tc>
          <w:tcPr>
            <w:tcW w:w="600" w:type="dxa"/>
            <w:vAlign w:val="bottom"/>
          </w:tcPr>
          <w:p>
            <w:pPr>
              <w:jc w:val="right"/>
              <w:ind w:right="209"/>
              <w:spacing w:after="0"/>
              <w:rPr>
                <w:sz w:val="20"/>
                <w:szCs w:val="20"/>
                <w:color w:val="auto"/>
              </w:rPr>
            </w:pPr>
            <w:r>
              <w:rPr>
                <w:rFonts w:ascii="Arial" w:cs="Arial" w:eastAsia="Arial" w:hAnsi="Arial"/>
                <w:sz w:val="14"/>
                <w:szCs w:val="14"/>
                <w:color w:val="auto"/>
              </w:rPr>
              <w:t>M</w:t>
            </w:r>
          </w:p>
        </w:tc>
        <w:tc>
          <w:tcPr>
            <w:tcW w:w="660" w:type="dxa"/>
            <w:vAlign w:val="bottom"/>
          </w:tcPr>
          <w:p>
            <w:pPr>
              <w:ind w:left="220"/>
              <w:spacing w:after="0"/>
              <w:rPr>
                <w:sz w:val="20"/>
                <w:szCs w:val="20"/>
                <w:color w:val="auto"/>
              </w:rPr>
            </w:pPr>
            <w:r>
              <w:rPr>
                <w:rFonts w:ascii="Arial" w:cs="Arial" w:eastAsia="Arial" w:hAnsi="Arial"/>
                <w:sz w:val="14"/>
                <w:szCs w:val="14"/>
                <w:color w:val="auto"/>
              </w:rPr>
              <w:t>M</w:t>
            </w: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M</w:t>
            </w:r>
          </w:p>
        </w:tc>
        <w:tc>
          <w:tcPr>
            <w:tcW w:w="400" w:type="dxa"/>
            <w:vAlign w:val="bottom"/>
          </w:tcPr>
          <w:p>
            <w:pPr>
              <w:ind w:left="80"/>
              <w:spacing w:after="0"/>
              <w:rPr>
                <w:sz w:val="20"/>
                <w:szCs w:val="20"/>
                <w:color w:val="auto"/>
              </w:rPr>
            </w:pPr>
            <w:r>
              <w:rPr>
                <w:rFonts w:ascii="Arial" w:cs="Arial" w:eastAsia="Arial" w:hAnsi="Arial"/>
                <w:sz w:val="14"/>
                <w:szCs w:val="14"/>
                <w:color w:val="auto"/>
              </w:rPr>
              <w:t>F</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M</w:t>
            </w:r>
          </w:p>
        </w:tc>
        <w:tc>
          <w:tcPr>
            <w:tcW w:w="520" w:type="dxa"/>
            <w:vAlign w:val="bottom"/>
          </w:tcPr>
          <w:p>
            <w:pPr>
              <w:jc w:val="center"/>
              <w:ind w:left="169"/>
              <w:spacing w:after="0"/>
              <w:rPr>
                <w:sz w:val="20"/>
                <w:szCs w:val="20"/>
                <w:color w:val="auto"/>
              </w:rPr>
            </w:pPr>
            <w:r>
              <w:rPr>
                <w:rFonts w:ascii="Arial" w:cs="Arial" w:eastAsia="Arial" w:hAnsi="Arial"/>
                <w:sz w:val="14"/>
                <w:szCs w:val="14"/>
                <w:color w:val="auto"/>
              </w:rPr>
              <w:t>M</w:t>
            </w:r>
          </w:p>
        </w:tc>
        <w:tc>
          <w:tcPr>
            <w:tcW w:w="560" w:type="dxa"/>
            <w:vAlign w:val="bottom"/>
          </w:tcPr>
          <w:p>
            <w:pPr>
              <w:jc w:val="right"/>
              <w:spacing w:after="0"/>
              <w:rPr>
                <w:sz w:val="20"/>
                <w:szCs w:val="20"/>
                <w:color w:val="auto"/>
              </w:rPr>
            </w:pPr>
            <w:r>
              <w:rPr>
                <w:rFonts w:ascii="Arial" w:cs="Arial" w:eastAsia="Arial" w:hAnsi="Arial"/>
                <w:sz w:val="14"/>
                <w:szCs w:val="14"/>
                <w:color w:val="auto"/>
              </w:rPr>
              <w:t>M</w:t>
            </w:r>
          </w:p>
        </w:tc>
        <w:tc>
          <w:tcPr>
            <w:tcW w:w="260" w:type="dxa"/>
            <w:vAlign w:val="bottom"/>
          </w:tcPr>
          <w:p>
            <w:pPr>
              <w:spacing w:after="0"/>
              <w:rPr>
                <w:sz w:val="24"/>
                <w:szCs w:val="24"/>
                <w:color w:val="auto"/>
              </w:rPr>
            </w:pPr>
          </w:p>
        </w:tc>
        <w:tc>
          <w:tcPr>
            <w:tcW w:w="620" w:type="dxa"/>
            <w:vAlign w:val="bottom"/>
          </w:tcPr>
          <w:p>
            <w:pPr>
              <w:jc w:val="right"/>
              <w:ind w:right="229"/>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00" w:type="dxa"/>
            <w:vAlign w:val="bottom"/>
            <w:tcBorders>
              <w:bottom w:val="single" w:sz="8" w:color="E5F1F8"/>
            </w:tcBorders>
            <w:shd w:val="clear" w:color="auto" w:fill="E5F1F8"/>
          </w:tcPr>
          <w:p>
            <w:pPr>
              <w:ind w:left="80"/>
              <w:spacing w:after="0"/>
              <w:rPr>
                <w:sz w:val="20"/>
                <w:szCs w:val="20"/>
                <w:color w:val="auto"/>
              </w:rPr>
            </w:pPr>
            <w:r>
              <w:rPr>
                <w:rFonts w:ascii="Arial" w:cs="Arial" w:eastAsia="Arial" w:hAnsi="Arial"/>
                <w:sz w:val="14"/>
                <w:szCs w:val="14"/>
                <w:color w:val="auto"/>
              </w:rPr>
              <w:t>Ethnic Diversity</w:t>
            </w:r>
          </w:p>
        </w:tc>
        <w:tc>
          <w:tcPr>
            <w:tcW w:w="500" w:type="dxa"/>
            <w:vAlign w:val="bottom"/>
            <w:tcBorders>
              <w:bottom w:val="single" w:sz="8" w:color="E5F1F8"/>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520" w:type="dxa"/>
            <w:vAlign w:val="bottom"/>
            <w:tcBorders>
              <w:bottom w:val="single" w:sz="8" w:color="E5F1F8"/>
            </w:tcBorders>
            <w:shd w:val="clear" w:color="auto" w:fill="E5F1F8"/>
          </w:tcPr>
          <w:p>
            <w:pPr>
              <w:spacing w:after="0"/>
              <w:rPr>
                <w:sz w:val="19"/>
                <w:szCs w:val="19"/>
                <w:color w:val="auto"/>
              </w:rPr>
            </w:pPr>
          </w:p>
        </w:tc>
        <w:tc>
          <w:tcPr>
            <w:tcW w:w="50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tcBorders>
            <w:shd w:val="clear" w:color="auto" w:fill="E5F1F8"/>
          </w:tcPr>
          <w:p>
            <w:pPr>
              <w:spacing w:after="0"/>
              <w:rPr>
                <w:sz w:val="19"/>
                <w:szCs w:val="19"/>
                <w:color w:val="auto"/>
              </w:rPr>
            </w:pPr>
          </w:p>
        </w:tc>
        <w:tc>
          <w:tcPr>
            <w:tcW w:w="50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600" w:type="dxa"/>
            <w:vAlign w:val="bottom"/>
            <w:tcBorders>
              <w:bottom w:val="single" w:sz="8" w:color="E5F1F8"/>
              <w:right w:val="single" w:sz="8" w:color="E5F1F8"/>
            </w:tcBorders>
            <w:shd w:val="clear" w:color="auto" w:fill="E5F1F8"/>
          </w:tcPr>
          <w:p>
            <w:pPr>
              <w:jc w:val="center"/>
              <w:ind w:right="29"/>
              <w:spacing w:after="0"/>
              <w:rPr>
                <w:sz w:val="20"/>
                <w:szCs w:val="20"/>
                <w:color w:val="auto"/>
              </w:rPr>
            </w:pPr>
            <w:r>
              <w:rPr>
                <w:rFonts w:ascii="Arial" w:cs="Arial" w:eastAsia="Arial" w:hAnsi="Arial"/>
                <w:sz w:val="14"/>
                <w:szCs w:val="14"/>
                <w:color w:val="007CBA"/>
              </w:rPr>
              <w:t>•</w:t>
            </w:r>
          </w:p>
        </w:tc>
        <w:tc>
          <w:tcPr>
            <w:tcW w:w="66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400" w:type="dxa"/>
            <w:vAlign w:val="bottom"/>
            <w:tcBorders>
              <w:bottom w:val="single" w:sz="8" w:color="E5F1F8"/>
            </w:tcBorders>
            <w:shd w:val="clear" w:color="auto" w:fill="E5F1F8"/>
          </w:tcPr>
          <w:p>
            <w:pPr>
              <w:jc w:val="center"/>
              <w:ind w:right="89"/>
              <w:spacing w:after="0"/>
              <w:rPr>
                <w:sz w:val="20"/>
                <w:szCs w:val="20"/>
                <w:color w:val="auto"/>
              </w:rPr>
            </w:pPr>
            <w:r>
              <w:rPr>
                <w:rFonts w:ascii="Arial" w:cs="Arial" w:eastAsia="Arial" w:hAnsi="Arial"/>
                <w:sz w:val="14"/>
                <w:szCs w:val="14"/>
                <w:color w:val="007CBA"/>
                <w:w w:val="80"/>
              </w:rPr>
              <w:t>•</w:t>
            </w:r>
          </w:p>
        </w:tc>
        <w:tc>
          <w:tcPr>
            <w:tcW w:w="240" w:type="dxa"/>
            <w:vAlign w:val="bottom"/>
            <w:tcBorders>
              <w:bottom w:val="single" w:sz="8" w:color="E5F1F8"/>
            </w:tcBorders>
            <w:shd w:val="clear" w:color="auto" w:fill="E5F1F8"/>
          </w:tcPr>
          <w:p>
            <w:pPr>
              <w:spacing w:after="0"/>
              <w:rPr>
                <w:sz w:val="19"/>
                <w:szCs w:val="19"/>
                <w:color w:val="auto"/>
              </w:rPr>
            </w:pPr>
          </w:p>
        </w:tc>
        <w:tc>
          <w:tcPr>
            <w:tcW w:w="220" w:type="dxa"/>
            <w:vAlign w:val="bottom"/>
            <w:tcBorders>
              <w:bottom w:val="single" w:sz="8" w:color="E5F1F8"/>
            </w:tcBorders>
            <w:shd w:val="clear" w:color="auto" w:fill="E5F1F8"/>
          </w:tcPr>
          <w:p>
            <w:pPr>
              <w:spacing w:after="0"/>
              <w:rPr>
                <w:sz w:val="19"/>
                <w:szCs w:val="19"/>
                <w:color w:val="auto"/>
              </w:rPr>
            </w:pPr>
          </w:p>
        </w:tc>
        <w:tc>
          <w:tcPr>
            <w:tcW w:w="52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62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400" w:type="dxa"/>
            <w:vAlign w:val="bottom"/>
          </w:tcPr>
          <w:p>
            <w:pPr>
              <w:ind w:left="80"/>
              <w:spacing w:after="0"/>
              <w:rPr>
                <w:sz w:val="20"/>
                <w:szCs w:val="20"/>
                <w:color w:val="auto"/>
              </w:rPr>
            </w:pPr>
            <w:r>
              <w:rPr>
                <w:rFonts w:ascii="Arial" w:cs="Arial" w:eastAsia="Arial" w:hAnsi="Arial"/>
                <w:sz w:val="14"/>
                <w:szCs w:val="14"/>
                <w:color w:val="auto"/>
              </w:rPr>
              <w:t>Tenure</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560" w:type="dxa"/>
            <w:vAlign w:val="bottom"/>
          </w:tcPr>
          <w:p>
            <w:pPr>
              <w:ind w:left="200"/>
              <w:spacing w:after="0"/>
              <w:rPr>
                <w:sz w:val="20"/>
                <w:szCs w:val="20"/>
                <w:color w:val="auto"/>
              </w:rPr>
            </w:pPr>
            <w:r>
              <w:rPr>
                <w:rFonts w:ascii="Arial" w:cs="Arial" w:eastAsia="Arial" w:hAnsi="Arial"/>
                <w:sz w:val="14"/>
                <w:szCs w:val="14"/>
                <w:color w:val="auto"/>
              </w:rPr>
              <w:t>18</w:t>
            </w:r>
          </w:p>
        </w:tc>
        <w:tc>
          <w:tcPr>
            <w:tcW w:w="600" w:type="dxa"/>
            <w:vAlign w:val="bottom"/>
          </w:tcPr>
          <w:p>
            <w:pPr>
              <w:jc w:val="right"/>
              <w:ind w:right="229"/>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269"/>
              <w:spacing w:after="0"/>
              <w:rPr>
                <w:sz w:val="20"/>
                <w:szCs w:val="20"/>
                <w:color w:val="auto"/>
              </w:rPr>
            </w:pPr>
            <w:r>
              <w:rPr>
                <w:rFonts w:ascii="Arial" w:cs="Arial" w:eastAsia="Arial" w:hAnsi="Arial"/>
                <w:sz w:val="14"/>
                <w:szCs w:val="14"/>
                <w:color w:val="auto"/>
              </w:rPr>
              <w:t>4</w:t>
            </w:r>
          </w:p>
        </w:tc>
        <w:tc>
          <w:tcPr>
            <w:tcW w:w="640" w:type="dxa"/>
            <w:vAlign w:val="bottom"/>
            <w:gridSpan w:val="2"/>
          </w:tcPr>
          <w:p>
            <w:pPr>
              <w:ind w:left="140"/>
              <w:spacing w:after="0"/>
              <w:rPr>
                <w:sz w:val="20"/>
                <w:szCs w:val="20"/>
                <w:color w:val="auto"/>
              </w:rPr>
            </w:pPr>
            <w:r>
              <w:rPr>
                <w:rFonts w:ascii="Arial" w:cs="Arial" w:eastAsia="Arial" w:hAnsi="Arial"/>
                <w:sz w:val="14"/>
                <w:szCs w:val="14"/>
                <w:color w:val="auto"/>
              </w:rPr>
              <w:t>10</w:t>
            </w:r>
          </w:p>
        </w:tc>
        <w:tc>
          <w:tcPr>
            <w:tcW w:w="400" w:type="dxa"/>
            <w:vAlign w:val="bottom"/>
          </w:tcPr>
          <w:p>
            <w:pPr>
              <w:jc w:val="center"/>
              <w:ind w:right="89"/>
              <w:spacing w:after="0"/>
              <w:rPr>
                <w:sz w:val="20"/>
                <w:szCs w:val="20"/>
                <w:color w:val="auto"/>
              </w:rPr>
            </w:pPr>
            <w:r>
              <w:rPr>
                <w:rFonts w:ascii="Arial" w:cs="Arial" w:eastAsia="Arial" w:hAnsi="Arial"/>
                <w:sz w:val="14"/>
                <w:szCs w:val="14"/>
                <w:color w:val="auto"/>
              </w:rPr>
              <w:t>16</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&lt;1</w:t>
            </w:r>
          </w:p>
        </w:tc>
        <w:tc>
          <w:tcPr>
            <w:tcW w:w="520" w:type="dxa"/>
            <w:vAlign w:val="bottom"/>
          </w:tcPr>
          <w:p>
            <w:pPr>
              <w:jc w:val="center"/>
              <w:ind w:left="169"/>
              <w:spacing w:after="0"/>
              <w:rPr>
                <w:sz w:val="20"/>
                <w:szCs w:val="20"/>
                <w:color w:val="auto"/>
              </w:rPr>
            </w:pPr>
            <w:r>
              <w:rPr>
                <w:rFonts w:ascii="Arial" w:cs="Arial" w:eastAsia="Arial" w:hAnsi="Arial"/>
                <w:sz w:val="14"/>
                <w:szCs w:val="14"/>
                <w:color w:val="auto"/>
              </w:rPr>
              <w:t>12</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23"/>
                <w:szCs w:val="23"/>
                <w:color w:val="auto"/>
              </w:rPr>
            </w:pPr>
          </w:p>
        </w:tc>
        <w:tc>
          <w:tcPr>
            <w:tcW w:w="620" w:type="dxa"/>
            <w:vAlign w:val="bottom"/>
          </w:tcPr>
          <w:p>
            <w:pPr>
              <w:jc w:val="right"/>
              <w:ind w:right="209"/>
              <w:spacing w:after="0"/>
              <w:rPr>
                <w:sz w:val="20"/>
                <w:szCs w:val="20"/>
                <w:color w:val="auto"/>
              </w:rPr>
            </w:pPr>
            <w:r>
              <w:rPr>
                <w:rFonts w:ascii="Arial" w:cs="Arial" w:eastAsia="Arial" w:hAnsi="Arial"/>
                <w:sz w:val="14"/>
                <w:szCs w:val="14"/>
                <w:color w:val="auto"/>
              </w:rPr>
              <w:t>&lt;1</w:t>
            </w:r>
          </w:p>
        </w:tc>
        <w:tc>
          <w:tcPr>
            <w:tcW w:w="0" w:type="dxa"/>
            <w:vAlign w:val="bottom"/>
          </w:tcPr>
          <w:p>
            <w:pPr>
              <w:spacing w:after="0"/>
              <w:rPr>
                <w:sz w:val="1"/>
                <w:szCs w:val="1"/>
                <w:color w:val="auto"/>
              </w:rPr>
            </w:pPr>
          </w:p>
        </w:tc>
      </w:tr>
      <w:tr>
        <w:trPr>
          <w:trHeight w:val="25"/>
        </w:trPr>
        <w:tc>
          <w:tcPr>
            <w:tcW w:w="1400" w:type="dxa"/>
            <w:vAlign w:val="bottom"/>
            <w:tcBorders>
              <w:bottom w:val="single" w:sz="8" w:color="007CBA"/>
            </w:tcBorders>
          </w:tcPr>
          <w:p>
            <w:pPr>
              <w:spacing w:after="0"/>
              <w:rPr>
                <w:sz w:val="2"/>
                <w:szCs w:val="2"/>
                <w:color w:val="auto"/>
              </w:rPr>
            </w:pPr>
          </w:p>
        </w:tc>
        <w:tc>
          <w:tcPr>
            <w:tcW w:w="500" w:type="dxa"/>
            <w:vAlign w:val="bottom"/>
            <w:tcBorders>
              <w:bottom w:val="single" w:sz="8" w:color="007CBA"/>
            </w:tcBorders>
          </w:tcPr>
          <w:p>
            <w:pPr>
              <w:spacing w:after="0"/>
              <w:rPr>
                <w:sz w:val="2"/>
                <w:szCs w:val="2"/>
                <w:color w:val="auto"/>
              </w:rPr>
            </w:pPr>
          </w:p>
        </w:tc>
        <w:tc>
          <w:tcPr>
            <w:tcW w:w="480" w:type="dxa"/>
            <w:vAlign w:val="bottom"/>
            <w:tcBorders>
              <w:bottom w:val="single" w:sz="8" w:color="007CBA"/>
            </w:tcBorders>
          </w:tcPr>
          <w:p>
            <w:pPr>
              <w:spacing w:after="0"/>
              <w:rPr>
                <w:sz w:val="2"/>
                <w:szCs w:val="2"/>
                <w:color w:val="auto"/>
              </w:rPr>
            </w:pPr>
          </w:p>
        </w:tc>
        <w:tc>
          <w:tcPr>
            <w:tcW w:w="560" w:type="dxa"/>
            <w:vAlign w:val="bottom"/>
            <w:tcBorders>
              <w:bottom w:val="single" w:sz="8" w:color="007CBA"/>
            </w:tcBorders>
          </w:tcPr>
          <w:p>
            <w:pPr>
              <w:spacing w:after="0"/>
              <w:rPr>
                <w:sz w:val="2"/>
                <w:szCs w:val="2"/>
                <w:color w:val="auto"/>
              </w:rPr>
            </w:pPr>
          </w:p>
        </w:tc>
        <w:tc>
          <w:tcPr>
            <w:tcW w:w="580" w:type="dxa"/>
            <w:vAlign w:val="bottom"/>
            <w:tcBorders>
              <w:bottom w:val="single" w:sz="8" w:color="007CBA"/>
            </w:tcBorders>
          </w:tcPr>
          <w:p>
            <w:pPr>
              <w:spacing w:after="0"/>
              <w:rPr>
                <w:sz w:val="2"/>
                <w:szCs w:val="2"/>
                <w:color w:val="auto"/>
              </w:rPr>
            </w:pPr>
          </w:p>
        </w:tc>
        <w:tc>
          <w:tcPr>
            <w:tcW w:w="520" w:type="dxa"/>
            <w:vAlign w:val="bottom"/>
            <w:tcBorders>
              <w:bottom w:val="single" w:sz="8" w:color="007CBA"/>
            </w:tcBorders>
          </w:tcPr>
          <w:p>
            <w:pPr>
              <w:spacing w:after="0"/>
              <w:rPr>
                <w:sz w:val="2"/>
                <w:szCs w:val="2"/>
                <w:color w:val="auto"/>
              </w:rPr>
            </w:pPr>
          </w:p>
        </w:tc>
        <w:tc>
          <w:tcPr>
            <w:tcW w:w="500" w:type="dxa"/>
            <w:vAlign w:val="bottom"/>
            <w:tcBorders>
              <w:bottom w:val="single" w:sz="8" w:color="007CBA"/>
            </w:tcBorders>
          </w:tcPr>
          <w:p>
            <w:pPr>
              <w:spacing w:after="0"/>
              <w:rPr>
                <w:sz w:val="2"/>
                <w:szCs w:val="2"/>
                <w:color w:val="auto"/>
              </w:rPr>
            </w:pPr>
          </w:p>
        </w:tc>
        <w:tc>
          <w:tcPr>
            <w:tcW w:w="540" w:type="dxa"/>
            <w:vAlign w:val="bottom"/>
            <w:tcBorders>
              <w:bottom w:val="single" w:sz="8" w:color="007CBA"/>
            </w:tcBorders>
          </w:tcPr>
          <w:p>
            <w:pPr>
              <w:spacing w:after="0"/>
              <w:rPr>
                <w:sz w:val="2"/>
                <w:szCs w:val="2"/>
                <w:color w:val="auto"/>
              </w:rPr>
            </w:pPr>
          </w:p>
        </w:tc>
        <w:tc>
          <w:tcPr>
            <w:tcW w:w="500" w:type="dxa"/>
            <w:vAlign w:val="bottom"/>
            <w:tcBorders>
              <w:bottom w:val="single" w:sz="8" w:color="007CBA"/>
            </w:tcBorders>
          </w:tcPr>
          <w:p>
            <w:pPr>
              <w:spacing w:after="0"/>
              <w:rPr>
                <w:sz w:val="2"/>
                <w:szCs w:val="2"/>
                <w:color w:val="auto"/>
              </w:rPr>
            </w:pPr>
          </w:p>
        </w:tc>
        <w:tc>
          <w:tcPr>
            <w:tcW w:w="560" w:type="dxa"/>
            <w:vAlign w:val="bottom"/>
            <w:tcBorders>
              <w:bottom w:val="single" w:sz="8" w:color="007CBA"/>
            </w:tcBorders>
          </w:tcPr>
          <w:p>
            <w:pPr>
              <w:spacing w:after="0"/>
              <w:rPr>
                <w:sz w:val="2"/>
                <w:szCs w:val="2"/>
                <w:color w:val="auto"/>
              </w:rPr>
            </w:pPr>
          </w:p>
        </w:tc>
        <w:tc>
          <w:tcPr>
            <w:tcW w:w="600" w:type="dxa"/>
            <w:vAlign w:val="bottom"/>
            <w:tcBorders>
              <w:bottom w:val="single" w:sz="8" w:color="007CBA"/>
            </w:tcBorders>
          </w:tcPr>
          <w:p>
            <w:pPr>
              <w:spacing w:after="0"/>
              <w:rPr>
                <w:sz w:val="2"/>
                <w:szCs w:val="2"/>
                <w:color w:val="auto"/>
              </w:rPr>
            </w:pPr>
          </w:p>
        </w:tc>
        <w:tc>
          <w:tcPr>
            <w:tcW w:w="660" w:type="dxa"/>
            <w:vAlign w:val="bottom"/>
            <w:tcBorders>
              <w:bottom w:val="single" w:sz="8" w:color="007CBA"/>
            </w:tcBorders>
          </w:tcPr>
          <w:p>
            <w:pPr>
              <w:spacing w:after="0"/>
              <w:rPr>
                <w:sz w:val="2"/>
                <w:szCs w:val="2"/>
                <w:color w:val="auto"/>
              </w:rPr>
            </w:pPr>
          </w:p>
        </w:tc>
        <w:tc>
          <w:tcPr>
            <w:tcW w:w="260" w:type="dxa"/>
            <w:vAlign w:val="bottom"/>
            <w:tcBorders>
              <w:bottom w:val="single" w:sz="8" w:color="007CBA"/>
            </w:tcBorders>
          </w:tcPr>
          <w:p>
            <w:pPr>
              <w:spacing w:after="0"/>
              <w:rPr>
                <w:sz w:val="2"/>
                <w:szCs w:val="2"/>
                <w:color w:val="auto"/>
              </w:rPr>
            </w:pPr>
          </w:p>
        </w:tc>
        <w:tc>
          <w:tcPr>
            <w:tcW w:w="380" w:type="dxa"/>
            <w:vAlign w:val="bottom"/>
            <w:tcBorders>
              <w:bottom w:val="single" w:sz="8" w:color="007CBA"/>
            </w:tcBorders>
          </w:tcPr>
          <w:p>
            <w:pPr>
              <w:spacing w:after="0"/>
              <w:rPr>
                <w:sz w:val="2"/>
                <w:szCs w:val="2"/>
                <w:color w:val="auto"/>
              </w:rPr>
            </w:pPr>
          </w:p>
        </w:tc>
        <w:tc>
          <w:tcPr>
            <w:tcW w:w="400" w:type="dxa"/>
            <w:vAlign w:val="bottom"/>
            <w:tcBorders>
              <w:bottom w:val="single" w:sz="8" w:color="007CBA"/>
            </w:tcBorders>
          </w:tcPr>
          <w:p>
            <w:pPr>
              <w:spacing w:after="0"/>
              <w:rPr>
                <w:sz w:val="2"/>
                <w:szCs w:val="2"/>
                <w:color w:val="auto"/>
              </w:rPr>
            </w:pPr>
          </w:p>
        </w:tc>
        <w:tc>
          <w:tcPr>
            <w:tcW w:w="240" w:type="dxa"/>
            <w:vAlign w:val="bottom"/>
            <w:tcBorders>
              <w:bottom w:val="single" w:sz="8" w:color="007CBA"/>
            </w:tcBorders>
          </w:tcPr>
          <w:p>
            <w:pPr>
              <w:spacing w:after="0"/>
              <w:rPr>
                <w:sz w:val="2"/>
                <w:szCs w:val="2"/>
                <w:color w:val="auto"/>
              </w:rPr>
            </w:pPr>
          </w:p>
        </w:tc>
        <w:tc>
          <w:tcPr>
            <w:tcW w:w="220" w:type="dxa"/>
            <w:vAlign w:val="bottom"/>
            <w:tcBorders>
              <w:bottom w:val="single" w:sz="8" w:color="007CBA"/>
            </w:tcBorders>
          </w:tcPr>
          <w:p>
            <w:pPr>
              <w:spacing w:after="0"/>
              <w:rPr>
                <w:sz w:val="2"/>
                <w:szCs w:val="2"/>
                <w:color w:val="auto"/>
              </w:rPr>
            </w:pPr>
          </w:p>
        </w:tc>
        <w:tc>
          <w:tcPr>
            <w:tcW w:w="520" w:type="dxa"/>
            <w:vAlign w:val="bottom"/>
            <w:tcBorders>
              <w:bottom w:val="single" w:sz="8" w:color="007CBA"/>
            </w:tcBorders>
          </w:tcPr>
          <w:p>
            <w:pPr>
              <w:spacing w:after="0"/>
              <w:rPr>
                <w:sz w:val="2"/>
                <w:szCs w:val="2"/>
                <w:color w:val="auto"/>
              </w:rPr>
            </w:pPr>
          </w:p>
        </w:tc>
        <w:tc>
          <w:tcPr>
            <w:tcW w:w="560" w:type="dxa"/>
            <w:vAlign w:val="bottom"/>
            <w:tcBorders>
              <w:bottom w:val="single" w:sz="8" w:color="007CBA"/>
            </w:tcBorders>
          </w:tcPr>
          <w:p>
            <w:pPr>
              <w:spacing w:after="0"/>
              <w:rPr>
                <w:sz w:val="2"/>
                <w:szCs w:val="2"/>
                <w:color w:val="auto"/>
              </w:rPr>
            </w:pPr>
          </w:p>
        </w:tc>
        <w:tc>
          <w:tcPr>
            <w:tcW w:w="260" w:type="dxa"/>
            <w:vAlign w:val="bottom"/>
            <w:tcBorders>
              <w:bottom w:val="single" w:sz="8" w:color="007CBA"/>
            </w:tcBorders>
          </w:tcPr>
          <w:p>
            <w:pPr>
              <w:spacing w:after="0"/>
              <w:rPr>
                <w:sz w:val="2"/>
                <w:szCs w:val="2"/>
                <w:color w:val="auto"/>
              </w:rPr>
            </w:pPr>
          </w:p>
        </w:tc>
        <w:tc>
          <w:tcPr>
            <w:tcW w:w="620" w:type="dxa"/>
            <w:vAlign w:val="bottom"/>
            <w:tcBorders>
              <w:bottom w:val="single" w:sz="8" w:color="007CBA"/>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6"/>
        </w:trPr>
        <w:tc>
          <w:tcPr>
            <w:tcW w:w="1400" w:type="dxa"/>
            <w:vAlign w:val="bottom"/>
            <w:shd w:val="clear" w:color="auto" w:fill="007CBA"/>
          </w:tcPr>
          <w:p>
            <w:pPr>
              <w:ind w:left="80"/>
              <w:spacing w:after="0"/>
              <w:rPr>
                <w:sz w:val="20"/>
                <w:szCs w:val="20"/>
                <w:color w:val="auto"/>
              </w:rPr>
            </w:pPr>
            <w:r>
              <w:rPr>
                <w:rFonts w:ascii="Arial" w:cs="Arial" w:eastAsia="Arial" w:hAnsi="Arial"/>
                <w:sz w:val="14"/>
                <w:szCs w:val="14"/>
                <w:b w:val="1"/>
                <w:bCs w:val="1"/>
                <w:color w:val="FFFFFF"/>
              </w:rPr>
              <w:t>Qualifications</w:t>
            </w:r>
          </w:p>
        </w:tc>
        <w:tc>
          <w:tcPr>
            <w:tcW w:w="500" w:type="dxa"/>
            <w:vAlign w:val="bottom"/>
            <w:shd w:val="clear" w:color="auto" w:fill="007CBA"/>
          </w:tcPr>
          <w:p>
            <w:pPr>
              <w:spacing w:after="0"/>
              <w:rPr>
                <w:sz w:val="24"/>
                <w:szCs w:val="24"/>
                <w:color w:val="auto"/>
              </w:rPr>
            </w:pPr>
          </w:p>
        </w:tc>
        <w:tc>
          <w:tcPr>
            <w:tcW w:w="480" w:type="dxa"/>
            <w:vAlign w:val="bottom"/>
            <w:shd w:val="clear" w:color="auto" w:fill="007CBA"/>
          </w:tcPr>
          <w:p>
            <w:pPr>
              <w:spacing w:after="0"/>
              <w:rPr>
                <w:sz w:val="24"/>
                <w:szCs w:val="24"/>
                <w:color w:val="auto"/>
              </w:rPr>
            </w:pPr>
          </w:p>
        </w:tc>
        <w:tc>
          <w:tcPr>
            <w:tcW w:w="560" w:type="dxa"/>
            <w:vAlign w:val="bottom"/>
            <w:shd w:val="clear" w:color="auto" w:fill="007CBA"/>
          </w:tcPr>
          <w:p>
            <w:pPr>
              <w:spacing w:after="0"/>
              <w:rPr>
                <w:sz w:val="24"/>
                <w:szCs w:val="24"/>
                <w:color w:val="auto"/>
              </w:rPr>
            </w:pPr>
          </w:p>
        </w:tc>
        <w:tc>
          <w:tcPr>
            <w:tcW w:w="580" w:type="dxa"/>
            <w:vAlign w:val="bottom"/>
            <w:shd w:val="clear" w:color="auto" w:fill="007CBA"/>
          </w:tcPr>
          <w:p>
            <w:pPr>
              <w:spacing w:after="0"/>
              <w:rPr>
                <w:sz w:val="24"/>
                <w:szCs w:val="24"/>
                <w:color w:val="auto"/>
              </w:rPr>
            </w:pPr>
          </w:p>
        </w:tc>
        <w:tc>
          <w:tcPr>
            <w:tcW w:w="520" w:type="dxa"/>
            <w:vAlign w:val="bottom"/>
            <w:shd w:val="clear" w:color="auto" w:fill="007CBA"/>
          </w:tcPr>
          <w:p>
            <w:pPr>
              <w:spacing w:after="0"/>
              <w:rPr>
                <w:sz w:val="24"/>
                <w:szCs w:val="24"/>
                <w:color w:val="auto"/>
              </w:rPr>
            </w:pPr>
          </w:p>
        </w:tc>
        <w:tc>
          <w:tcPr>
            <w:tcW w:w="500" w:type="dxa"/>
            <w:vAlign w:val="bottom"/>
            <w:shd w:val="clear" w:color="auto" w:fill="007CBA"/>
          </w:tcPr>
          <w:p>
            <w:pPr>
              <w:spacing w:after="0"/>
              <w:rPr>
                <w:sz w:val="24"/>
                <w:szCs w:val="24"/>
                <w:color w:val="auto"/>
              </w:rPr>
            </w:pPr>
          </w:p>
        </w:tc>
        <w:tc>
          <w:tcPr>
            <w:tcW w:w="540" w:type="dxa"/>
            <w:vAlign w:val="bottom"/>
            <w:shd w:val="clear" w:color="auto" w:fill="007CBA"/>
          </w:tcPr>
          <w:p>
            <w:pPr>
              <w:spacing w:after="0"/>
              <w:rPr>
                <w:sz w:val="24"/>
                <w:szCs w:val="24"/>
                <w:color w:val="auto"/>
              </w:rPr>
            </w:pPr>
          </w:p>
        </w:tc>
        <w:tc>
          <w:tcPr>
            <w:tcW w:w="500" w:type="dxa"/>
            <w:vAlign w:val="bottom"/>
            <w:shd w:val="clear" w:color="auto" w:fill="007CBA"/>
          </w:tcPr>
          <w:p>
            <w:pPr>
              <w:spacing w:after="0"/>
              <w:rPr>
                <w:sz w:val="24"/>
                <w:szCs w:val="24"/>
                <w:color w:val="auto"/>
              </w:rPr>
            </w:pPr>
          </w:p>
        </w:tc>
        <w:tc>
          <w:tcPr>
            <w:tcW w:w="560" w:type="dxa"/>
            <w:vAlign w:val="bottom"/>
            <w:shd w:val="clear" w:color="auto" w:fill="007CBA"/>
          </w:tcPr>
          <w:p>
            <w:pPr>
              <w:spacing w:after="0"/>
              <w:rPr>
                <w:sz w:val="24"/>
                <w:szCs w:val="24"/>
                <w:color w:val="auto"/>
              </w:rPr>
            </w:pPr>
          </w:p>
        </w:tc>
        <w:tc>
          <w:tcPr>
            <w:tcW w:w="600" w:type="dxa"/>
            <w:vAlign w:val="bottom"/>
            <w:tcBorders>
              <w:right w:val="single" w:sz="8" w:color="007CBA"/>
            </w:tcBorders>
            <w:shd w:val="clear" w:color="auto" w:fill="007CBA"/>
          </w:tcPr>
          <w:p>
            <w:pPr>
              <w:spacing w:after="0"/>
              <w:rPr>
                <w:sz w:val="24"/>
                <w:szCs w:val="24"/>
                <w:color w:val="auto"/>
              </w:rPr>
            </w:pPr>
          </w:p>
        </w:tc>
        <w:tc>
          <w:tcPr>
            <w:tcW w:w="3240" w:type="dxa"/>
            <w:vAlign w:val="bottom"/>
            <w:gridSpan w:val="8"/>
            <w:vMerge w:val="restart"/>
            <w:shd w:val="clear" w:color="auto" w:fill="007CBA"/>
          </w:tcPr>
          <w:p>
            <w:pPr>
              <w:ind w:left="60"/>
              <w:spacing w:after="0"/>
              <w:rPr>
                <w:sz w:val="20"/>
                <w:szCs w:val="20"/>
                <w:color w:val="auto"/>
              </w:rPr>
            </w:pPr>
            <w:r>
              <w:rPr>
                <w:rFonts w:ascii="Arial" w:cs="Arial" w:eastAsia="Arial" w:hAnsi="Arial"/>
                <w:sz w:val="14"/>
                <w:szCs w:val="14"/>
                <w:b w:val="1"/>
                <w:bCs w:val="1"/>
                <w:color w:val="FFFFFF"/>
              </w:rPr>
              <w:t>Why is this important to Martin Marietta?</w:t>
            </w:r>
          </w:p>
        </w:tc>
        <w:tc>
          <w:tcPr>
            <w:tcW w:w="260" w:type="dxa"/>
            <w:vAlign w:val="bottom"/>
            <w:shd w:val="clear" w:color="auto" w:fill="007CBA"/>
          </w:tcPr>
          <w:p>
            <w:pPr>
              <w:spacing w:after="0"/>
              <w:rPr>
                <w:sz w:val="24"/>
                <w:szCs w:val="24"/>
                <w:color w:val="auto"/>
              </w:rPr>
            </w:pPr>
          </w:p>
        </w:tc>
        <w:tc>
          <w:tcPr>
            <w:tcW w:w="620" w:type="dxa"/>
            <w:vAlign w:val="bottom"/>
            <w:shd w:val="clear" w:color="auto" w:fill="007CBA"/>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400" w:type="dxa"/>
            <w:vAlign w:val="bottom"/>
            <w:shd w:val="clear" w:color="auto" w:fill="007CBA"/>
          </w:tcPr>
          <w:p>
            <w:pPr>
              <w:ind w:left="80"/>
              <w:spacing w:after="0"/>
              <w:rPr>
                <w:sz w:val="20"/>
                <w:szCs w:val="20"/>
                <w:color w:val="auto"/>
              </w:rPr>
            </w:pPr>
            <w:r>
              <w:rPr>
                <w:rFonts w:ascii="Arial" w:cs="Arial" w:eastAsia="Arial" w:hAnsi="Arial"/>
                <w:sz w:val="14"/>
                <w:szCs w:val="14"/>
                <w:b w:val="1"/>
                <w:bCs w:val="1"/>
                <w:color w:val="FFFFFF"/>
              </w:rPr>
              <w:t>and Experience</w:t>
            </w:r>
          </w:p>
        </w:tc>
        <w:tc>
          <w:tcPr>
            <w:tcW w:w="500" w:type="dxa"/>
            <w:vAlign w:val="bottom"/>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560" w:type="dxa"/>
            <w:vAlign w:val="bottom"/>
            <w:shd w:val="clear" w:color="auto" w:fill="007CBA"/>
          </w:tcPr>
          <w:p>
            <w:pPr>
              <w:spacing w:after="0"/>
              <w:rPr>
                <w:sz w:val="17"/>
                <w:szCs w:val="17"/>
                <w:color w:val="auto"/>
              </w:rPr>
            </w:pPr>
          </w:p>
        </w:tc>
        <w:tc>
          <w:tcPr>
            <w:tcW w:w="580" w:type="dxa"/>
            <w:vAlign w:val="bottom"/>
            <w:shd w:val="clear" w:color="auto" w:fill="007CBA"/>
          </w:tcPr>
          <w:p>
            <w:pPr>
              <w:spacing w:after="0"/>
              <w:rPr>
                <w:sz w:val="17"/>
                <w:szCs w:val="17"/>
                <w:color w:val="auto"/>
              </w:rPr>
            </w:pPr>
          </w:p>
        </w:tc>
        <w:tc>
          <w:tcPr>
            <w:tcW w:w="520" w:type="dxa"/>
            <w:vAlign w:val="bottom"/>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540" w:type="dxa"/>
            <w:vAlign w:val="bottom"/>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560" w:type="dxa"/>
            <w:vAlign w:val="bottom"/>
            <w:shd w:val="clear" w:color="auto" w:fill="007CBA"/>
          </w:tcPr>
          <w:p>
            <w:pPr>
              <w:spacing w:after="0"/>
              <w:rPr>
                <w:sz w:val="17"/>
                <w:szCs w:val="17"/>
                <w:color w:val="auto"/>
              </w:rPr>
            </w:pPr>
          </w:p>
        </w:tc>
        <w:tc>
          <w:tcPr>
            <w:tcW w:w="600" w:type="dxa"/>
            <w:vAlign w:val="bottom"/>
            <w:tcBorders>
              <w:right w:val="single" w:sz="8" w:color="007CBA"/>
            </w:tcBorders>
            <w:shd w:val="clear" w:color="auto" w:fill="007CBA"/>
          </w:tcPr>
          <w:p>
            <w:pPr>
              <w:spacing w:after="0"/>
              <w:rPr>
                <w:sz w:val="17"/>
                <w:szCs w:val="17"/>
                <w:color w:val="auto"/>
              </w:rPr>
            </w:pPr>
          </w:p>
        </w:tc>
        <w:tc>
          <w:tcPr>
            <w:tcW w:w="3240" w:type="dxa"/>
            <w:vAlign w:val="bottom"/>
            <w:gridSpan w:val="8"/>
            <w:vMerge w:val="continue"/>
            <w:shd w:val="clear" w:color="auto" w:fill="007CBA"/>
          </w:tcPr>
          <w:p>
            <w:pPr>
              <w:spacing w:after="0"/>
              <w:rPr>
                <w:sz w:val="17"/>
                <w:szCs w:val="17"/>
                <w:color w:val="auto"/>
              </w:rPr>
            </w:pPr>
          </w:p>
        </w:tc>
        <w:tc>
          <w:tcPr>
            <w:tcW w:w="260" w:type="dxa"/>
            <w:vAlign w:val="bottom"/>
            <w:shd w:val="clear" w:color="auto" w:fill="007CBA"/>
          </w:tcPr>
          <w:p>
            <w:pPr>
              <w:spacing w:after="0"/>
              <w:rPr>
                <w:sz w:val="17"/>
                <w:szCs w:val="17"/>
                <w:color w:val="auto"/>
              </w:rPr>
            </w:pPr>
          </w:p>
        </w:tc>
        <w:tc>
          <w:tcPr>
            <w:tcW w:w="62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400" w:type="dxa"/>
            <w:vAlign w:val="bottom"/>
            <w:shd w:val="clear" w:color="auto" w:fill="E5F1F8"/>
          </w:tcPr>
          <w:p>
            <w:pPr>
              <w:ind w:left="80"/>
              <w:spacing w:after="0"/>
              <w:rPr>
                <w:sz w:val="20"/>
                <w:szCs w:val="20"/>
                <w:color w:val="auto"/>
              </w:rPr>
            </w:pPr>
            <w:r>
              <w:rPr>
                <w:rFonts w:ascii="Arial" w:cs="Arial" w:eastAsia="Arial" w:hAnsi="Arial"/>
                <w:sz w:val="14"/>
                <w:szCs w:val="14"/>
                <w:color w:val="auto"/>
              </w:rPr>
              <w:t>Corporate</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6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8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2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4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60" w:type="dxa"/>
            <w:vAlign w:val="bottom"/>
            <w:vMerge w:val="restart"/>
            <w:shd w:val="clear" w:color="auto" w:fill="E5F1F8"/>
          </w:tcPr>
          <w:p>
            <w:pPr>
              <w:ind w:left="320"/>
              <w:spacing w:after="0"/>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vMerge w:val="restart"/>
            <w:shd w:val="clear" w:color="auto" w:fill="E5F1F8"/>
          </w:tcPr>
          <w:p>
            <w:pPr>
              <w:jc w:val="right"/>
              <w:ind w:right="209"/>
              <w:spacing w:after="0"/>
              <w:rPr>
                <w:sz w:val="20"/>
                <w:szCs w:val="20"/>
                <w:color w:val="auto"/>
              </w:rPr>
            </w:pPr>
            <w:r>
              <w:rPr>
                <w:rFonts w:ascii="Arial" w:cs="Arial" w:eastAsia="Arial" w:hAnsi="Arial"/>
                <w:sz w:val="14"/>
                <w:szCs w:val="14"/>
                <w:color w:val="007CBA"/>
              </w:rPr>
              <w:t>•</w:t>
            </w:r>
          </w:p>
        </w:tc>
        <w:tc>
          <w:tcPr>
            <w:tcW w:w="4120" w:type="dxa"/>
            <w:vAlign w:val="bottom"/>
            <w:gridSpan w:val="10"/>
            <w:shd w:val="clear" w:color="auto" w:fill="E5F1F8"/>
          </w:tcPr>
          <w:p>
            <w:pPr>
              <w:ind w:left="60"/>
              <w:spacing w:after="0"/>
              <w:rPr>
                <w:sz w:val="20"/>
                <w:szCs w:val="20"/>
                <w:color w:val="auto"/>
              </w:rPr>
            </w:pPr>
            <w:r>
              <w:rPr>
                <w:rFonts w:ascii="Arial" w:cs="Arial" w:eastAsia="Arial" w:hAnsi="Arial"/>
                <w:sz w:val="14"/>
                <w:szCs w:val="14"/>
                <w:color w:val="auto"/>
              </w:rPr>
              <w:t>Ensures background and knowledge necessary to provide</w:t>
            </w:r>
          </w:p>
        </w:tc>
        <w:tc>
          <w:tcPr>
            <w:tcW w:w="0" w:type="dxa"/>
            <w:vAlign w:val="bottom"/>
          </w:tcPr>
          <w:p>
            <w:pPr>
              <w:spacing w:after="0"/>
              <w:rPr>
                <w:sz w:val="1"/>
                <w:szCs w:val="1"/>
                <w:color w:val="auto"/>
              </w:rPr>
            </w:pPr>
          </w:p>
        </w:tc>
      </w:tr>
      <w:tr>
        <w:trPr>
          <w:trHeight w:val="91"/>
        </w:trPr>
        <w:tc>
          <w:tcPr>
            <w:tcW w:w="140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Governance/Legal</w:t>
            </w:r>
          </w:p>
        </w:tc>
        <w:tc>
          <w:tcPr>
            <w:tcW w:w="50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60" w:type="dxa"/>
            <w:vAlign w:val="bottom"/>
            <w:vMerge w:val="continue"/>
            <w:shd w:val="clear" w:color="auto" w:fill="E5F1F8"/>
          </w:tcPr>
          <w:p>
            <w:pPr>
              <w:spacing w:after="0"/>
              <w:rPr>
                <w:sz w:val="7"/>
                <w:szCs w:val="7"/>
                <w:color w:val="auto"/>
              </w:rPr>
            </w:pPr>
          </w:p>
        </w:tc>
        <w:tc>
          <w:tcPr>
            <w:tcW w:w="580" w:type="dxa"/>
            <w:vAlign w:val="bottom"/>
            <w:vMerge w:val="continue"/>
            <w:shd w:val="clear" w:color="auto" w:fill="E5F1F8"/>
          </w:tcPr>
          <w:p>
            <w:pPr>
              <w:spacing w:after="0"/>
              <w:rPr>
                <w:sz w:val="7"/>
                <w:szCs w:val="7"/>
                <w:color w:val="auto"/>
              </w:rPr>
            </w:pPr>
          </w:p>
        </w:tc>
        <w:tc>
          <w:tcPr>
            <w:tcW w:w="52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54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560" w:type="dxa"/>
            <w:vAlign w:val="bottom"/>
            <w:vMerge w:val="continue"/>
            <w:shd w:val="clear" w:color="auto" w:fill="E5F1F8"/>
          </w:tcPr>
          <w:p>
            <w:pPr>
              <w:spacing w:after="0"/>
              <w:rPr>
                <w:sz w:val="7"/>
                <w:szCs w:val="7"/>
                <w:color w:val="auto"/>
              </w:rPr>
            </w:pPr>
          </w:p>
        </w:tc>
        <w:tc>
          <w:tcPr>
            <w:tcW w:w="600" w:type="dxa"/>
            <w:vAlign w:val="bottom"/>
            <w:tcBorders>
              <w:right w:val="single" w:sz="8" w:color="007CBA"/>
            </w:tcBorders>
            <w:vMerge w:val="continue"/>
            <w:shd w:val="clear" w:color="auto" w:fill="E5F1F8"/>
          </w:tcPr>
          <w:p>
            <w:pPr>
              <w:spacing w:after="0"/>
              <w:rPr>
                <w:sz w:val="7"/>
                <w:szCs w:val="7"/>
                <w:color w:val="auto"/>
              </w:rPr>
            </w:pPr>
          </w:p>
        </w:tc>
        <w:tc>
          <w:tcPr>
            <w:tcW w:w="2680" w:type="dxa"/>
            <w:vAlign w:val="bottom"/>
            <w:gridSpan w:val="7"/>
            <w:vMerge w:val="restart"/>
            <w:shd w:val="clear" w:color="auto" w:fill="E5F1F8"/>
          </w:tcPr>
          <w:p>
            <w:pPr>
              <w:ind w:left="60"/>
              <w:spacing w:after="0"/>
              <w:rPr>
                <w:sz w:val="20"/>
                <w:szCs w:val="20"/>
                <w:color w:val="auto"/>
              </w:rPr>
            </w:pPr>
            <w:r>
              <w:rPr>
                <w:rFonts w:ascii="Arial" w:cs="Arial" w:eastAsia="Arial" w:hAnsi="Arial"/>
                <w:sz w:val="14"/>
                <w:szCs w:val="14"/>
                <w:color w:val="auto"/>
              </w:rPr>
              <w:t>effective oversight and governance</w:t>
            </w:r>
          </w:p>
        </w:tc>
        <w:tc>
          <w:tcPr>
            <w:tcW w:w="560" w:type="dxa"/>
            <w:vAlign w:val="bottom"/>
            <w:shd w:val="clear" w:color="auto" w:fill="E5F1F8"/>
          </w:tcPr>
          <w:p>
            <w:pPr>
              <w:spacing w:after="0"/>
              <w:rPr>
                <w:sz w:val="7"/>
                <w:szCs w:val="7"/>
                <w:color w:val="auto"/>
              </w:rPr>
            </w:pPr>
          </w:p>
        </w:tc>
        <w:tc>
          <w:tcPr>
            <w:tcW w:w="260" w:type="dxa"/>
            <w:vAlign w:val="bottom"/>
            <w:shd w:val="clear" w:color="auto" w:fill="E5F1F8"/>
          </w:tcPr>
          <w:p>
            <w:pPr>
              <w:spacing w:after="0"/>
              <w:rPr>
                <w:sz w:val="7"/>
                <w:szCs w:val="7"/>
                <w:color w:val="auto"/>
              </w:rPr>
            </w:pPr>
          </w:p>
        </w:tc>
        <w:tc>
          <w:tcPr>
            <w:tcW w:w="62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E5F1F8"/>
            </w:tcBorders>
            <w:vMerge w:val="continue"/>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580" w:type="dxa"/>
            <w:vAlign w:val="bottom"/>
            <w:tcBorders>
              <w:bottom w:val="single" w:sz="8" w:color="E5F1F8"/>
            </w:tcBorders>
            <w:shd w:val="clear" w:color="auto" w:fill="E5F1F8"/>
          </w:tcPr>
          <w:p>
            <w:pPr>
              <w:spacing w:after="0"/>
              <w:rPr>
                <w:sz w:val="8"/>
                <w:szCs w:val="8"/>
                <w:color w:val="auto"/>
              </w:rPr>
            </w:pPr>
          </w:p>
        </w:tc>
        <w:tc>
          <w:tcPr>
            <w:tcW w:w="52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4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600" w:type="dxa"/>
            <w:vAlign w:val="bottom"/>
            <w:tcBorders>
              <w:bottom w:val="single" w:sz="8" w:color="E5F1F8"/>
              <w:right w:val="single" w:sz="8" w:color="007CBA"/>
            </w:tcBorders>
            <w:shd w:val="clear" w:color="auto" w:fill="E5F1F8"/>
          </w:tcPr>
          <w:p>
            <w:pPr>
              <w:spacing w:after="0"/>
              <w:rPr>
                <w:sz w:val="8"/>
                <w:szCs w:val="8"/>
                <w:color w:val="auto"/>
              </w:rPr>
            </w:pPr>
          </w:p>
        </w:tc>
        <w:tc>
          <w:tcPr>
            <w:tcW w:w="2680" w:type="dxa"/>
            <w:vAlign w:val="bottom"/>
            <w:tcBorders>
              <w:bottom w:val="single" w:sz="8" w:color="E5F1F8"/>
            </w:tcBorders>
            <w:gridSpan w:val="7"/>
            <w:vMerge w:val="continue"/>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260" w:type="dxa"/>
            <w:vAlign w:val="bottom"/>
            <w:tcBorders>
              <w:bottom w:val="single" w:sz="8" w:color="E5F1F8"/>
            </w:tcBorders>
            <w:shd w:val="clear" w:color="auto" w:fill="E5F1F8"/>
          </w:tcPr>
          <w:p>
            <w:pPr>
              <w:spacing w:after="0"/>
              <w:rPr>
                <w:sz w:val="8"/>
                <w:szCs w:val="8"/>
                <w:color w:val="auto"/>
              </w:rPr>
            </w:pPr>
          </w:p>
        </w:tc>
        <w:tc>
          <w:tcPr>
            <w:tcW w:w="62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400" w:type="dxa"/>
            <w:vAlign w:val="bottom"/>
          </w:tcPr>
          <w:p>
            <w:pPr>
              <w:ind w:left="80"/>
              <w:spacing w:after="0"/>
              <w:rPr>
                <w:sz w:val="20"/>
                <w:szCs w:val="20"/>
                <w:color w:val="auto"/>
              </w:rPr>
            </w:pPr>
            <w:r>
              <w:rPr>
                <w:rFonts w:ascii="Arial" w:cs="Arial" w:eastAsia="Arial" w:hAnsi="Arial"/>
                <w:sz w:val="14"/>
                <w:szCs w:val="14"/>
                <w:color w:val="auto"/>
              </w:rPr>
              <w:t>Current or Former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right w:val="single" w:sz="8" w:color="007CBA"/>
            </w:tcBorders>
          </w:tcPr>
          <w:p>
            <w:pPr>
              <w:spacing w:after="0"/>
              <w:rPr>
                <w:sz w:val="18"/>
                <w:szCs w:val="18"/>
                <w:color w:val="auto"/>
              </w:rPr>
            </w:pPr>
          </w:p>
        </w:tc>
        <w:tc>
          <w:tcPr>
            <w:tcW w:w="4120" w:type="dxa"/>
            <w:vAlign w:val="bottom"/>
            <w:gridSpan w:val="10"/>
            <w:vMerge w:val="restart"/>
          </w:tcPr>
          <w:p>
            <w:pPr>
              <w:ind w:left="60"/>
              <w:spacing w:after="0"/>
              <w:rPr>
                <w:sz w:val="20"/>
                <w:szCs w:val="20"/>
                <w:color w:val="auto"/>
              </w:rPr>
            </w:pPr>
            <w:r>
              <w:rPr>
                <w:rFonts w:ascii="Arial" w:cs="Arial" w:eastAsia="Arial" w:hAnsi="Arial"/>
                <w:sz w:val="14"/>
                <w:szCs w:val="14"/>
                <w:color w:val="auto"/>
              </w:rPr>
              <w:t>Strong leadership skills and critical experience with demands</w:t>
            </w:r>
          </w:p>
        </w:tc>
        <w:tc>
          <w:tcPr>
            <w:tcW w:w="0" w:type="dxa"/>
            <w:vAlign w:val="bottom"/>
          </w:tcPr>
          <w:p>
            <w:pPr>
              <w:spacing w:after="0"/>
              <w:rPr>
                <w:sz w:val="1"/>
                <w:szCs w:val="1"/>
                <w:color w:val="auto"/>
              </w:rPr>
            </w:pPr>
          </w:p>
        </w:tc>
      </w:tr>
      <w:tr>
        <w:trPr>
          <w:trHeight w:val="80"/>
        </w:trPr>
        <w:tc>
          <w:tcPr>
            <w:tcW w:w="1400" w:type="dxa"/>
            <w:vAlign w:val="bottom"/>
            <w:vMerge w:val="restart"/>
          </w:tcPr>
          <w:p>
            <w:pPr>
              <w:ind w:left="80"/>
              <w:spacing w:after="0" w:line="160" w:lineRule="exact"/>
              <w:rPr>
                <w:sz w:val="20"/>
                <w:szCs w:val="20"/>
                <w:color w:val="auto"/>
              </w:rPr>
            </w:pPr>
            <w:r>
              <w:rPr>
                <w:rFonts w:ascii="Arial" w:cs="Arial" w:eastAsia="Arial" w:hAnsi="Arial"/>
                <w:sz w:val="14"/>
                <w:szCs w:val="14"/>
                <w:color w:val="auto"/>
              </w:rPr>
              <w:t>CEO of Public</w:t>
            </w: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vMerge w:val="restart"/>
          </w:tcPr>
          <w:p>
            <w:pPr>
              <w:ind w:left="260"/>
              <w:spacing w:after="0" w:line="160" w:lineRule="exact"/>
              <w:rPr>
                <w:sz w:val="20"/>
                <w:szCs w:val="20"/>
                <w:color w:val="auto"/>
              </w:rPr>
            </w:pPr>
            <w:r>
              <w:rPr>
                <w:rFonts w:ascii="Arial" w:cs="Arial" w:eastAsia="Arial" w:hAnsi="Arial"/>
                <w:sz w:val="14"/>
                <w:szCs w:val="14"/>
                <w:color w:val="007CBA"/>
              </w:rPr>
              <w:t>•</w:t>
            </w:r>
          </w:p>
        </w:tc>
        <w:tc>
          <w:tcPr>
            <w:tcW w:w="520" w:type="dxa"/>
            <w:vAlign w:val="bottom"/>
            <w:vMerge w:val="restart"/>
          </w:tcPr>
          <w:p>
            <w:pPr>
              <w:ind w:left="260"/>
              <w:spacing w:after="0" w:line="160" w:lineRule="exact"/>
              <w:rPr>
                <w:sz w:val="20"/>
                <w:szCs w:val="20"/>
                <w:color w:val="auto"/>
              </w:rPr>
            </w:pPr>
            <w:r>
              <w:rPr>
                <w:rFonts w:ascii="Arial" w:cs="Arial" w:eastAsia="Arial" w:hAnsi="Arial"/>
                <w:sz w:val="14"/>
                <w:szCs w:val="14"/>
                <w:color w:val="007CBA"/>
              </w:rPr>
              <w:t>•</w:t>
            </w:r>
          </w:p>
        </w:tc>
        <w:tc>
          <w:tcPr>
            <w:tcW w:w="500" w:type="dxa"/>
            <w:vAlign w:val="bottom"/>
          </w:tcPr>
          <w:p>
            <w:pPr>
              <w:spacing w:after="0"/>
              <w:rPr>
                <w:sz w:val="6"/>
                <w:szCs w:val="6"/>
                <w:color w:val="auto"/>
              </w:rPr>
            </w:pPr>
          </w:p>
        </w:tc>
        <w:tc>
          <w:tcPr>
            <w:tcW w:w="540" w:type="dxa"/>
            <w:vAlign w:val="bottom"/>
            <w:vMerge w:val="restart"/>
          </w:tcPr>
          <w:p>
            <w:pPr>
              <w:ind w:left="240"/>
              <w:spacing w:after="0" w:line="160" w:lineRule="exact"/>
              <w:rPr>
                <w:sz w:val="20"/>
                <w:szCs w:val="20"/>
                <w:color w:val="auto"/>
              </w:rPr>
            </w:pPr>
            <w:r>
              <w:rPr>
                <w:rFonts w:ascii="Arial" w:cs="Arial" w:eastAsia="Arial" w:hAnsi="Arial"/>
                <w:sz w:val="14"/>
                <w:szCs w:val="14"/>
                <w:color w:val="007CBA"/>
              </w:rPr>
              <w:t>•</w:t>
            </w:r>
          </w:p>
        </w:tc>
        <w:tc>
          <w:tcPr>
            <w:tcW w:w="500" w:type="dxa"/>
            <w:vAlign w:val="bottom"/>
            <w:vMerge w:val="restart"/>
          </w:tcPr>
          <w:p>
            <w:pPr>
              <w:ind w:left="240"/>
              <w:spacing w:after="0" w:line="160" w:lineRule="exact"/>
              <w:rPr>
                <w:sz w:val="20"/>
                <w:szCs w:val="20"/>
                <w:color w:val="auto"/>
              </w:rPr>
            </w:pPr>
            <w:r>
              <w:rPr>
                <w:rFonts w:ascii="Arial" w:cs="Arial" w:eastAsia="Arial" w:hAnsi="Arial"/>
                <w:sz w:val="14"/>
                <w:szCs w:val="14"/>
                <w:color w:val="007CBA"/>
              </w:rPr>
              <w:t>•</w:t>
            </w:r>
          </w:p>
        </w:tc>
        <w:tc>
          <w:tcPr>
            <w:tcW w:w="560" w:type="dxa"/>
            <w:vAlign w:val="bottom"/>
            <w:vMerge w:val="restart"/>
          </w:tcPr>
          <w:p>
            <w:pPr>
              <w:ind w:left="320"/>
              <w:spacing w:after="0" w:line="160" w:lineRule="exact"/>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tcPr>
          <w:p>
            <w:pPr>
              <w:spacing w:after="0"/>
              <w:rPr>
                <w:sz w:val="6"/>
                <w:szCs w:val="6"/>
                <w:color w:val="auto"/>
              </w:rPr>
            </w:pPr>
          </w:p>
        </w:tc>
        <w:tc>
          <w:tcPr>
            <w:tcW w:w="41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4120" w:type="dxa"/>
            <w:vAlign w:val="bottom"/>
            <w:gridSpan w:val="10"/>
            <w:vMerge w:val="restart"/>
          </w:tcPr>
          <w:p>
            <w:pPr>
              <w:ind w:left="60"/>
              <w:spacing w:after="0"/>
              <w:rPr>
                <w:sz w:val="20"/>
                <w:szCs w:val="20"/>
                <w:color w:val="auto"/>
              </w:rPr>
            </w:pPr>
            <w:r>
              <w:rPr>
                <w:rFonts w:ascii="Arial" w:cs="Arial" w:eastAsia="Arial" w:hAnsi="Arial"/>
                <w:sz w:val="14"/>
                <w:szCs w:val="14"/>
                <w:color w:val="auto"/>
              </w:rPr>
              <w:t>and challenges with managing a large public organization</w:t>
            </w:r>
          </w:p>
        </w:tc>
        <w:tc>
          <w:tcPr>
            <w:tcW w:w="0" w:type="dxa"/>
            <w:vAlign w:val="bottom"/>
          </w:tcPr>
          <w:p>
            <w:pPr>
              <w:spacing w:after="0"/>
              <w:rPr>
                <w:sz w:val="1"/>
                <w:szCs w:val="1"/>
                <w:color w:val="auto"/>
              </w:rPr>
            </w:pPr>
          </w:p>
        </w:tc>
      </w:tr>
      <w:tr>
        <w:trPr>
          <w:trHeight w:val="91"/>
        </w:trPr>
        <w:tc>
          <w:tcPr>
            <w:tcW w:w="1400" w:type="dxa"/>
            <w:vAlign w:val="bottom"/>
            <w:vMerge w:val="restart"/>
          </w:tcPr>
          <w:p>
            <w:pPr>
              <w:ind w:left="80"/>
              <w:spacing w:after="0"/>
              <w:rPr>
                <w:sz w:val="20"/>
                <w:szCs w:val="20"/>
                <w:color w:val="auto"/>
              </w:rPr>
            </w:pPr>
            <w:r>
              <w:rPr>
                <w:rFonts w:ascii="Arial" w:cs="Arial" w:eastAsia="Arial" w:hAnsi="Arial"/>
                <w:sz w:val="14"/>
                <w:szCs w:val="14"/>
                <w:color w:val="auto"/>
              </w:rPr>
              <w:t>Company</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Borders>
              <w:right w:val="single" w:sz="8" w:color="007CBA"/>
            </w:tcBorders>
          </w:tcPr>
          <w:p>
            <w:pPr>
              <w:spacing w:after="0"/>
              <w:rPr>
                <w:sz w:val="7"/>
                <w:szCs w:val="7"/>
                <w:color w:val="auto"/>
              </w:rPr>
            </w:pPr>
          </w:p>
        </w:tc>
        <w:tc>
          <w:tcPr>
            <w:tcW w:w="41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4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Borders>
              <w:right w:val="single" w:sz="8" w:color="007CBA"/>
            </w:tcBorders>
          </w:tcPr>
          <w:p>
            <w:pPr>
              <w:spacing w:after="0"/>
              <w:rPr>
                <w:sz w:val="3"/>
                <w:szCs w:val="3"/>
                <w:color w:val="auto"/>
              </w:rPr>
            </w:pPr>
          </w:p>
        </w:tc>
        <w:tc>
          <w:tcPr>
            <w:tcW w:w="4120" w:type="dxa"/>
            <w:vAlign w:val="bottom"/>
            <w:gridSpan w:val="1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40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Financial or</w:t>
            </w:r>
          </w:p>
        </w:tc>
        <w:tc>
          <w:tcPr>
            <w:tcW w:w="500" w:type="dxa"/>
            <w:vAlign w:val="bottom"/>
            <w:shd w:val="clear" w:color="auto" w:fill="E5F1F8"/>
          </w:tcPr>
          <w:p>
            <w:pPr>
              <w:spacing w:after="0"/>
              <w:rPr>
                <w:sz w:val="15"/>
                <w:szCs w:val="15"/>
                <w:color w:val="auto"/>
              </w:rPr>
            </w:pPr>
          </w:p>
        </w:tc>
        <w:tc>
          <w:tcPr>
            <w:tcW w:w="480" w:type="dxa"/>
            <w:vAlign w:val="bottom"/>
            <w:shd w:val="clear" w:color="auto" w:fill="E5F1F8"/>
          </w:tcPr>
          <w:p>
            <w:pPr>
              <w:spacing w:after="0"/>
              <w:rPr>
                <w:sz w:val="15"/>
                <w:szCs w:val="15"/>
                <w:color w:val="auto"/>
              </w:rPr>
            </w:pPr>
          </w:p>
        </w:tc>
        <w:tc>
          <w:tcPr>
            <w:tcW w:w="560" w:type="dxa"/>
            <w:vAlign w:val="bottom"/>
            <w:shd w:val="clear" w:color="auto" w:fill="E5F1F8"/>
          </w:tcPr>
          <w:p>
            <w:pPr>
              <w:spacing w:after="0"/>
              <w:rPr>
                <w:sz w:val="15"/>
                <w:szCs w:val="15"/>
                <w:color w:val="auto"/>
              </w:rPr>
            </w:pPr>
          </w:p>
        </w:tc>
        <w:tc>
          <w:tcPr>
            <w:tcW w:w="580" w:type="dxa"/>
            <w:vAlign w:val="bottom"/>
            <w:shd w:val="clear" w:color="auto" w:fill="E5F1F8"/>
          </w:tcPr>
          <w:p>
            <w:pPr>
              <w:spacing w:after="0"/>
              <w:rPr>
                <w:sz w:val="15"/>
                <w:szCs w:val="15"/>
                <w:color w:val="auto"/>
              </w:rPr>
            </w:pPr>
          </w:p>
        </w:tc>
        <w:tc>
          <w:tcPr>
            <w:tcW w:w="520" w:type="dxa"/>
            <w:vAlign w:val="bottom"/>
            <w:shd w:val="clear" w:color="auto" w:fill="E5F1F8"/>
          </w:tcPr>
          <w:p>
            <w:pPr>
              <w:spacing w:after="0"/>
              <w:rPr>
                <w:sz w:val="15"/>
                <w:szCs w:val="15"/>
                <w:color w:val="auto"/>
              </w:rPr>
            </w:pPr>
          </w:p>
        </w:tc>
        <w:tc>
          <w:tcPr>
            <w:tcW w:w="500" w:type="dxa"/>
            <w:vAlign w:val="bottom"/>
            <w:shd w:val="clear" w:color="auto" w:fill="E5F1F8"/>
          </w:tcPr>
          <w:p>
            <w:pPr>
              <w:spacing w:after="0"/>
              <w:rPr>
                <w:sz w:val="15"/>
                <w:szCs w:val="15"/>
                <w:color w:val="auto"/>
              </w:rPr>
            </w:pPr>
          </w:p>
        </w:tc>
        <w:tc>
          <w:tcPr>
            <w:tcW w:w="540" w:type="dxa"/>
            <w:vAlign w:val="bottom"/>
            <w:shd w:val="clear" w:color="auto" w:fill="E5F1F8"/>
          </w:tcPr>
          <w:p>
            <w:pPr>
              <w:spacing w:after="0"/>
              <w:rPr>
                <w:sz w:val="15"/>
                <w:szCs w:val="15"/>
                <w:color w:val="auto"/>
              </w:rPr>
            </w:pPr>
          </w:p>
        </w:tc>
        <w:tc>
          <w:tcPr>
            <w:tcW w:w="500" w:type="dxa"/>
            <w:vAlign w:val="bottom"/>
            <w:shd w:val="clear" w:color="auto" w:fill="E5F1F8"/>
          </w:tcPr>
          <w:p>
            <w:pPr>
              <w:spacing w:after="0"/>
              <w:rPr>
                <w:sz w:val="15"/>
                <w:szCs w:val="15"/>
                <w:color w:val="auto"/>
              </w:rPr>
            </w:pPr>
          </w:p>
        </w:tc>
        <w:tc>
          <w:tcPr>
            <w:tcW w:w="560" w:type="dxa"/>
            <w:vAlign w:val="bottom"/>
            <w:shd w:val="clear" w:color="auto" w:fill="E5F1F8"/>
          </w:tcPr>
          <w:p>
            <w:pPr>
              <w:spacing w:after="0"/>
              <w:rPr>
                <w:sz w:val="15"/>
                <w:szCs w:val="15"/>
                <w:color w:val="auto"/>
              </w:rPr>
            </w:pPr>
          </w:p>
        </w:tc>
        <w:tc>
          <w:tcPr>
            <w:tcW w:w="600" w:type="dxa"/>
            <w:vAlign w:val="bottom"/>
            <w:tcBorders>
              <w:right w:val="single" w:sz="8" w:color="007CBA"/>
            </w:tcBorders>
            <w:shd w:val="clear" w:color="auto" w:fill="E5F1F8"/>
          </w:tcPr>
          <w:p>
            <w:pPr>
              <w:spacing w:after="0"/>
              <w:rPr>
                <w:sz w:val="15"/>
                <w:szCs w:val="15"/>
                <w:color w:val="auto"/>
              </w:rPr>
            </w:pPr>
          </w:p>
        </w:tc>
        <w:tc>
          <w:tcPr>
            <w:tcW w:w="4120" w:type="dxa"/>
            <w:vAlign w:val="bottom"/>
            <w:gridSpan w:val="10"/>
            <w:shd w:val="clear" w:color="auto" w:fill="E5F1F8"/>
          </w:tcPr>
          <w:p>
            <w:pPr>
              <w:ind w:left="60"/>
              <w:spacing w:after="0"/>
              <w:rPr>
                <w:sz w:val="20"/>
                <w:szCs w:val="20"/>
                <w:color w:val="auto"/>
              </w:rPr>
            </w:pPr>
            <w:r>
              <w:rPr>
                <w:rFonts w:ascii="Arial" w:cs="Arial" w:eastAsia="Arial" w:hAnsi="Arial"/>
                <w:sz w:val="14"/>
                <w:szCs w:val="14"/>
                <w:color w:val="auto"/>
              </w:rPr>
              <w:t>Enables in-depth analysis of our financial statements, capital</w:t>
            </w:r>
          </w:p>
        </w:tc>
        <w:tc>
          <w:tcPr>
            <w:tcW w:w="0" w:type="dxa"/>
            <w:vAlign w:val="bottom"/>
          </w:tcPr>
          <w:p>
            <w:pPr>
              <w:spacing w:after="0"/>
              <w:rPr>
                <w:sz w:val="1"/>
                <w:szCs w:val="1"/>
                <w:color w:val="auto"/>
              </w:rPr>
            </w:pPr>
          </w:p>
        </w:tc>
      </w:tr>
      <w:tr>
        <w:trPr>
          <w:trHeight w:val="67"/>
        </w:trPr>
        <w:tc>
          <w:tcPr>
            <w:tcW w:w="1400" w:type="dxa"/>
            <w:vAlign w:val="bottom"/>
            <w:vMerge w:val="continue"/>
            <w:shd w:val="clear" w:color="auto" w:fill="E5F1F8"/>
          </w:tcPr>
          <w:p>
            <w:pPr>
              <w:spacing w:after="0"/>
              <w:rPr>
                <w:sz w:val="5"/>
                <w:szCs w:val="5"/>
                <w:color w:val="auto"/>
              </w:rPr>
            </w:pPr>
          </w:p>
        </w:tc>
        <w:tc>
          <w:tcPr>
            <w:tcW w:w="500" w:type="dxa"/>
            <w:vAlign w:val="bottom"/>
            <w:vMerge w:val="restart"/>
            <w:shd w:val="clear" w:color="auto" w:fill="E5F1F8"/>
          </w:tcPr>
          <w:p>
            <w:pPr>
              <w:ind w:left="260"/>
              <w:spacing w:after="0" w:line="160" w:lineRule="exact"/>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20"/>
              <w:spacing w:after="0" w:line="160" w:lineRule="exact"/>
              <w:rPr>
                <w:sz w:val="20"/>
                <w:szCs w:val="20"/>
                <w:color w:val="auto"/>
              </w:rPr>
            </w:pPr>
            <w:r>
              <w:rPr>
                <w:rFonts w:ascii="Arial" w:cs="Arial" w:eastAsia="Arial" w:hAnsi="Arial"/>
                <w:sz w:val="14"/>
                <w:szCs w:val="14"/>
                <w:color w:val="007CBA"/>
              </w:rPr>
              <w:t>•</w:t>
            </w:r>
          </w:p>
        </w:tc>
        <w:tc>
          <w:tcPr>
            <w:tcW w:w="560" w:type="dxa"/>
            <w:vAlign w:val="bottom"/>
            <w:shd w:val="clear" w:color="auto" w:fill="E5F1F8"/>
          </w:tcPr>
          <w:p>
            <w:pPr>
              <w:spacing w:after="0"/>
              <w:rPr>
                <w:sz w:val="5"/>
                <w:szCs w:val="5"/>
                <w:color w:val="auto"/>
              </w:rPr>
            </w:pPr>
          </w:p>
        </w:tc>
        <w:tc>
          <w:tcPr>
            <w:tcW w:w="580" w:type="dxa"/>
            <w:vAlign w:val="bottom"/>
            <w:vMerge w:val="restart"/>
            <w:shd w:val="clear" w:color="auto" w:fill="E5F1F8"/>
          </w:tcPr>
          <w:p>
            <w:pPr>
              <w:ind w:left="260"/>
              <w:spacing w:after="0" w:line="160" w:lineRule="exact"/>
              <w:rPr>
                <w:sz w:val="20"/>
                <w:szCs w:val="20"/>
                <w:color w:val="auto"/>
              </w:rPr>
            </w:pPr>
            <w:r>
              <w:rPr>
                <w:rFonts w:ascii="Arial" w:cs="Arial" w:eastAsia="Arial" w:hAnsi="Arial"/>
                <w:sz w:val="14"/>
                <w:szCs w:val="14"/>
                <w:color w:val="007CBA"/>
              </w:rPr>
              <w:t>•</w:t>
            </w:r>
          </w:p>
        </w:tc>
        <w:tc>
          <w:tcPr>
            <w:tcW w:w="520" w:type="dxa"/>
            <w:vAlign w:val="bottom"/>
            <w:vMerge w:val="restart"/>
            <w:shd w:val="clear" w:color="auto" w:fill="E5F1F8"/>
          </w:tcPr>
          <w:p>
            <w:pPr>
              <w:ind w:left="260"/>
              <w:spacing w:after="0" w:line="160" w:lineRule="exact"/>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line="160" w:lineRule="exact"/>
              <w:rPr>
                <w:sz w:val="20"/>
                <w:szCs w:val="20"/>
                <w:color w:val="auto"/>
              </w:rPr>
            </w:pPr>
            <w:r>
              <w:rPr>
                <w:rFonts w:ascii="Arial" w:cs="Arial" w:eastAsia="Arial" w:hAnsi="Arial"/>
                <w:sz w:val="14"/>
                <w:szCs w:val="14"/>
                <w:color w:val="007CBA"/>
              </w:rPr>
              <w:t>•</w:t>
            </w:r>
          </w:p>
        </w:tc>
        <w:tc>
          <w:tcPr>
            <w:tcW w:w="540" w:type="dxa"/>
            <w:vAlign w:val="bottom"/>
            <w:vMerge w:val="restart"/>
            <w:shd w:val="clear" w:color="auto" w:fill="E5F1F8"/>
          </w:tcPr>
          <w:p>
            <w:pPr>
              <w:ind w:left="240"/>
              <w:spacing w:after="0" w:line="160" w:lineRule="exact"/>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40"/>
              <w:spacing w:after="0" w:line="160" w:lineRule="exact"/>
              <w:rPr>
                <w:sz w:val="20"/>
                <w:szCs w:val="20"/>
                <w:color w:val="auto"/>
              </w:rPr>
            </w:pPr>
            <w:r>
              <w:rPr>
                <w:rFonts w:ascii="Arial" w:cs="Arial" w:eastAsia="Arial" w:hAnsi="Arial"/>
                <w:sz w:val="14"/>
                <w:szCs w:val="14"/>
                <w:color w:val="007CBA"/>
              </w:rPr>
              <w:t>•</w:t>
            </w:r>
          </w:p>
        </w:tc>
        <w:tc>
          <w:tcPr>
            <w:tcW w:w="560" w:type="dxa"/>
            <w:vAlign w:val="bottom"/>
            <w:vMerge w:val="restart"/>
            <w:shd w:val="clear" w:color="auto" w:fill="E5F1F8"/>
          </w:tcPr>
          <w:p>
            <w:pPr>
              <w:ind w:left="320"/>
              <w:spacing w:after="0" w:line="160" w:lineRule="exact"/>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vMerge w:val="restart"/>
            <w:shd w:val="clear" w:color="auto" w:fill="E5F1F8"/>
          </w:tcPr>
          <w:p>
            <w:pPr>
              <w:jc w:val="right"/>
              <w:ind w:right="209"/>
              <w:spacing w:after="0" w:line="160" w:lineRule="exact"/>
              <w:rPr>
                <w:sz w:val="20"/>
                <w:szCs w:val="20"/>
                <w:color w:val="auto"/>
              </w:rPr>
            </w:pPr>
            <w:r>
              <w:rPr>
                <w:rFonts w:ascii="Arial" w:cs="Arial" w:eastAsia="Arial" w:hAnsi="Arial"/>
                <w:sz w:val="14"/>
                <w:szCs w:val="14"/>
                <w:color w:val="007CBA"/>
              </w:rPr>
              <w:t>•</w:t>
            </w:r>
          </w:p>
        </w:tc>
        <w:tc>
          <w:tcPr>
            <w:tcW w:w="660" w:type="dxa"/>
            <w:vAlign w:val="bottom"/>
            <w:vMerge w:val="restart"/>
            <w:shd w:val="clear" w:color="auto" w:fill="E5F1F8"/>
          </w:tcPr>
          <w:p>
            <w:pPr>
              <w:ind w:left="60"/>
              <w:spacing w:after="0" w:line="160" w:lineRule="exact"/>
              <w:rPr>
                <w:sz w:val="20"/>
                <w:szCs w:val="20"/>
                <w:color w:val="auto"/>
              </w:rPr>
            </w:pPr>
            <w:r>
              <w:rPr>
                <w:rFonts w:ascii="Arial" w:cs="Arial" w:eastAsia="Arial" w:hAnsi="Arial"/>
                <w:sz w:val="14"/>
                <w:szCs w:val="14"/>
                <w:color w:val="auto"/>
                <w:w w:val="99"/>
              </w:rPr>
              <w:t>structure,</w:t>
            </w:r>
          </w:p>
        </w:tc>
        <w:tc>
          <w:tcPr>
            <w:tcW w:w="640" w:type="dxa"/>
            <w:vAlign w:val="bottom"/>
            <w:gridSpan w:val="2"/>
            <w:vMerge w:val="restart"/>
            <w:shd w:val="clear" w:color="auto" w:fill="E5F1F8"/>
          </w:tcPr>
          <w:p>
            <w:pPr>
              <w:ind w:left="120"/>
              <w:spacing w:after="0" w:line="160" w:lineRule="exact"/>
              <w:rPr>
                <w:sz w:val="20"/>
                <w:szCs w:val="20"/>
                <w:color w:val="auto"/>
              </w:rPr>
            </w:pPr>
            <w:r>
              <w:rPr>
                <w:rFonts w:ascii="Arial" w:cs="Arial" w:eastAsia="Arial" w:hAnsi="Arial"/>
                <w:sz w:val="14"/>
                <w:szCs w:val="14"/>
                <w:color w:val="auto"/>
                <w:w w:val="97"/>
              </w:rPr>
              <w:t>financial</w:t>
            </w:r>
          </w:p>
        </w:tc>
        <w:tc>
          <w:tcPr>
            <w:tcW w:w="1380" w:type="dxa"/>
            <w:vAlign w:val="bottom"/>
            <w:gridSpan w:val="4"/>
            <w:vMerge w:val="restart"/>
            <w:shd w:val="clear" w:color="auto" w:fill="E5F1F8"/>
          </w:tcPr>
          <w:p>
            <w:pPr>
              <w:ind w:left="120"/>
              <w:spacing w:after="0" w:line="160" w:lineRule="exact"/>
              <w:rPr>
                <w:sz w:val="20"/>
                <w:szCs w:val="20"/>
                <w:color w:val="auto"/>
              </w:rPr>
            </w:pPr>
            <w:r>
              <w:rPr>
                <w:rFonts w:ascii="Arial" w:cs="Arial" w:eastAsia="Arial" w:hAnsi="Arial"/>
                <w:sz w:val="14"/>
                <w:szCs w:val="14"/>
                <w:color w:val="auto"/>
              </w:rPr>
              <w:t>transactions,  and</w:t>
            </w:r>
          </w:p>
        </w:tc>
        <w:tc>
          <w:tcPr>
            <w:tcW w:w="560" w:type="dxa"/>
            <w:vAlign w:val="bottom"/>
            <w:vMerge w:val="restart"/>
            <w:shd w:val="clear" w:color="auto" w:fill="E5F1F8"/>
          </w:tcPr>
          <w:p>
            <w:pPr>
              <w:jc w:val="right"/>
              <w:spacing w:after="0" w:line="160" w:lineRule="exact"/>
              <w:rPr>
                <w:sz w:val="20"/>
                <w:szCs w:val="20"/>
                <w:color w:val="auto"/>
              </w:rPr>
            </w:pPr>
            <w:r>
              <w:rPr>
                <w:rFonts w:ascii="Arial" w:cs="Arial" w:eastAsia="Arial" w:hAnsi="Arial"/>
                <w:sz w:val="14"/>
                <w:szCs w:val="14"/>
                <w:color w:val="auto"/>
              </w:rPr>
              <w:t>financial</w:t>
            </w:r>
          </w:p>
        </w:tc>
        <w:tc>
          <w:tcPr>
            <w:tcW w:w="880" w:type="dxa"/>
            <w:vAlign w:val="bottom"/>
            <w:gridSpan w:val="2"/>
            <w:vMerge w:val="restart"/>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reporting</w:t>
            </w:r>
          </w:p>
        </w:tc>
        <w:tc>
          <w:tcPr>
            <w:tcW w:w="0" w:type="dxa"/>
            <w:vAlign w:val="bottom"/>
          </w:tcPr>
          <w:p>
            <w:pPr>
              <w:spacing w:after="0"/>
              <w:rPr>
                <w:sz w:val="1"/>
                <w:szCs w:val="1"/>
                <w:color w:val="auto"/>
              </w:rPr>
            </w:pPr>
          </w:p>
        </w:tc>
      </w:tr>
      <w:tr>
        <w:trPr>
          <w:trHeight w:val="93"/>
        </w:trPr>
        <w:tc>
          <w:tcPr>
            <w:tcW w:w="140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Accounting</w:t>
            </w:r>
          </w:p>
        </w:tc>
        <w:tc>
          <w:tcPr>
            <w:tcW w:w="500" w:type="dxa"/>
            <w:vAlign w:val="bottom"/>
            <w:vMerge w:val="continue"/>
            <w:shd w:val="clear" w:color="auto" w:fill="E5F1F8"/>
          </w:tcPr>
          <w:p>
            <w:pPr>
              <w:spacing w:after="0"/>
              <w:rPr>
                <w:sz w:val="8"/>
                <w:szCs w:val="8"/>
                <w:color w:val="auto"/>
              </w:rPr>
            </w:pPr>
          </w:p>
        </w:tc>
        <w:tc>
          <w:tcPr>
            <w:tcW w:w="480" w:type="dxa"/>
            <w:vAlign w:val="bottom"/>
            <w:vMerge w:val="continue"/>
            <w:shd w:val="clear" w:color="auto" w:fill="E5F1F8"/>
          </w:tcPr>
          <w:p>
            <w:pPr>
              <w:spacing w:after="0"/>
              <w:rPr>
                <w:sz w:val="8"/>
                <w:szCs w:val="8"/>
                <w:color w:val="auto"/>
              </w:rPr>
            </w:pPr>
          </w:p>
        </w:tc>
        <w:tc>
          <w:tcPr>
            <w:tcW w:w="560" w:type="dxa"/>
            <w:vAlign w:val="bottom"/>
            <w:shd w:val="clear" w:color="auto" w:fill="E5F1F8"/>
          </w:tcPr>
          <w:p>
            <w:pPr>
              <w:spacing w:after="0"/>
              <w:rPr>
                <w:sz w:val="8"/>
                <w:szCs w:val="8"/>
                <w:color w:val="auto"/>
              </w:rPr>
            </w:pPr>
          </w:p>
        </w:tc>
        <w:tc>
          <w:tcPr>
            <w:tcW w:w="580" w:type="dxa"/>
            <w:vAlign w:val="bottom"/>
            <w:vMerge w:val="continue"/>
            <w:shd w:val="clear" w:color="auto" w:fill="E5F1F8"/>
          </w:tcPr>
          <w:p>
            <w:pPr>
              <w:spacing w:after="0"/>
              <w:rPr>
                <w:sz w:val="8"/>
                <w:szCs w:val="8"/>
                <w:color w:val="auto"/>
              </w:rPr>
            </w:pPr>
          </w:p>
        </w:tc>
        <w:tc>
          <w:tcPr>
            <w:tcW w:w="520" w:type="dxa"/>
            <w:vAlign w:val="bottom"/>
            <w:vMerge w:val="continue"/>
            <w:shd w:val="clear" w:color="auto" w:fill="E5F1F8"/>
          </w:tcPr>
          <w:p>
            <w:pPr>
              <w:spacing w:after="0"/>
              <w:rPr>
                <w:sz w:val="8"/>
                <w:szCs w:val="8"/>
                <w:color w:val="auto"/>
              </w:rPr>
            </w:pPr>
          </w:p>
        </w:tc>
        <w:tc>
          <w:tcPr>
            <w:tcW w:w="500" w:type="dxa"/>
            <w:vAlign w:val="bottom"/>
            <w:vMerge w:val="continue"/>
            <w:shd w:val="clear" w:color="auto" w:fill="E5F1F8"/>
          </w:tcPr>
          <w:p>
            <w:pPr>
              <w:spacing w:after="0"/>
              <w:rPr>
                <w:sz w:val="8"/>
                <w:szCs w:val="8"/>
                <w:color w:val="auto"/>
              </w:rPr>
            </w:pPr>
          </w:p>
        </w:tc>
        <w:tc>
          <w:tcPr>
            <w:tcW w:w="540" w:type="dxa"/>
            <w:vAlign w:val="bottom"/>
            <w:vMerge w:val="continue"/>
            <w:shd w:val="clear" w:color="auto" w:fill="E5F1F8"/>
          </w:tcPr>
          <w:p>
            <w:pPr>
              <w:spacing w:after="0"/>
              <w:rPr>
                <w:sz w:val="8"/>
                <w:szCs w:val="8"/>
                <w:color w:val="auto"/>
              </w:rPr>
            </w:pPr>
          </w:p>
        </w:tc>
        <w:tc>
          <w:tcPr>
            <w:tcW w:w="500" w:type="dxa"/>
            <w:vAlign w:val="bottom"/>
            <w:vMerge w:val="continue"/>
            <w:shd w:val="clear" w:color="auto" w:fill="E5F1F8"/>
          </w:tcPr>
          <w:p>
            <w:pPr>
              <w:spacing w:after="0"/>
              <w:rPr>
                <w:sz w:val="8"/>
                <w:szCs w:val="8"/>
                <w:color w:val="auto"/>
              </w:rPr>
            </w:pPr>
          </w:p>
        </w:tc>
        <w:tc>
          <w:tcPr>
            <w:tcW w:w="560" w:type="dxa"/>
            <w:vAlign w:val="bottom"/>
            <w:vMerge w:val="continue"/>
            <w:shd w:val="clear" w:color="auto" w:fill="E5F1F8"/>
          </w:tcPr>
          <w:p>
            <w:pPr>
              <w:spacing w:after="0"/>
              <w:rPr>
                <w:sz w:val="8"/>
                <w:szCs w:val="8"/>
                <w:color w:val="auto"/>
              </w:rPr>
            </w:pPr>
          </w:p>
        </w:tc>
        <w:tc>
          <w:tcPr>
            <w:tcW w:w="600" w:type="dxa"/>
            <w:vAlign w:val="bottom"/>
            <w:tcBorders>
              <w:right w:val="single" w:sz="8" w:color="007CBA"/>
            </w:tcBorders>
            <w:vMerge w:val="continue"/>
            <w:shd w:val="clear" w:color="auto" w:fill="E5F1F8"/>
          </w:tcPr>
          <w:p>
            <w:pPr>
              <w:spacing w:after="0"/>
              <w:rPr>
                <w:sz w:val="8"/>
                <w:szCs w:val="8"/>
                <w:color w:val="auto"/>
              </w:rPr>
            </w:pPr>
          </w:p>
        </w:tc>
        <w:tc>
          <w:tcPr>
            <w:tcW w:w="660" w:type="dxa"/>
            <w:vAlign w:val="bottom"/>
            <w:vMerge w:val="continue"/>
            <w:shd w:val="clear" w:color="auto" w:fill="E5F1F8"/>
          </w:tcPr>
          <w:p>
            <w:pPr>
              <w:spacing w:after="0"/>
              <w:rPr>
                <w:sz w:val="8"/>
                <w:szCs w:val="8"/>
                <w:color w:val="auto"/>
              </w:rPr>
            </w:pPr>
          </w:p>
        </w:tc>
        <w:tc>
          <w:tcPr>
            <w:tcW w:w="640" w:type="dxa"/>
            <w:vAlign w:val="bottom"/>
            <w:gridSpan w:val="2"/>
            <w:vMerge w:val="continue"/>
            <w:shd w:val="clear" w:color="auto" w:fill="E5F1F8"/>
          </w:tcPr>
          <w:p>
            <w:pPr>
              <w:spacing w:after="0"/>
              <w:rPr>
                <w:sz w:val="8"/>
                <w:szCs w:val="8"/>
                <w:color w:val="auto"/>
              </w:rPr>
            </w:pPr>
          </w:p>
        </w:tc>
        <w:tc>
          <w:tcPr>
            <w:tcW w:w="1380" w:type="dxa"/>
            <w:vAlign w:val="bottom"/>
            <w:gridSpan w:val="4"/>
            <w:vMerge w:val="continue"/>
            <w:shd w:val="clear" w:color="auto" w:fill="E5F1F8"/>
          </w:tcPr>
          <w:p>
            <w:pPr>
              <w:spacing w:after="0"/>
              <w:rPr>
                <w:sz w:val="8"/>
                <w:szCs w:val="8"/>
                <w:color w:val="auto"/>
              </w:rPr>
            </w:pPr>
          </w:p>
        </w:tc>
        <w:tc>
          <w:tcPr>
            <w:tcW w:w="560" w:type="dxa"/>
            <w:vAlign w:val="bottom"/>
            <w:vMerge w:val="continue"/>
            <w:shd w:val="clear" w:color="auto" w:fill="E5F1F8"/>
          </w:tcPr>
          <w:p>
            <w:pPr>
              <w:spacing w:after="0"/>
              <w:rPr>
                <w:sz w:val="8"/>
                <w:szCs w:val="8"/>
                <w:color w:val="auto"/>
              </w:rPr>
            </w:pPr>
          </w:p>
        </w:tc>
        <w:tc>
          <w:tcPr>
            <w:tcW w:w="880" w:type="dxa"/>
            <w:vAlign w:val="bottom"/>
            <w:gridSpan w:val="2"/>
            <w:vMerge w:val="continue"/>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400" w:type="dxa"/>
            <w:vAlign w:val="bottom"/>
            <w:vMerge w:val="continue"/>
            <w:shd w:val="clear" w:color="auto" w:fill="E5F1F8"/>
          </w:tcPr>
          <w:p>
            <w:pPr>
              <w:spacing w:after="0"/>
              <w:rPr>
                <w:sz w:val="6"/>
                <w:szCs w:val="6"/>
                <w:color w:val="auto"/>
              </w:rPr>
            </w:pPr>
          </w:p>
        </w:tc>
        <w:tc>
          <w:tcPr>
            <w:tcW w:w="500" w:type="dxa"/>
            <w:vAlign w:val="bottom"/>
            <w:shd w:val="clear" w:color="auto" w:fill="E5F1F8"/>
          </w:tcPr>
          <w:p>
            <w:pPr>
              <w:spacing w:after="0"/>
              <w:rPr>
                <w:sz w:val="6"/>
                <w:szCs w:val="6"/>
                <w:color w:val="auto"/>
              </w:rPr>
            </w:pPr>
          </w:p>
        </w:tc>
        <w:tc>
          <w:tcPr>
            <w:tcW w:w="48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580" w:type="dxa"/>
            <w:vAlign w:val="bottom"/>
            <w:shd w:val="clear" w:color="auto" w:fill="E5F1F8"/>
          </w:tcPr>
          <w:p>
            <w:pPr>
              <w:spacing w:after="0"/>
              <w:rPr>
                <w:sz w:val="6"/>
                <w:szCs w:val="6"/>
                <w:color w:val="auto"/>
              </w:rPr>
            </w:pPr>
          </w:p>
        </w:tc>
        <w:tc>
          <w:tcPr>
            <w:tcW w:w="520" w:type="dxa"/>
            <w:vAlign w:val="bottom"/>
            <w:shd w:val="clear" w:color="auto" w:fill="E5F1F8"/>
          </w:tcPr>
          <w:p>
            <w:pPr>
              <w:spacing w:after="0"/>
              <w:rPr>
                <w:sz w:val="6"/>
                <w:szCs w:val="6"/>
                <w:color w:val="auto"/>
              </w:rPr>
            </w:pPr>
          </w:p>
        </w:tc>
        <w:tc>
          <w:tcPr>
            <w:tcW w:w="500" w:type="dxa"/>
            <w:vAlign w:val="bottom"/>
            <w:shd w:val="clear" w:color="auto" w:fill="E5F1F8"/>
          </w:tcPr>
          <w:p>
            <w:pPr>
              <w:spacing w:after="0"/>
              <w:rPr>
                <w:sz w:val="6"/>
                <w:szCs w:val="6"/>
                <w:color w:val="auto"/>
              </w:rPr>
            </w:pPr>
          </w:p>
        </w:tc>
        <w:tc>
          <w:tcPr>
            <w:tcW w:w="540" w:type="dxa"/>
            <w:vAlign w:val="bottom"/>
            <w:shd w:val="clear" w:color="auto" w:fill="E5F1F8"/>
          </w:tcPr>
          <w:p>
            <w:pPr>
              <w:spacing w:after="0"/>
              <w:rPr>
                <w:sz w:val="6"/>
                <w:szCs w:val="6"/>
                <w:color w:val="auto"/>
              </w:rPr>
            </w:pPr>
          </w:p>
        </w:tc>
        <w:tc>
          <w:tcPr>
            <w:tcW w:w="50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600" w:type="dxa"/>
            <w:vAlign w:val="bottom"/>
            <w:tcBorders>
              <w:right w:val="single" w:sz="8" w:color="007CBA"/>
            </w:tcBorders>
            <w:shd w:val="clear" w:color="auto" w:fill="E5F1F8"/>
          </w:tcPr>
          <w:p>
            <w:pPr>
              <w:spacing w:after="0"/>
              <w:rPr>
                <w:sz w:val="6"/>
                <w:szCs w:val="6"/>
                <w:color w:val="auto"/>
              </w:rPr>
            </w:pPr>
          </w:p>
        </w:tc>
        <w:tc>
          <w:tcPr>
            <w:tcW w:w="660" w:type="dxa"/>
            <w:vAlign w:val="bottom"/>
            <w:vMerge w:val="restart"/>
            <w:shd w:val="clear" w:color="auto" w:fill="E5F1F8"/>
          </w:tcPr>
          <w:p>
            <w:pPr>
              <w:ind w:left="60"/>
              <w:spacing w:after="0" w:line="155" w:lineRule="exact"/>
              <w:rPr>
                <w:sz w:val="20"/>
                <w:szCs w:val="20"/>
                <w:color w:val="auto"/>
              </w:rPr>
            </w:pPr>
            <w:r>
              <w:rPr>
                <w:rFonts w:ascii="Arial" w:cs="Arial" w:eastAsia="Arial" w:hAnsi="Arial"/>
                <w:sz w:val="14"/>
                <w:szCs w:val="14"/>
                <w:color w:val="auto"/>
              </w:rPr>
              <w:t>process</w:t>
            </w:r>
          </w:p>
        </w:tc>
        <w:tc>
          <w:tcPr>
            <w:tcW w:w="260" w:type="dxa"/>
            <w:vAlign w:val="bottom"/>
            <w:shd w:val="clear" w:color="auto" w:fill="E5F1F8"/>
          </w:tcPr>
          <w:p>
            <w:pPr>
              <w:spacing w:after="0"/>
              <w:rPr>
                <w:sz w:val="6"/>
                <w:szCs w:val="6"/>
                <w:color w:val="auto"/>
              </w:rPr>
            </w:pPr>
          </w:p>
        </w:tc>
        <w:tc>
          <w:tcPr>
            <w:tcW w:w="380" w:type="dxa"/>
            <w:vAlign w:val="bottom"/>
            <w:shd w:val="clear" w:color="auto" w:fill="E5F1F8"/>
          </w:tcPr>
          <w:p>
            <w:pPr>
              <w:spacing w:after="0"/>
              <w:rPr>
                <w:sz w:val="6"/>
                <w:szCs w:val="6"/>
                <w:color w:val="auto"/>
              </w:rPr>
            </w:pPr>
          </w:p>
        </w:tc>
        <w:tc>
          <w:tcPr>
            <w:tcW w:w="400" w:type="dxa"/>
            <w:vAlign w:val="bottom"/>
            <w:shd w:val="clear" w:color="auto" w:fill="E5F1F8"/>
          </w:tcPr>
          <w:p>
            <w:pPr>
              <w:spacing w:after="0"/>
              <w:rPr>
                <w:sz w:val="6"/>
                <w:szCs w:val="6"/>
                <w:color w:val="auto"/>
              </w:rPr>
            </w:pPr>
          </w:p>
        </w:tc>
        <w:tc>
          <w:tcPr>
            <w:tcW w:w="240" w:type="dxa"/>
            <w:vAlign w:val="bottom"/>
            <w:shd w:val="clear" w:color="auto" w:fill="E5F1F8"/>
          </w:tcPr>
          <w:p>
            <w:pPr>
              <w:spacing w:after="0"/>
              <w:rPr>
                <w:sz w:val="6"/>
                <w:szCs w:val="6"/>
                <w:color w:val="auto"/>
              </w:rPr>
            </w:pPr>
          </w:p>
        </w:tc>
        <w:tc>
          <w:tcPr>
            <w:tcW w:w="220" w:type="dxa"/>
            <w:vAlign w:val="bottom"/>
            <w:shd w:val="clear" w:color="auto" w:fill="E5F1F8"/>
          </w:tcPr>
          <w:p>
            <w:pPr>
              <w:spacing w:after="0"/>
              <w:rPr>
                <w:sz w:val="6"/>
                <w:szCs w:val="6"/>
                <w:color w:val="auto"/>
              </w:rPr>
            </w:pPr>
          </w:p>
        </w:tc>
        <w:tc>
          <w:tcPr>
            <w:tcW w:w="52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260" w:type="dxa"/>
            <w:vAlign w:val="bottom"/>
            <w:shd w:val="clear" w:color="auto" w:fill="E5F1F8"/>
          </w:tcPr>
          <w:p>
            <w:pPr>
              <w:spacing w:after="0"/>
              <w:rPr>
                <w:sz w:val="6"/>
                <w:szCs w:val="6"/>
                <w:color w:val="auto"/>
              </w:rPr>
            </w:pPr>
          </w:p>
        </w:tc>
        <w:tc>
          <w:tcPr>
            <w:tcW w:w="620" w:type="dxa"/>
            <w:vAlign w:val="bottom"/>
            <w:shd w:val="clear" w:color="auto" w:fill="E5F1F8"/>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400" w:type="dxa"/>
            <w:vAlign w:val="bottom"/>
            <w:shd w:val="clear" w:color="auto" w:fill="E5F1F8"/>
          </w:tcPr>
          <w:p>
            <w:pPr>
              <w:spacing w:after="0"/>
              <w:rPr>
                <w:sz w:val="6"/>
                <w:szCs w:val="6"/>
                <w:color w:val="auto"/>
              </w:rPr>
            </w:pPr>
          </w:p>
        </w:tc>
        <w:tc>
          <w:tcPr>
            <w:tcW w:w="500" w:type="dxa"/>
            <w:vAlign w:val="bottom"/>
            <w:shd w:val="clear" w:color="auto" w:fill="E5F1F8"/>
          </w:tcPr>
          <w:p>
            <w:pPr>
              <w:spacing w:after="0"/>
              <w:rPr>
                <w:sz w:val="6"/>
                <w:szCs w:val="6"/>
                <w:color w:val="auto"/>
              </w:rPr>
            </w:pPr>
          </w:p>
        </w:tc>
        <w:tc>
          <w:tcPr>
            <w:tcW w:w="48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580" w:type="dxa"/>
            <w:vAlign w:val="bottom"/>
            <w:shd w:val="clear" w:color="auto" w:fill="E5F1F8"/>
          </w:tcPr>
          <w:p>
            <w:pPr>
              <w:spacing w:after="0"/>
              <w:rPr>
                <w:sz w:val="6"/>
                <w:szCs w:val="6"/>
                <w:color w:val="auto"/>
              </w:rPr>
            </w:pPr>
          </w:p>
        </w:tc>
        <w:tc>
          <w:tcPr>
            <w:tcW w:w="520" w:type="dxa"/>
            <w:vAlign w:val="bottom"/>
            <w:shd w:val="clear" w:color="auto" w:fill="E5F1F8"/>
          </w:tcPr>
          <w:p>
            <w:pPr>
              <w:spacing w:after="0"/>
              <w:rPr>
                <w:sz w:val="6"/>
                <w:szCs w:val="6"/>
                <w:color w:val="auto"/>
              </w:rPr>
            </w:pPr>
          </w:p>
        </w:tc>
        <w:tc>
          <w:tcPr>
            <w:tcW w:w="500" w:type="dxa"/>
            <w:vAlign w:val="bottom"/>
            <w:shd w:val="clear" w:color="auto" w:fill="E5F1F8"/>
          </w:tcPr>
          <w:p>
            <w:pPr>
              <w:spacing w:after="0"/>
              <w:rPr>
                <w:sz w:val="6"/>
                <w:szCs w:val="6"/>
                <w:color w:val="auto"/>
              </w:rPr>
            </w:pPr>
          </w:p>
        </w:tc>
        <w:tc>
          <w:tcPr>
            <w:tcW w:w="540" w:type="dxa"/>
            <w:vAlign w:val="bottom"/>
            <w:shd w:val="clear" w:color="auto" w:fill="E5F1F8"/>
          </w:tcPr>
          <w:p>
            <w:pPr>
              <w:spacing w:after="0"/>
              <w:rPr>
                <w:sz w:val="6"/>
                <w:szCs w:val="6"/>
                <w:color w:val="auto"/>
              </w:rPr>
            </w:pPr>
          </w:p>
        </w:tc>
        <w:tc>
          <w:tcPr>
            <w:tcW w:w="50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600" w:type="dxa"/>
            <w:vAlign w:val="bottom"/>
            <w:tcBorders>
              <w:right w:val="single" w:sz="8" w:color="007CBA"/>
            </w:tcBorders>
            <w:shd w:val="clear" w:color="auto" w:fill="E5F1F8"/>
          </w:tcPr>
          <w:p>
            <w:pPr>
              <w:spacing w:after="0"/>
              <w:rPr>
                <w:sz w:val="6"/>
                <w:szCs w:val="6"/>
                <w:color w:val="auto"/>
              </w:rPr>
            </w:pPr>
          </w:p>
        </w:tc>
        <w:tc>
          <w:tcPr>
            <w:tcW w:w="660" w:type="dxa"/>
            <w:vAlign w:val="bottom"/>
            <w:vMerge w:val="continue"/>
            <w:shd w:val="clear" w:color="auto" w:fill="E5F1F8"/>
          </w:tcPr>
          <w:p>
            <w:pPr>
              <w:spacing w:after="0"/>
              <w:rPr>
                <w:sz w:val="6"/>
                <w:szCs w:val="6"/>
                <w:color w:val="auto"/>
              </w:rPr>
            </w:pPr>
          </w:p>
        </w:tc>
        <w:tc>
          <w:tcPr>
            <w:tcW w:w="260" w:type="dxa"/>
            <w:vAlign w:val="bottom"/>
            <w:shd w:val="clear" w:color="auto" w:fill="E5F1F8"/>
          </w:tcPr>
          <w:p>
            <w:pPr>
              <w:spacing w:after="0"/>
              <w:rPr>
                <w:sz w:val="6"/>
                <w:szCs w:val="6"/>
                <w:color w:val="auto"/>
              </w:rPr>
            </w:pPr>
          </w:p>
        </w:tc>
        <w:tc>
          <w:tcPr>
            <w:tcW w:w="380" w:type="dxa"/>
            <w:vAlign w:val="bottom"/>
            <w:shd w:val="clear" w:color="auto" w:fill="E5F1F8"/>
          </w:tcPr>
          <w:p>
            <w:pPr>
              <w:spacing w:after="0"/>
              <w:rPr>
                <w:sz w:val="6"/>
                <w:szCs w:val="6"/>
                <w:color w:val="auto"/>
              </w:rPr>
            </w:pPr>
          </w:p>
        </w:tc>
        <w:tc>
          <w:tcPr>
            <w:tcW w:w="400" w:type="dxa"/>
            <w:vAlign w:val="bottom"/>
            <w:shd w:val="clear" w:color="auto" w:fill="E5F1F8"/>
          </w:tcPr>
          <w:p>
            <w:pPr>
              <w:spacing w:after="0"/>
              <w:rPr>
                <w:sz w:val="6"/>
                <w:szCs w:val="6"/>
                <w:color w:val="auto"/>
              </w:rPr>
            </w:pPr>
          </w:p>
        </w:tc>
        <w:tc>
          <w:tcPr>
            <w:tcW w:w="240" w:type="dxa"/>
            <w:vAlign w:val="bottom"/>
            <w:shd w:val="clear" w:color="auto" w:fill="E5F1F8"/>
          </w:tcPr>
          <w:p>
            <w:pPr>
              <w:spacing w:after="0"/>
              <w:rPr>
                <w:sz w:val="6"/>
                <w:szCs w:val="6"/>
                <w:color w:val="auto"/>
              </w:rPr>
            </w:pPr>
          </w:p>
        </w:tc>
        <w:tc>
          <w:tcPr>
            <w:tcW w:w="220" w:type="dxa"/>
            <w:vAlign w:val="bottom"/>
            <w:shd w:val="clear" w:color="auto" w:fill="E5F1F8"/>
          </w:tcPr>
          <w:p>
            <w:pPr>
              <w:spacing w:after="0"/>
              <w:rPr>
                <w:sz w:val="6"/>
                <w:szCs w:val="6"/>
                <w:color w:val="auto"/>
              </w:rPr>
            </w:pPr>
          </w:p>
        </w:tc>
        <w:tc>
          <w:tcPr>
            <w:tcW w:w="52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260" w:type="dxa"/>
            <w:vAlign w:val="bottom"/>
            <w:shd w:val="clear" w:color="auto" w:fill="E5F1F8"/>
          </w:tcPr>
          <w:p>
            <w:pPr>
              <w:spacing w:after="0"/>
              <w:rPr>
                <w:sz w:val="6"/>
                <w:szCs w:val="6"/>
                <w:color w:val="auto"/>
              </w:rPr>
            </w:pPr>
          </w:p>
        </w:tc>
        <w:tc>
          <w:tcPr>
            <w:tcW w:w="620" w:type="dxa"/>
            <w:vAlign w:val="bottom"/>
            <w:shd w:val="clear" w:color="auto" w:fill="E5F1F8"/>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400" w:type="dxa"/>
            <w:vAlign w:val="bottom"/>
          </w:tcPr>
          <w:p>
            <w:pPr>
              <w:ind w:left="80"/>
              <w:spacing w:after="0"/>
              <w:rPr>
                <w:sz w:val="20"/>
                <w:szCs w:val="20"/>
                <w:color w:val="auto"/>
              </w:rPr>
            </w:pPr>
            <w:r>
              <w:rPr>
                <w:rFonts w:ascii="Arial" w:cs="Arial" w:eastAsia="Arial" w:hAnsi="Arial"/>
                <w:sz w:val="14"/>
                <w:szCs w:val="14"/>
                <w:color w:val="auto"/>
              </w:rPr>
              <w:t>Government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right w:val="single" w:sz="8" w:color="007CBA"/>
            </w:tcBorders>
          </w:tcPr>
          <w:p>
            <w:pPr>
              <w:spacing w:after="0"/>
              <w:rPr>
                <w:sz w:val="18"/>
                <w:szCs w:val="18"/>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color w:val="auto"/>
              </w:rPr>
              <w:t>Critical</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for</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color w:val="auto"/>
                <w:w w:val="99"/>
              </w:rPr>
              <w:t>understanding</w:t>
            </w: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auto"/>
              </w:rPr>
              <w:t>complex</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regulatory</w:t>
            </w:r>
          </w:p>
        </w:tc>
        <w:tc>
          <w:tcPr>
            <w:tcW w:w="620" w:type="dxa"/>
            <w:vAlign w:val="bottom"/>
            <w:vMerge w:val="restart"/>
          </w:tcPr>
          <w:p>
            <w:pPr>
              <w:jc w:val="right"/>
              <w:ind w:right="149"/>
              <w:spacing w:after="0"/>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80"/>
        </w:trPr>
        <w:tc>
          <w:tcPr>
            <w:tcW w:w="1400" w:type="dxa"/>
            <w:vAlign w:val="bottom"/>
            <w:vMerge w:val="restart"/>
          </w:tcPr>
          <w:p>
            <w:pPr>
              <w:ind w:left="80"/>
              <w:spacing w:after="0" w:line="160" w:lineRule="exact"/>
              <w:rPr>
                <w:sz w:val="20"/>
                <w:szCs w:val="20"/>
                <w:color w:val="auto"/>
              </w:rPr>
            </w:pPr>
            <w:r>
              <w:rPr>
                <w:rFonts w:ascii="Arial" w:cs="Arial" w:eastAsia="Arial" w:hAnsi="Arial"/>
                <w:sz w:val="14"/>
                <w:szCs w:val="14"/>
                <w:color w:val="auto"/>
              </w:rPr>
              <w:t>Relations/</w:t>
            </w: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vMerge w:val="continue"/>
          </w:tcPr>
          <w:p>
            <w:pPr>
              <w:spacing w:after="0"/>
              <w:rPr>
                <w:sz w:val="6"/>
                <w:szCs w:val="6"/>
                <w:color w:val="auto"/>
              </w:rPr>
            </w:pPr>
          </w:p>
        </w:tc>
        <w:tc>
          <w:tcPr>
            <w:tcW w:w="500" w:type="dxa"/>
            <w:vAlign w:val="bottom"/>
            <w:vMerge w:val="restart"/>
          </w:tcPr>
          <w:p>
            <w:pPr>
              <w:ind w:left="260"/>
              <w:spacing w:after="0" w:line="160" w:lineRule="exact"/>
              <w:rPr>
                <w:sz w:val="20"/>
                <w:szCs w:val="20"/>
                <w:color w:val="auto"/>
              </w:rPr>
            </w:pPr>
            <w:r>
              <w:rPr>
                <w:rFonts w:ascii="Arial" w:cs="Arial" w:eastAsia="Arial" w:hAnsi="Arial"/>
                <w:sz w:val="14"/>
                <w:szCs w:val="14"/>
                <w:color w:val="007CBA"/>
              </w:rPr>
              <w:t>•</w:t>
            </w:r>
          </w:p>
        </w:tc>
        <w:tc>
          <w:tcPr>
            <w:tcW w:w="480" w:type="dxa"/>
            <w:vAlign w:val="bottom"/>
            <w:vMerge w:val="restart"/>
          </w:tcPr>
          <w:p>
            <w:pPr>
              <w:ind w:left="220"/>
              <w:spacing w:after="0" w:line="160" w:lineRule="exact"/>
              <w:rPr>
                <w:sz w:val="20"/>
                <w:szCs w:val="20"/>
                <w:color w:val="auto"/>
              </w:rPr>
            </w:pPr>
            <w:r>
              <w:rPr>
                <w:rFonts w:ascii="Arial" w:cs="Arial" w:eastAsia="Arial" w:hAnsi="Arial"/>
                <w:sz w:val="14"/>
                <w:szCs w:val="14"/>
                <w:color w:val="007CBA"/>
              </w:rPr>
              <w:t>•</w:t>
            </w:r>
          </w:p>
        </w:tc>
        <w:tc>
          <w:tcPr>
            <w:tcW w:w="560" w:type="dxa"/>
            <w:vAlign w:val="bottom"/>
            <w:vMerge w:val="restart"/>
          </w:tcPr>
          <w:p>
            <w:pPr>
              <w:ind w:left="240"/>
              <w:spacing w:after="0" w:line="160" w:lineRule="exact"/>
              <w:rPr>
                <w:sz w:val="20"/>
                <w:szCs w:val="20"/>
                <w:color w:val="auto"/>
              </w:rPr>
            </w:pPr>
            <w:r>
              <w:rPr>
                <w:rFonts w:ascii="Arial" w:cs="Arial" w:eastAsia="Arial" w:hAnsi="Arial"/>
                <w:sz w:val="14"/>
                <w:szCs w:val="14"/>
                <w:color w:val="007CBA"/>
              </w:rPr>
              <w:t>•</w:t>
            </w:r>
          </w:p>
        </w:tc>
        <w:tc>
          <w:tcPr>
            <w:tcW w:w="580" w:type="dxa"/>
            <w:vAlign w:val="bottom"/>
            <w:vMerge w:val="restart"/>
          </w:tcPr>
          <w:p>
            <w:pPr>
              <w:ind w:left="260"/>
              <w:spacing w:after="0" w:line="160" w:lineRule="exact"/>
              <w:rPr>
                <w:sz w:val="20"/>
                <w:szCs w:val="20"/>
                <w:color w:val="auto"/>
              </w:rPr>
            </w:pPr>
            <w:r>
              <w:rPr>
                <w:rFonts w:ascii="Arial" w:cs="Arial" w:eastAsia="Arial" w:hAnsi="Arial"/>
                <w:sz w:val="14"/>
                <w:szCs w:val="14"/>
                <w:color w:val="007CBA"/>
              </w:rPr>
              <w:t>•</w:t>
            </w:r>
          </w:p>
        </w:tc>
        <w:tc>
          <w:tcPr>
            <w:tcW w:w="520" w:type="dxa"/>
            <w:vAlign w:val="bottom"/>
            <w:vMerge w:val="restart"/>
          </w:tcPr>
          <w:p>
            <w:pPr>
              <w:ind w:left="260"/>
              <w:spacing w:after="0" w:line="160" w:lineRule="exact"/>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line="160" w:lineRule="exact"/>
              <w:rPr>
                <w:sz w:val="20"/>
                <w:szCs w:val="20"/>
                <w:color w:val="auto"/>
              </w:rPr>
            </w:pPr>
            <w:r>
              <w:rPr>
                <w:rFonts w:ascii="Arial" w:cs="Arial" w:eastAsia="Arial" w:hAnsi="Arial"/>
                <w:sz w:val="14"/>
                <w:szCs w:val="14"/>
                <w:color w:val="007CBA"/>
              </w:rPr>
              <w:t>•</w:t>
            </w:r>
          </w:p>
        </w:tc>
        <w:tc>
          <w:tcPr>
            <w:tcW w:w="540" w:type="dxa"/>
            <w:vAlign w:val="bottom"/>
            <w:vMerge w:val="restart"/>
          </w:tcPr>
          <w:p>
            <w:pPr>
              <w:ind w:left="240"/>
              <w:spacing w:after="0" w:line="160" w:lineRule="exact"/>
              <w:rPr>
                <w:sz w:val="20"/>
                <w:szCs w:val="20"/>
                <w:color w:val="auto"/>
              </w:rPr>
            </w:pPr>
            <w:r>
              <w:rPr>
                <w:rFonts w:ascii="Arial" w:cs="Arial" w:eastAsia="Arial" w:hAnsi="Arial"/>
                <w:sz w:val="14"/>
                <w:szCs w:val="14"/>
                <w:color w:val="007CBA"/>
              </w:rPr>
              <w:t>•</w:t>
            </w:r>
          </w:p>
        </w:tc>
        <w:tc>
          <w:tcPr>
            <w:tcW w:w="500" w:type="dxa"/>
            <w:vAlign w:val="bottom"/>
            <w:vMerge w:val="restart"/>
          </w:tcPr>
          <w:p>
            <w:pPr>
              <w:ind w:left="240"/>
              <w:spacing w:after="0" w:line="160" w:lineRule="exact"/>
              <w:rPr>
                <w:sz w:val="20"/>
                <w:szCs w:val="20"/>
                <w:color w:val="auto"/>
              </w:rPr>
            </w:pPr>
            <w:r>
              <w:rPr>
                <w:rFonts w:ascii="Arial" w:cs="Arial" w:eastAsia="Arial" w:hAnsi="Arial"/>
                <w:sz w:val="14"/>
                <w:szCs w:val="14"/>
                <w:color w:val="007CBA"/>
              </w:rPr>
              <w:t>•</w:t>
            </w:r>
          </w:p>
        </w:tc>
        <w:tc>
          <w:tcPr>
            <w:tcW w:w="560" w:type="dxa"/>
            <w:vAlign w:val="bottom"/>
            <w:vMerge w:val="restart"/>
          </w:tcPr>
          <w:p>
            <w:pPr>
              <w:ind w:left="320"/>
              <w:spacing w:after="0" w:line="160" w:lineRule="exact"/>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vMerge w:val="restart"/>
          </w:tcPr>
          <w:p>
            <w:pPr>
              <w:jc w:val="right"/>
              <w:ind w:right="209"/>
              <w:spacing w:after="0" w:line="160" w:lineRule="exact"/>
              <w:rPr>
                <w:sz w:val="20"/>
                <w:szCs w:val="20"/>
                <w:color w:val="auto"/>
              </w:rPr>
            </w:pPr>
            <w:r>
              <w:rPr>
                <w:rFonts w:ascii="Arial" w:cs="Arial" w:eastAsia="Arial" w:hAnsi="Arial"/>
                <w:sz w:val="14"/>
                <w:szCs w:val="14"/>
                <w:color w:val="007CBA"/>
              </w:rPr>
              <w:t>•</w:t>
            </w:r>
          </w:p>
        </w:tc>
        <w:tc>
          <w:tcPr>
            <w:tcW w:w="920" w:type="dxa"/>
            <w:vAlign w:val="bottom"/>
            <w:gridSpan w:val="2"/>
            <w:vMerge w:val="restart"/>
          </w:tcPr>
          <w:p>
            <w:pPr>
              <w:ind w:left="60"/>
              <w:spacing w:after="0" w:line="160" w:lineRule="exact"/>
              <w:rPr>
                <w:sz w:val="20"/>
                <w:szCs w:val="20"/>
                <w:color w:val="auto"/>
              </w:rPr>
            </w:pPr>
            <w:r>
              <w:rPr>
                <w:rFonts w:ascii="Arial" w:cs="Arial" w:eastAsia="Arial" w:hAnsi="Arial"/>
                <w:sz w:val="14"/>
                <w:szCs w:val="14"/>
                <w:color w:val="auto"/>
                <w:w w:val="98"/>
              </w:rPr>
              <w:t>governmental</w:t>
            </w:r>
          </w:p>
        </w:tc>
        <w:tc>
          <w:tcPr>
            <w:tcW w:w="1240" w:type="dxa"/>
            <w:vAlign w:val="bottom"/>
            <w:gridSpan w:val="4"/>
            <w:vMerge w:val="restart"/>
          </w:tcPr>
          <w:p>
            <w:pPr>
              <w:jc w:val="right"/>
              <w:spacing w:after="0" w:line="160" w:lineRule="exact"/>
              <w:rPr>
                <w:sz w:val="20"/>
                <w:szCs w:val="20"/>
                <w:color w:val="auto"/>
              </w:rPr>
            </w:pPr>
            <w:r>
              <w:rPr>
                <w:rFonts w:ascii="Arial" w:cs="Arial" w:eastAsia="Arial" w:hAnsi="Arial"/>
                <w:sz w:val="14"/>
                <w:szCs w:val="14"/>
                <w:color w:val="auto"/>
              </w:rPr>
              <w:t>environment that</w:t>
            </w:r>
          </w:p>
        </w:tc>
        <w:tc>
          <w:tcPr>
            <w:tcW w:w="520" w:type="dxa"/>
            <w:vAlign w:val="bottom"/>
            <w:vMerge w:val="restart"/>
          </w:tcPr>
          <w:p>
            <w:pPr>
              <w:ind w:left="20"/>
              <w:spacing w:after="0" w:line="160" w:lineRule="exact"/>
              <w:rPr>
                <w:sz w:val="20"/>
                <w:szCs w:val="20"/>
                <w:color w:val="auto"/>
              </w:rPr>
            </w:pPr>
            <w:r>
              <w:rPr>
                <w:rFonts w:ascii="Arial" w:cs="Arial" w:eastAsia="Arial" w:hAnsi="Arial"/>
                <w:sz w:val="14"/>
                <w:szCs w:val="14"/>
                <w:color w:val="auto"/>
                <w:w w:val="99"/>
              </w:rPr>
              <w:t>impacts</w:t>
            </w:r>
          </w:p>
        </w:tc>
        <w:tc>
          <w:tcPr>
            <w:tcW w:w="1440" w:type="dxa"/>
            <w:vAlign w:val="bottom"/>
            <w:gridSpan w:val="3"/>
            <w:vMerge w:val="restart"/>
          </w:tcPr>
          <w:p>
            <w:pPr>
              <w:jc w:val="right"/>
              <w:ind w:right="149"/>
              <w:spacing w:after="0" w:line="160" w:lineRule="exact"/>
              <w:rPr>
                <w:sz w:val="20"/>
                <w:szCs w:val="20"/>
                <w:color w:val="auto"/>
              </w:rPr>
            </w:pPr>
            <w:r>
              <w:rPr>
                <w:rFonts w:ascii="Arial" w:cs="Arial" w:eastAsia="Arial" w:hAnsi="Arial"/>
                <w:sz w:val="14"/>
                <w:szCs w:val="14"/>
                <w:color w:val="auto"/>
              </w:rPr>
              <w:t>our business and</w:t>
            </w:r>
          </w:p>
        </w:tc>
        <w:tc>
          <w:tcPr>
            <w:tcW w:w="0" w:type="dxa"/>
            <w:vAlign w:val="bottom"/>
          </w:tcPr>
          <w:p>
            <w:pPr>
              <w:spacing w:after="0"/>
              <w:rPr>
                <w:sz w:val="1"/>
                <w:szCs w:val="1"/>
                <w:color w:val="auto"/>
              </w:rPr>
            </w:pPr>
          </w:p>
        </w:tc>
      </w:tr>
      <w:tr>
        <w:trPr>
          <w:trHeight w:val="80"/>
        </w:trPr>
        <w:tc>
          <w:tcPr>
            <w:tcW w:w="1400" w:type="dxa"/>
            <w:vAlign w:val="bottom"/>
            <w:vMerge w:val="restart"/>
          </w:tcPr>
          <w:p>
            <w:pPr>
              <w:ind w:left="80"/>
              <w:spacing w:after="0" w:line="160" w:lineRule="exact"/>
              <w:rPr>
                <w:sz w:val="20"/>
                <w:szCs w:val="20"/>
                <w:color w:val="auto"/>
              </w:rPr>
            </w:pPr>
            <w:r>
              <w:rPr>
                <w:rFonts w:ascii="Arial" w:cs="Arial" w:eastAsia="Arial" w:hAnsi="Arial"/>
                <w:sz w:val="14"/>
                <w:szCs w:val="14"/>
                <w:color w:val="auto"/>
              </w:rPr>
              <w:t>Regulatory/</w:t>
            </w:r>
          </w:p>
        </w:tc>
        <w:tc>
          <w:tcPr>
            <w:tcW w:w="5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Borders>
              <w:right w:val="single" w:sz="8" w:color="007CBA"/>
            </w:tcBorders>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3240" w:type="dxa"/>
            <w:vAlign w:val="bottom"/>
            <w:gridSpan w:val="8"/>
            <w:vMerge w:val="restart"/>
          </w:tcPr>
          <w:p>
            <w:pPr>
              <w:ind w:left="60"/>
              <w:spacing w:after="0"/>
              <w:rPr>
                <w:sz w:val="20"/>
                <w:szCs w:val="20"/>
                <w:color w:val="auto"/>
              </w:rPr>
            </w:pPr>
            <w:r>
              <w:rPr>
                <w:rFonts w:ascii="Arial" w:cs="Arial" w:eastAsia="Arial" w:hAnsi="Arial"/>
                <w:sz w:val="14"/>
                <w:szCs w:val="14"/>
                <w:color w:val="auto"/>
              </w:rPr>
              <w:t>our strategic goals relating to sustainability</w:t>
            </w: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400" w:type="dxa"/>
            <w:vAlign w:val="bottom"/>
            <w:vMerge w:val="restart"/>
          </w:tcPr>
          <w:p>
            <w:pPr>
              <w:ind w:left="80"/>
              <w:spacing w:after="0"/>
              <w:rPr>
                <w:sz w:val="20"/>
                <w:szCs w:val="20"/>
                <w:color w:val="auto"/>
              </w:rPr>
            </w:pPr>
            <w:r>
              <w:rPr>
                <w:rFonts w:ascii="Arial" w:cs="Arial" w:eastAsia="Arial" w:hAnsi="Arial"/>
                <w:sz w:val="14"/>
                <w:szCs w:val="14"/>
                <w:color w:val="auto"/>
              </w:rPr>
              <w:t>Sustainability</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Borders>
              <w:right w:val="single" w:sz="8" w:color="007CBA"/>
            </w:tcBorders>
          </w:tcPr>
          <w:p>
            <w:pPr>
              <w:spacing w:after="0"/>
              <w:rPr>
                <w:sz w:val="7"/>
                <w:szCs w:val="7"/>
                <w:color w:val="auto"/>
              </w:rPr>
            </w:pPr>
          </w:p>
        </w:tc>
        <w:tc>
          <w:tcPr>
            <w:tcW w:w="324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4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Borders>
              <w:right w:val="single" w:sz="8" w:color="007CBA"/>
            </w:tcBorders>
          </w:tcPr>
          <w:p>
            <w:pPr>
              <w:spacing w:after="0"/>
              <w:rPr>
                <w:sz w:val="3"/>
                <w:szCs w:val="3"/>
                <w:color w:val="auto"/>
              </w:rPr>
            </w:pPr>
          </w:p>
        </w:tc>
        <w:tc>
          <w:tcPr>
            <w:tcW w:w="4120" w:type="dxa"/>
            <w:vAlign w:val="bottom"/>
            <w:gridSpan w:val="1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00" w:type="dxa"/>
            <w:vAlign w:val="bottom"/>
            <w:shd w:val="clear" w:color="auto" w:fill="E5F1F8"/>
          </w:tcPr>
          <w:p>
            <w:pPr>
              <w:ind w:left="80"/>
              <w:spacing w:after="0"/>
              <w:rPr>
                <w:sz w:val="20"/>
                <w:szCs w:val="20"/>
                <w:color w:val="auto"/>
              </w:rPr>
            </w:pPr>
            <w:r>
              <w:rPr>
                <w:rFonts w:ascii="Arial" w:cs="Arial" w:eastAsia="Arial" w:hAnsi="Arial"/>
                <w:sz w:val="14"/>
                <w:szCs w:val="14"/>
                <w:color w:val="auto"/>
              </w:rPr>
              <w:t>Logistics/</w:t>
            </w:r>
          </w:p>
        </w:tc>
        <w:tc>
          <w:tcPr>
            <w:tcW w:w="50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58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2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00" w:type="dxa"/>
            <w:vAlign w:val="bottom"/>
            <w:shd w:val="clear" w:color="auto" w:fill="E5F1F8"/>
          </w:tcPr>
          <w:p>
            <w:pPr>
              <w:spacing w:after="0"/>
              <w:rPr>
                <w:sz w:val="18"/>
                <w:szCs w:val="18"/>
                <w:color w:val="auto"/>
              </w:rPr>
            </w:pPr>
          </w:p>
        </w:tc>
        <w:tc>
          <w:tcPr>
            <w:tcW w:w="54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60" w:type="dxa"/>
            <w:vAlign w:val="bottom"/>
            <w:vMerge w:val="restart"/>
            <w:shd w:val="clear" w:color="auto" w:fill="E5F1F8"/>
          </w:tcPr>
          <w:p>
            <w:pPr>
              <w:ind w:left="320"/>
              <w:spacing w:after="0"/>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vMerge w:val="restart"/>
            <w:shd w:val="clear" w:color="auto" w:fill="E5F1F8"/>
          </w:tcPr>
          <w:p>
            <w:pPr>
              <w:jc w:val="right"/>
              <w:ind w:right="209"/>
              <w:spacing w:after="0"/>
              <w:rPr>
                <w:sz w:val="20"/>
                <w:szCs w:val="20"/>
                <w:color w:val="auto"/>
              </w:rPr>
            </w:pPr>
            <w:r>
              <w:rPr>
                <w:rFonts w:ascii="Arial" w:cs="Arial" w:eastAsia="Arial" w:hAnsi="Arial"/>
                <w:sz w:val="14"/>
                <w:szCs w:val="14"/>
                <w:color w:val="007CBA"/>
              </w:rPr>
              <w:t>•</w:t>
            </w:r>
          </w:p>
        </w:tc>
        <w:tc>
          <w:tcPr>
            <w:tcW w:w="4120" w:type="dxa"/>
            <w:vAlign w:val="bottom"/>
            <w:gridSpan w:val="10"/>
            <w:shd w:val="clear" w:color="auto" w:fill="E5F1F8"/>
          </w:tcPr>
          <w:p>
            <w:pPr>
              <w:ind w:left="60"/>
              <w:spacing w:after="0"/>
              <w:rPr>
                <w:sz w:val="20"/>
                <w:szCs w:val="20"/>
                <w:color w:val="auto"/>
              </w:rPr>
            </w:pPr>
            <w:r>
              <w:rPr>
                <w:rFonts w:ascii="Arial" w:cs="Arial" w:eastAsia="Arial" w:hAnsi="Arial"/>
                <w:sz w:val="14"/>
                <w:szCs w:val="14"/>
                <w:color w:val="auto"/>
              </w:rPr>
              <w:t>Necessary in overseeing a sustainable company that relies</w:t>
            </w:r>
          </w:p>
        </w:tc>
        <w:tc>
          <w:tcPr>
            <w:tcW w:w="0" w:type="dxa"/>
            <w:vAlign w:val="bottom"/>
          </w:tcPr>
          <w:p>
            <w:pPr>
              <w:spacing w:after="0"/>
              <w:rPr>
                <w:sz w:val="1"/>
                <w:szCs w:val="1"/>
                <w:color w:val="auto"/>
              </w:rPr>
            </w:pPr>
          </w:p>
        </w:tc>
      </w:tr>
      <w:tr>
        <w:trPr>
          <w:trHeight w:val="91"/>
        </w:trPr>
        <w:tc>
          <w:tcPr>
            <w:tcW w:w="140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Operations</w:t>
            </w:r>
          </w:p>
        </w:tc>
        <w:tc>
          <w:tcPr>
            <w:tcW w:w="500" w:type="dxa"/>
            <w:vAlign w:val="bottom"/>
            <w:shd w:val="clear" w:color="auto" w:fill="E5F1F8"/>
          </w:tcPr>
          <w:p>
            <w:pPr>
              <w:spacing w:after="0"/>
              <w:rPr>
                <w:sz w:val="7"/>
                <w:szCs w:val="7"/>
                <w:color w:val="auto"/>
              </w:rPr>
            </w:pPr>
          </w:p>
        </w:tc>
        <w:tc>
          <w:tcPr>
            <w:tcW w:w="480" w:type="dxa"/>
            <w:vAlign w:val="bottom"/>
            <w:shd w:val="clear" w:color="auto" w:fill="E5F1F8"/>
          </w:tcPr>
          <w:p>
            <w:pPr>
              <w:spacing w:after="0"/>
              <w:rPr>
                <w:sz w:val="7"/>
                <w:szCs w:val="7"/>
                <w:color w:val="auto"/>
              </w:rPr>
            </w:pPr>
          </w:p>
        </w:tc>
        <w:tc>
          <w:tcPr>
            <w:tcW w:w="560" w:type="dxa"/>
            <w:vAlign w:val="bottom"/>
            <w:shd w:val="clear" w:color="auto" w:fill="E5F1F8"/>
          </w:tcPr>
          <w:p>
            <w:pPr>
              <w:spacing w:after="0"/>
              <w:rPr>
                <w:sz w:val="7"/>
                <w:szCs w:val="7"/>
                <w:color w:val="auto"/>
              </w:rPr>
            </w:pPr>
          </w:p>
        </w:tc>
        <w:tc>
          <w:tcPr>
            <w:tcW w:w="580" w:type="dxa"/>
            <w:vAlign w:val="bottom"/>
            <w:vMerge w:val="continue"/>
            <w:shd w:val="clear" w:color="auto" w:fill="E5F1F8"/>
          </w:tcPr>
          <w:p>
            <w:pPr>
              <w:spacing w:after="0"/>
              <w:rPr>
                <w:sz w:val="7"/>
                <w:szCs w:val="7"/>
                <w:color w:val="auto"/>
              </w:rPr>
            </w:pPr>
          </w:p>
        </w:tc>
        <w:tc>
          <w:tcPr>
            <w:tcW w:w="520" w:type="dxa"/>
            <w:vAlign w:val="bottom"/>
            <w:vMerge w:val="continue"/>
            <w:shd w:val="clear" w:color="auto" w:fill="E5F1F8"/>
          </w:tcPr>
          <w:p>
            <w:pPr>
              <w:spacing w:after="0"/>
              <w:rPr>
                <w:sz w:val="7"/>
                <w:szCs w:val="7"/>
                <w:color w:val="auto"/>
              </w:rPr>
            </w:pPr>
          </w:p>
        </w:tc>
        <w:tc>
          <w:tcPr>
            <w:tcW w:w="500" w:type="dxa"/>
            <w:vAlign w:val="bottom"/>
            <w:shd w:val="clear" w:color="auto" w:fill="E5F1F8"/>
          </w:tcPr>
          <w:p>
            <w:pPr>
              <w:spacing w:after="0"/>
              <w:rPr>
                <w:sz w:val="7"/>
                <w:szCs w:val="7"/>
                <w:color w:val="auto"/>
              </w:rPr>
            </w:pPr>
          </w:p>
        </w:tc>
        <w:tc>
          <w:tcPr>
            <w:tcW w:w="54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560" w:type="dxa"/>
            <w:vAlign w:val="bottom"/>
            <w:vMerge w:val="continue"/>
            <w:shd w:val="clear" w:color="auto" w:fill="E5F1F8"/>
          </w:tcPr>
          <w:p>
            <w:pPr>
              <w:spacing w:after="0"/>
              <w:rPr>
                <w:sz w:val="7"/>
                <w:szCs w:val="7"/>
                <w:color w:val="auto"/>
              </w:rPr>
            </w:pPr>
          </w:p>
        </w:tc>
        <w:tc>
          <w:tcPr>
            <w:tcW w:w="600" w:type="dxa"/>
            <w:vAlign w:val="bottom"/>
            <w:tcBorders>
              <w:right w:val="single" w:sz="8" w:color="007CBA"/>
            </w:tcBorders>
            <w:vMerge w:val="continue"/>
            <w:shd w:val="clear" w:color="auto" w:fill="E5F1F8"/>
          </w:tcPr>
          <w:p>
            <w:pPr>
              <w:spacing w:after="0"/>
              <w:rPr>
                <w:sz w:val="7"/>
                <w:szCs w:val="7"/>
                <w:color w:val="auto"/>
              </w:rPr>
            </w:pPr>
          </w:p>
        </w:tc>
        <w:tc>
          <w:tcPr>
            <w:tcW w:w="1300" w:type="dxa"/>
            <w:vAlign w:val="bottom"/>
            <w:gridSpan w:val="3"/>
            <w:vMerge w:val="restart"/>
            <w:shd w:val="clear" w:color="auto" w:fill="E5F1F8"/>
          </w:tcPr>
          <w:p>
            <w:pPr>
              <w:ind w:left="60"/>
              <w:spacing w:after="0"/>
              <w:rPr>
                <w:sz w:val="20"/>
                <w:szCs w:val="20"/>
                <w:color w:val="auto"/>
              </w:rPr>
            </w:pPr>
            <w:r>
              <w:rPr>
                <w:rFonts w:ascii="Arial" w:cs="Arial" w:eastAsia="Arial" w:hAnsi="Arial"/>
                <w:sz w:val="14"/>
                <w:szCs w:val="14"/>
                <w:color w:val="auto"/>
              </w:rPr>
              <w:t>heavily on logistics</w:t>
            </w:r>
          </w:p>
        </w:tc>
        <w:tc>
          <w:tcPr>
            <w:tcW w:w="400" w:type="dxa"/>
            <w:vAlign w:val="bottom"/>
            <w:shd w:val="clear" w:color="auto" w:fill="E5F1F8"/>
          </w:tcPr>
          <w:p>
            <w:pPr>
              <w:spacing w:after="0"/>
              <w:rPr>
                <w:sz w:val="7"/>
                <w:szCs w:val="7"/>
                <w:color w:val="auto"/>
              </w:rPr>
            </w:pPr>
          </w:p>
        </w:tc>
        <w:tc>
          <w:tcPr>
            <w:tcW w:w="240" w:type="dxa"/>
            <w:vAlign w:val="bottom"/>
            <w:shd w:val="clear" w:color="auto" w:fill="E5F1F8"/>
          </w:tcPr>
          <w:p>
            <w:pPr>
              <w:spacing w:after="0"/>
              <w:rPr>
                <w:sz w:val="7"/>
                <w:szCs w:val="7"/>
                <w:color w:val="auto"/>
              </w:rPr>
            </w:pPr>
          </w:p>
        </w:tc>
        <w:tc>
          <w:tcPr>
            <w:tcW w:w="220" w:type="dxa"/>
            <w:vAlign w:val="bottom"/>
            <w:shd w:val="clear" w:color="auto" w:fill="E5F1F8"/>
          </w:tcPr>
          <w:p>
            <w:pPr>
              <w:spacing w:after="0"/>
              <w:rPr>
                <w:sz w:val="7"/>
                <w:szCs w:val="7"/>
                <w:color w:val="auto"/>
              </w:rPr>
            </w:pPr>
          </w:p>
        </w:tc>
        <w:tc>
          <w:tcPr>
            <w:tcW w:w="520" w:type="dxa"/>
            <w:vAlign w:val="bottom"/>
            <w:shd w:val="clear" w:color="auto" w:fill="E5F1F8"/>
          </w:tcPr>
          <w:p>
            <w:pPr>
              <w:spacing w:after="0"/>
              <w:rPr>
                <w:sz w:val="7"/>
                <w:szCs w:val="7"/>
                <w:color w:val="auto"/>
              </w:rPr>
            </w:pPr>
          </w:p>
        </w:tc>
        <w:tc>
          <w:tcPr>
            <w:tcW w:w="560" w:type="dxa"/>
            <w:vAlign w:val="bottom"/>
            <w:shd w:val="clear" w:color="auto" w:fill="E5F1F8"/>
          </w:tcPr>
          <w:p>
            <w:pPr>
              <w:spacing w:after="0"/>
              <w:rPr>
                <w:sz w:val="7"/>
                <w:szCs w:val="7"/>
                <w:color w:val="auto"/>
              </w:rPr>
            </w:pPr>
          </w:p>
        </w:tc>
        <w:tc>
          <w:tcPr>
            <w:tcW w:w="260" w:type="dxa"/>
            <w:vAlign w:val="bottom"/>
            <w:shd w:val="clear" w:color="auto" w:fill="E5F1F8"/>
          </w:tcPr>
          <w:p>
            <w:pPr>
              <w:spacing w:after="0"/>
              <w:rPr>
                <w:sz w:val="7"/>
                <w:szCs w:val="7"/>
                <w:color w:val="auto"/>
              </w:rPr>
            </w:pPr>
          </w:p>
        </w:tc>
        <w:tc>
          <w:tcPr>
            <w:tcW w:w="62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E5F1F8"/>
            </w:tcBorders>
            <w:vMerge w:val="continue"/>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580" w:type="dxa"/>
            <w:vAlign w:val="bottom"/>
            <w:tcBorders>
              <w:bottom w:val="single" w:sz="8" w:color="E5F1F8"/>
            </w:tcBorders>
            <w:shd w:val="clear" w:color="auto" w:fill="E5F1F8"/>
          </w:tcPr>
          <w:p>
            <w:pPr>
              <w:spacing w:after="0"/>
              <w:rPr>
                <w:sz w:val="8"/>
                <w:szCs w:val="8"/>
                <w:color w:val="auto"/>
              </w:rPr>
            </w:pPr>
          </w:p>
        </w:tc>
        <w:tc>
          <w:tcPr>
            <w:tcW w:w="52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4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600" w:type="dxa"/>
            <w:vAlign w:val="bottom"/>
            <w:tcBorders>
              <w:bottom w:val="single" w:sz="8" w:color="E5F1F8"/>
              <w:right w:val="single" w:sz="8" w:color="007CBA"/>
            </w:tcBorders>
            <w:shd w:val="clear" w:color="auto" w:fill="E5F1F8"/>
          </w:tcPr>
          <w:p>
            <w:pPr>
              <w:spacing w:after="0"/>
              <w:rPr>
                <w:sz w:val="8"/>
                <w:szCs w:val="8"/>
                <w:color w:val="auto"/>
              </w:rPr>
            </w:pPr>
          </w:p>
        </w:tc>
        <w:tc>
          <w:tcPr>
            <w:tcW w:w="1300" w:type="dxa"/>
            <w:vAlign w:val="bottom"/>
            <w:tcBorders>
              <w:bottom w:val="single" w:sz="8" w:color="E5F1F8"/>
            </w:tcBorders>
            <w:gridSpan w:val="3"/>
            <w:vMerge w:val="continue"/>
            <w:shd w:val="clear" w:color="auto" w:fill="E5F1F8"/>
          </w:tcPr>
          <w:p>
            <w:pPr>
              <w:spacing w:after="0"/>
              <w:rPr>
                <w:sz w:val="8"/>
                <w:szCs w:val="8"/>
                <w:color w:val="auto"/>
              </w:rPr>
            </w:pPr>
          </w:p>
        </w:tc>
        <w:tc>
          <w:tcPr>
            <w:tcW w:w="400" w:type="dxa"/>
            <w:vAlign w:val="bottom"/>
            <w:tcBorders>
              <w:bottom w:val="single" w:sz="8" w:color="E5F1F8"/>
            </w:tcBorders>
            <w:shd w:val="clear" w:color="auto" w:fill="E5F1F8"/>
          </w:tcPr>
          <w:p>
            <w:pPr>
              <w:spacing w:after="0"/>
              <w:rPr>
                <w:sz w:val="8"/>
                <w:szCs w:val="8"/>
                <w:color w:val="auto"/>
              </w:rPr>
            </w:pPr>
          </w:p>
        </w:tc>
        <w:tc>
          <w:tcPr>
            <w:tcW w:w="240" w:type="dxa"/>
            <w:vAlign w:val="bottom"/>
            <w:tcBorders>
              <w:bottom w:val="single" w:sz="8" w:color="E5F1F8"/>
            </w:tcBorders>
            <w:shd w:val="clear" w:color="auto" w:fill="E5F1F8"/>
          </w:tcPr>
          <w:p>
            <w:pPr>
              <w:spacing w:after="0"/>
              <w:rPr>
                <w:sz w:val="8"/>
                <w:szCs w:val="8"/>
                <w:color w:val="auto"/>
              </w:rPr>
            </w:pPr>
          </w:p>
        </w:tc>
        <w:tc>
          <w:tcPr>
            <w:tcW w:w="220" w:type="dxa"/>
            <w:vAlign w:val="bottom"/>
            <w:tcBorders>
              <w:bottom w:val="single" w:sz="8" w:color="E5F1F8"/>
            </w:tcBorders>
            <w:shd w:val="clear" w:color="auto" w:fill="E5F1F8"/>
          </w:tcPr>
          <w:p>
            <w:pPr>
              <w:spacing w:after="0"/>
              <w:rPr>
                <w:sz w:val="8"/>
                <w:szCs w:val="8"/>
                <w:color w:val="auto"/>
              </w:rPr>
            </w:pPr>
          </w:p>
        </w:tc>
        <w:tc>
          <w:tcPr>
            <w:tcW w:w="52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260" w:type="dxa"/>
            <w:vAlign w:val="bottom"/>
            <w:tcBorders>
              <w:bottom w:val="single" w:sz="8" w:color="E5F1F8"/>
            </w:tcBorders>
            <w:shd w:val="clear" w:color="auto" w:fill="E5F1F8"/>
          </w:tcPr>
          <w:p>
            <w:pPr>
              <w:spacing w:after="0"/>
              <w:rPr>
                <w:sz w:val="8"/>
                <w:szCs w:val="8"/>
                <w:color w:val="auto"/>
              </w:rPr>
            </w:pPr>
          </w:p>
        </w:tc>
        <w:tc>
          <w:tcPr>
            <w:tcW w:w="62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400" w:type="dxa"/>
            <w:vAlign w:val="bottom"/>
          </w:tcPr>
          <w:p>
            <w:pPr>
              <w:ind w:left="80"/>
              <w:spacing w:after="0"/>
              <w:rPr>
                <w:sz w:val="20"/>
                <w:szCs w:val="20"/>
                <w:color w:val="auto"/>
              </w:rPr>
            </w:pPr>
            <w:r>
              <w:rPr>
                <w:rFonts w:ascii="Arial" w:cs="Arial" w:eastAsia="Arial" w:hAnsi="Arial"/>
                <w:sz w:val="14"/>
                <w:szCs w:val="14"/>
                <w:color w:val="auto"/>
              </w:rPr>
              <w:t>Other Public</w:t>
            </w:r>
          </w:p>
        </w:tc>
        <w:tc>
          <w:tcPr>
            <w:tcW w:w="500" w:type="dxa"/>
            <w:vAlign w:val="bottom"/>
            <w:vMerge w:val="restart"/>
          </w:tcPr>
          <w:p>
            <w:pPr>
              <w:ind w:left="260"/>
              <w:spacing w:after="0"/>
              <w:rPr>
                <w:sz w:val="20"/>
                <w:szCs w:val="20"/>
                <w:color w:val="auto"/>
              </w:rPr>
            </w:pPr>
            <w:r>
              <w:rPr>
                <w:rFonts w:ascii="Arial" w:cs="Arial" w:eastAsia="Arial" w:hAnsi="Arial"/>
                <w:sz w:val="14"/>
                <w:szCs w:val="14"/>
                <w:color w:val="007CBA"/>
              </w:rPr>
              <w:t>•</w:t>
            </w:r>
          </w:p>
        </w:tc>
        <w:tc>
          <w:tcPr>
            <w:tcW w:w="48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560" w:type="dxa"/>
            <w:vAlign w:val="bottom"/>
          </w:tcPr>
          <w:p>
            <w:pPr>
              <w:spacing w:after="0"/>
              <w:rPr>
                <w:sz w:val="18"/>
                <w:szCs w:val="18"/>
                <w:color w:val="auto"/>
              </w:rPr>
            </w:pPr>
          </w:p>
        </w:tc>
        <w:tc>
          <w:tcPr>
            <w:tcW w:w="580" w:type="dxa"/>
            <w:vAlign w:val="bottom"/>
            <w:vMerge w:val="restart"/>
          </w:tcPr>
          <w:p>
            <w:pPr>
              <w:ind w:left="260"/>
              <w:spacing w:after="0"/>
              <w:rPr>
                <w:sz w:val="20"/>
                <w:szCs w:val="20"/>
                <w:color w:val="auto"/>
              </w:rPr>
            </w:pPr>
            <w:r>
              <w:rPr>
                <w:rFonts w:ascii="Arial" w:cs="Arial" w:eastAsia="Arial" w:hAnsi="Arial"/>
                <w:sz w:val="14"/>
                <w:szCs w:val="14"/>
                <w:color w:val="007CBA"/>
              </w:rPr>
              <w:t>•</w:t>
            </w:r>
          </w:p>
        </w:tc>
        <w:tc>
          <w:tcPr>
            <w:tcW w:w="520" w:type="dxa"/>
            <w:vAlign w:val="bottom"/>
            <w:vMerge w:val="restart"/>
          </w:tcPr>
          <w:p>
            <w:pPr>
              <w:ind w:left="26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540" w:type="dxa"/>
            <w:vAlign w:val="bottom"/>
            <w:vMerge w:val="restart"/>
          </w:tcPr>
          <w:p>
            <w:pPr>
              <w:ind w:left="24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40"/>
              <w:spacing w:after="0"/>
              <w:rPr>
                <w:sz w:val="20"/>
                <w:szCs w:val="20"/>
                <w:color w:val="auto"/>
              </w:rPr>
            </w:pPr>
            <w:r>
              <w:rPr>
                <w:rFonts w:ascii="Arial" w:cs="Arial" w:eastAsia="Arial" w:hAnsi="Arial"/>
                <w:sz w:val="14"/>
                <w:szCs w:val="14"/>
                <w:color w:val="007CBA"/>
              </w:rPr>
              <w:t>•</w:t>
            </w:r>
          </w:p>
        </w:tc>
        <w:tc>
          <w:tcPr>
            <w:tcW w:w="560" w:type="dxa"/>
            <w:vAlign w:val="bottom"/>
            <w:vMerge w:val="restart"/>
          </w:tcPr>
          <w:p>
            <w:pPr>
              <w:ind w:left="320"/>
              <w:spacing w:after="0"/>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Adds  perspective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important</w:t>
            </w:r>
          </w:p>
        </w:tc>
        <w:tc>
          <w:tcPr>
            <w:tcW w:w="220" w:type="dxa"/>
            <w:vAlign w:val="bottom"/>
          </w:tcPr>
          <w:p>
            <w:pPr>
              <w:jc w:val="right"/>
              <w:spacing w:after="0"/>
              <w:rPr>
                <w:sz w:val="20"/>
                <w:szCs w:val="20"/>
                <w:color w:val="auto"/>
              </w:rPr>
            </w:pPr>
            <w:r>
              <w:rPr>
                <w:rFonts w:ascii="Arial" w:cs="Arial" w:eastAsia="Arial" w:hAnsi="Arial"/>
                <w:sz w:val="14"/>
                <w:szCs w:val="14"/>
                <w:color w:val="auto"/>
              </w:rPr>
              <w:t>to</w:t>
            </w: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shareholders  and</w:t>
            </w:r>
          </w:p>
        </w:tc>
        <w:tc>
          <w:tcPr>
            <w:tcW w:w="620" w:type="dxa"/>
            <w:vAlign w:val="bottom"/>
          </w:tcPr>
          <w:p>
            <w:pPr>
              <w:jc w:val="right"/>
              <w:ind w:right="149"/>
              <w:spacing w:after="0"/>
              <w:rPr>
                <w:sz w:val="20"/>
                <w:szCs w:val="20"/>
                <w:color w:val="auto"/>
              </w:rPr>
            </w:pPr>
            <w:r>
              <w:rPr>
                <w:rFonts w:ascii="Arial" w:cs="Arial" w:eastAsia="Arial" w:hAnsi="Arial"/>
                <w:sz w:val="14"/>
                <w:szCs w:val="14"/>
                <w:color w:val="auto"/>
              </w:rPr>
              <w:t>public</w:t>
            </w:r>
          </w:p>
        </w:tc>
        <w:tc>
          <w:tcPr>
            <w:tcW w:w="0" w:type="dxa"/>
            <w:vAlign w:val="bottom"/>
          </w:tcPr>
          <w:p>
            <w:pPr>
              <w:spacing w:after="0"/>
              <w:rPr>
                <w:sz w:val="1"/>
                <w:szCs w:val="1"/>
                <w:color w:val="auto"/>
              </w:rPr>
            </w:pPr>
          </w:p>
        </w:tc>
      </w:tr>
      <w:tr>
        <w:trPr>
          <w:trHeight w:val="91"/>
        </w:trPr>
        <w:tc>
          <w:tcPr>
            <w:tcW w:w="1400" w:type="dxa"/>
            <w:vAlign w:val="bottom"/>
            <w:vMerge w:val="restart"/>
          </w:tcPr>
          <w:p>
            <w:pPr>
              <w:ind w:left="80"/>
              <w:spacing w:after="0"/>
              <w:rPr>
                <w:sz w:val="20"/>
                <w:szCs w:val="20"/>
                <w:color w:val="auto"/>
              </w:rPr>
            </w:pPr>
            <w:r>
              <w:rPr>
                <w:rFonts w:ascii="Arial" w:cs="Arial" w:eastAsia="Arial" w:hAnsi="Arial"/>
                <w:sz w:val="14"/>
                <w:szCs w:val="14"/>
                <w:color w:val="auto"/>
              </w:rPr>
              <w:t>Boards</w:t>
            </w:r>
          </w:p>
        </w:tc>
        <w:tc>
          <w:tcPr>
            <w:tcW w:w="5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Borders>
              <w:right w:val="single" w:sz="8" w:color="007CBA"/>
            </w:tcBorders>
          </w:tcPr>
          <w:p>
            <w:pPr>
              <w:spacing w:after="0"/>
              <w:rPr>
                <w:sz w:val="7"/>
                <w:szCs w:val="7"/>
                <w:color w:val="auto"/>
              </w:rPr>
            </w:pPr>
          </w:p>
        </w:tc>
        <w:tc>
          <w:tcPr>
            <w:tcW w:w="1700" w:type="dxa"/>
            <w:vAlign w:val="bottom"/>
            <w:gridSpan w:val="4"/>
            <w:vMerge w:val="restart"/>
          </w:tcPr>
          <w:p>
            <w:pPr>
              <w:ind w:left="60"/>
              <w:spacing w:after="0"/>
              <w:rPr>
                <w:sz w:val="20"/>
                <w:szCs w:val="20"/>
                <w:color w:val="auto"/>
              </w:rPr>
            </w:pPr>
            <w:r>
              <w:rPr>
                <w:rFonts w:ascii="Arial" w:cs="Arial" w:eastAsia="Arial" w:hAnsi="Arial"/>
                <w:sz w:val="14"/>
                <w:szCs w:val="14"/>
                <w:color w:val="auto"/>
              </w:rPr>
              <w:t>company governance</w:t>
            </w: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4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170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Borders>
              <w:right w:val="single" w:sz="8" w:color="007CBA"/>
            </w:tcBorders>
          </w:tcPr>
          <w:p>
            <w:pPr>
              <w:spacing w:after="0"/>
              <w:rPr>
                <w:sz w:val="3"/>
                <w:szCs w:val="3"/>
                <w:color w:val="auto"/>
              </w:rPr>
            </w:pPr>
          </w:p>
        </w:tc>
        <w:tc>
          <w:tcPr>
            <w:tcW w:w="1700" w:type="dxa"/>
            <w:vAlign w:val="bottom"/>
            <w:gridSpan w:val="4"/>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0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Risk Management</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6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8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2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4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60" w:type="dxa"/>
            <w:vAlign w:val="bottom"/>
            <w:vMerge w:val="restart"/>
            <w:shd w:val="clear" w:color="auto" w:fill="E5F1F8"/>
          </w:tcPr>
          <w:p>
            <w:pPr>
              <w:ind w:left="320"/>
              <w:spacing w:after="0"/>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vMerge w:val="restart"/>
            <w:shd w:val="clear" w:color="auto" w:fill="E5F1F8"/>
          </w:tcPr>
          <w:p>
            <w:pPr>
              <w:jc w:val="right"/>
              <w:ind w:right="209"/>
              <w:spacing w:after="0"/>
              <w:rPr>
                <w:sz w:val="20"/>
                <w:szCs w:val="20"/>
                <w:color w:val="auto"/>
              </w:rPr>
            </w:pPr>
            <w:r>
              <w:rPr>
                <w:rFonts w:ascii="Arial" w:cs="Arial" w:eastAsia="Arial" w:hAnsi="Arial"/>
                <w:sz w:val="14"/>
                <w:szCs w:val="14"/>
                <w:color w:val="007CBA"/>
              </w:rPr>
              <w:t>•</w:t>
            </w:r>
          </w:p>
        </w:tc>
        <w:tc>
          <w:tcPr>
            <w:tcW w:w="1700" w:type="dxa"/>
            <w:vAlign w:val="bottom"/>
            <w:gridSpan w:val="4"/>
            <w:shd w:val="clear" w:color="auto" w:fill="E5F1F8"/>
          </w:tcPr>
          <w:p>
            <w:pPr>
              <w:ind w:left="60"/>
              <w:spacing w:after="0"/>
              <w:rPr>
                <w:sz w:val="20"/>
                <w:szCs w:val="20"/>
                <w:color w:val="auto"/>
              </w:rPr>
            </w:pPr>
            <w:r>
              <w:rPr>
                <w:rFonts w:ascii="Arial" w:cs="Arial" w:eastAsia="Arial" w:hAnsi="Arial"/>
                <w:sz w:val="14"/>
                <w:szCs w:val="14"/>
                <w:color w:val="auto"/>
              </w:rPr>
              <w:t>Facilitates understanding</w:t>
            </w:r>
          </w:p>
        </w:tc>
        <w:tc>
          <w:tcPr>
            <w:tcW w:w="240" w:type="dxa"/>
            <w:vAlign w:val="bottom"/>
            <w:shd w:val="clear" w:color="auto" w:fill="E5F1F8"/>
          </w:tcPr>
          <w:p>
            <w:pPr>
              <w:ind w:left="40"/>
              <w:spacing w:after="0"/>
              <w:rPr>
                <w:sz w:val="20"/>
                <w:szCs w:val="20"/>
                <w:color w:val="auto"/>
              </w:rPr>
            </w:pPr>
            <w:r>
              <w:rPr>
                <w:rFonts w:ascii="Arial" w:cs="Arial" w:eastAsia="Arial" w:hAnsi="Arial"/>
                <w:sz w:val="14"/>
                <w:szCs w:val="14"/>
                <w:color w:val="auto"/>
              </w:rPr>
              <w:t>of</w:t>
            </w:r>
          </w:p>
        </w:tc>
        <w:tc>
          <w:tcPr>
            <w:tcW w:w="220" w:type="dxa"/>
            <w:vAlign w:val="bottom"/>
            <w:shd w:val="clear" w:color="auto" w:fill="E5F1F8"/>
          </w:tcPr>
          <w:p>
            <w:pPr>
              <w:jc w:val="right"/>
              <w:spacing w:after="0"/>
              <w:rPr>
                <w:sz w:val="20"/>
                <w:szCs w:val="20"/>
                <w:color w:val="auto"/>
              </w:rPr>
            </w:pPr>
            <w:r>
              <w:rPr>
                <w:rFonts w:ascii="Arial" w:cs="Arial" w:eastAsia="Arial" w:hAnsi="Arial"/>
                <w:sz w:val="14"/>
                <w:szCs w:val="14"/>
                <w:color w:val="auto"/>
                <w:w w:val="92"/>
              </w:rPr>
              <w:t>the</w:t>
            </w:r>
          </w:p>
        </w:tc>
        <w:tc>
          <w:tcPr>
            <w:tcW w:w="1080" w:type="dxa"/>
            <w:vAlign w:val="bottom"/>
            <w:gridSpan w:val="2"/>
            <w:shd w:val="clear" w:color="auto" w:fill="E5F1F8"/>
          </w:tcPr>
          <w:p>
            <w:pPr>
              <w:jc w:val="right"/>
              <w:spacing w:after="0"/>
              <w:rPr>
                <w:sz w:val="20"/>
                <w:szCs w:val="20"/>
                <w:color w:val="auto"/>
              </w:rPr>
            </w:pPr>
            <w:r>
              <w:rPr>
                <w:rFonts w:ascii="Arial" w:cs="Arial" w:eastAsia="Arial" w:hAnsi="Arial"/>
                <w:sz w:val="14"/>
                <w:szCs w:val="14"/>
                <w:color w:val="auto"/>
              </w:rPr>
              <w:t>risks facing the</w:t>
            </w:r>
          </w:p>
        </w:tc>
        <w:tc>
          <w:tcPr>
            <w:tcW w:w="880" w:type="dxa"/>
            <w:vAlign w:val="bottom"/>
            <w:gridSpan w:val="2"/>
            <w:shd w:val="clear" w:color="auto" w:fill="E5F1F8"/>
          </w:tcPr>
          <w:p>
            <w:pPr>
              <w:jc w:val="right"/>
              <w:ind w:right="149"/>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91"/>
        </w:trPr>
        <w:tc>
          <w:tcPr>
            <w:tcW w:w="140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60" w:type="dxa"/>
            <w:vAlign w:val="bottom"/>
            <w:vMerge w:val="continue"/>
            <w:shd w:val="clear" w:color="auto" w:fill="E5F1F8"/>
          </w:tcPr>
          <w:p>
            <w:pPr>
              <w:spacing w:after="0"/>
              <w:rPr>
                <w:sz w:val="7"/>
                <w:szCs w:val="7"/>
                <w:color w:val="auto"/>
              </w:rPr>
            </w:pPr>
          </w:p>
        </w:tc>
        <w:tc>
          <w:tcPr>
            <w:tcW w:w="580" w:type="dxa"/>
            <w:vAlign w:val="bottom"/>
            <w:vMerge w:val="continue"/>
            <w:shd w:val="clear" w:color="auto" w:fill="E5F1F8"/>
          </w:tcPr>
          <w:p>
            <w:pPr>
              <w:spacing w:after="0"/>
              <w:rPr>
                <w:sz w:val="7"/>
                <w:szCs w:val="7"/>
                <w:color w:val="auto"/>
              </w:rPr>
            </w:pPr>
          </w:p>
        </w:tc>
        <w:tc>
          <w:tcPr>
            <w:tcW w:w="52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54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560" w:type="dxa"/>
            <w:vAlign w:val="bottom"/>
            <w:vMerge w:val="continue"/>
            <w:shd w:val="clear" w:color="auto" w:fill="E5F1F8"/>
          </w:tcPr>
          <w:p>
            <w:pPr>
              <w:spacing w:after="0"/>
              <w:rPr>
                <w:sz w:val="7"/>
                <w:szCs w:val="7"/>
                <w:color w:val="auto"/>
              </w:rPr>
            </w:pPr>
          </w:p>
        </w:tc>
        <w:tc>
          <w:tcPr>
            <w:tcW w:w="600" w:type="dxa"/>
            <w:vAlign w:val="bottom"/>
            <w:tcBorders>
              <w:right w:val="single" w:sz="8" w:color="007CBA"/>
            </w:tcBorders>
            <w:vMerge w:val="continue"/>
            <w:shd w:val="clear" w:color="auto" w:fill="E5F1F8"/>
          </w:tcPr>
          <w:p>
            <w:pPr>
              <w:spacing w:after="0"/>
              <w:rPr>
                <w:sz w:val="7"/>
                <w:szCs w:val="7"/>
                <w:color w:val="auto"/>
              </w:rPr>
            </w:pPr>
          </w:p>
        </w:tc>
        <w:tc>
          <w:tcPr>
            <w:tcW w:w="4120" w:type="dxa"/>
            <w:vAlign w:val="bottom"/>
            <w:gridSpan w:val="10"/>
            <w:vMerge w:val="restart"/>
            <w:shd w:val="clear" w:color="auto" w:fill="E5F1F8"/>
          </w:tcPr>
          <w:p>
            <w:pPr>
              <w:ind w:left="60"/>
              <w:spacing w:after="0"/>
              <w:rPr>
                <w:sz w:val="20"/>
                <w:szCs w:val="20"/>
                <w:color w:val="auto"/>
              </w:rPr>
            </w:pPr>
            <w:r>
              <w:rPr>
                <w:rFonts w:ascii="Arial" w:cs="Arial" w:eastAsia="Arial" w:hAnsi="Arial"/>
                <w:sz w:val="14"/>
                <w:szCs w:val="14"/>
                <w:color w:val="auto"/>
              </w:rPr>
              <w:t>and appropriate process and procedures for managing them</w:t>
            </w:r>
          </w:p>
        </w:tc>
        <w:tc>
          <w:tcPr>
            <w:tcW w:w="0" w:type="dxa"/>
            <w:vAlign w:val="bottom"/>
          </w:tcPr>
          <w:p>
            <w:pPr>
              <w:spacing w:after="0"/>
              <w:rPr>
                <w:sz w:val="1"/>
                <w:szCs w:val="1"/>
                <w:color w:val="auto"/>
              </w:rPr>
            </w:pPr>
          </w:p>
        </w:tc>
      </w:tr>
      <w:tr>
        <w:trPr>
          <w:trHeight w:val="98"/>
        </w:trPr>
        <w:tc>
          <w:tcPr>
            <w:tcW w:w="140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580" w:type="dxa"/>
            <w:vAlign w:val="bottom"/>
            <w:tcBorders>
              <w:bottom w:val="single" w:sz="8" w:color="E5F1F8"/>
            </w:tcBorders>
            <w:shd w:val="clear" w:color="auto" w:fill="E5F1F8"/>
          </w:tcPr>
          <w:p>
            <w:pPr>
              <w:spacing w:after="0"/>
              <w:rPr>
                <w:sz w:val="8"/>
                <w:szCs w:val="8"/>
                <w:color w:val="auto"/>
              </w:rPr>
            </w:pPr>
          </w:p>
        </w:tc>
        <w:tc>
          <w:tcPr>
            <w:tcW w:w="52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4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600" w:type="dxa"/>
            <w:vAlign w:val="bottom"/>
            <w:tcBorders>
              <w:bottom w:val="single" w:sz="8" w:color="E5F1F8"/>
              <w:right w:val="single" w:sz="8" w:color="007CBA"/>
            </w:tcBorders>
            <w:shd w:val="clear" w:color="auto" w:fill="E5F1F8"/>
          </w:tcPr>
          <w:p>
            <w:pPr>
              <w:spacing w:after="0"/>
              <w:rPr>
                <w:sz w:val="8"/>
                <w:szCs w:val="8"/>
                <w:color w:val="auto"/>
              </w:rPr>
            </w:pPr>
          </w:p>
        </w:tc>
        <w:tc>
          <w:tcPr>
            <w:tcW w:w="4120" w:type="dxa"/>
            <w:vAlign w:val="bottom"/>
            <w:tcBorders>
              <w:bottom w:val="single" w:sz="8" w:color="E5F1F8"/>
            </w:tcBorders>
            <w:gridSpan w:val="10"/>
            <w:vMerge w:val="continue"/>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Borders>
              <w:right w:val="single" w:sz="8" w:color="007CBA"/>
            </w:tcBorders>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Supports</w:t>
            </w:r>
          </w:p>
        </w:tc>
        <w:tc>
          <w:tcPr>
            <w:tcW w:w="2020" w:type="dxa"/>
            <w:vAlign w:val="bottom"/>
            <w:gridSpan w:val="6"/>
          </w:tcPr>
          <w:p>
            <w:pPr>
              <w:ind w:left="40"/>
              <w:spacing w:after="0"/>
              <w:rPr>
                <w:sz w:val="20"/>
                <w:szCs w:val="20"/>
                <w:color w:val="auto"/>
              </w:rPr>
            </w:pPr>
            <w:r>
              <w:rPr>
                <w:rFonts w:ascii="Arial" w:cs="Arial" w:eastAsia="Arial" w:hAnsi="Arial"/>
                <w:sz w:val="14"/>
                <w:szCs w:val="14"/>
                <w:color w:val="auto"/>
              </w:rPr>
              <w:t>setting of long-term corporate</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vision,</w:t>
            </w:r>
          </w:p>
        </w:tc>
        <w:tc>
          <w:tcPr>
            <w:tcW w:w="880" w:type="dxa"/>
            <w:vAlign w:val="bottom"/>
            <w:gridSpan w:val="2"/>
          </w:tcPr>
          <w:p>
            <w:pPr>
              <w:jc w:val="right"/>
              <w:ind w:right="149"/>
              <w:spacing w:after="0"/>
              <w:rPr>
                <w:sz w:val="20"/>
                <w:szCs w:val="20"/>
                <w:color w:val="auto"/>
              </w:rPr>
            </w:pPr>
            <w:r>
              <w:rPr>
                <w:rFonts w:ascii="Arial" w:cs="Arial" w:eastAsia="Arial" w:hAnsi="Arial"/>
                <w:sz w:val="14"/>
                <w:szCs w:val="14"/>
                <w:color w:val="auto"/>
                <w:w w:val="97"/>
              </w:rPr>
              <w:t>disciplined</w:t>
            </w:r>
          </w:p>
        </w:tc>
        <w:tc>
          <w:tcPr>
            <w:tcW w:w="0" w:type="dxa"/>
            <w:vAlign w:val="bottom"/>
          </w:tcPr>
          <w:p>
            <w:pPr>
              <w:spacing w:after="0"/>
              <w:rPr>
                <w:sz w:val="1"/>
                <w:szCs w:val="1"/>
                <w:color w:val="auto"/>
              </w:rPr>
            </w:pPr>
          </w:p>
        </w:tc>
      </w:tr>
      <w:tr>
        <w:trPr>
          <w:trHeight w:val="160"/>
        </w:trPr>
        <w:tc>
          <w:tcPr>
            <w:tcW w:w="1400" w:type="dxa"/>
            <w:vAlign w:val="bottom"/>
          </w:tcPr>
          <w:p>
            <w:pPr>
              <w:ind w:left="80"/>
              <w:spacing w:after="0" w:line="160" w:lineRule="exact"/>
              <w:rPr>
                <w:sz w:val="20"/>
                <w:szCs w:val="20"/>
                <w:color w:val="auto"/>
              </w:rPr>
            </w:pPr>
            <w:r>
              <w:rPr>
                <w:rFonts w:ascii="Arial" w:cs="Arial" w:eastAsia="Arial" w:hAnsi="Arial"/>
                <w:sz w:val="14"/>
                <w:szCs w:val="14"/>
                <w:color w:val="auto"/>
              </w:rPr>
              <w:t>Strategy/M&amp;A</w:t>
            </w:r>
          </w:p>
        </w:tc>
        <w:tc>
          <w:tcPr>
            <w:tcW w:w="500" w:type="dxa"/>
            <w:vAlign w:val="bottom"/>
          </w:tcPr>
          <w:p>
            <w:pPr>
              <w:ind w:left="260"/>
              <w:spacing w:after="0" w:line="160" w:lineRule="exact"/>
              <w:rPr>
                <w:sz w:val="20"/>
                <w:szCs w:val="20"/>
                <w:color w:val="auto"/>
              </w:rPr>
            </w:pPr>
            <w:r>
              <w:rPr>
                <w:rFonts w:ascii="Arial" w:cs="Arial" w:eastAsia="Arial" w:hAnsi="Arial"/>
                <w:sz w:val="14"/>
                <w:szCs w:val="14"/>
                <w:color w:val="007CBA"/>
              </w:rPr>
              <w:t>•</w:t>
            </w:r>
          </w:p>
        </w:tc>
        <w:tc>
          <w:tcPr>
            <w:tcW w:w="480" w:type="dxa"/>
            <w:vAlign w:val="bottom"/>
          </w:tcPr>
          <w:p>
            <w:pPr>
              <w:ind w:left="220"/>
              <w:spacing w:after="0" w:line="160" w:lineRule="exact"/>
              <w:rPr>
                <w:sz w:val="20"/>
                <w:szCs w:val="20"/>
                <w:color w:val="auto"/>
              </w:rPr>
            </w:pPr>
            <w:r>
              <w:rPr>
                <w:rFonts w:ascii="Arial" w:cs="Arial" w:eastAsia="Arial" w:hAnsi="Arial"/>
                <w:sz w:val="14"/>
                <w:szCs w:val="14"/>
                <w:color w:val="007CBA"/>
              </w:rPr>
              <w:t>•</w:t>
            </w:r>
          </w:p>
        </w:tc>
        <w:tc>
          <w:tcPr>
            <w:tcW w:w="560" w:type="dxa"/>
            <w:vAlign w:val="bottom"/>
          </w:tcPr>
          <w:p>
            <w:pPr>
              <w:ind w:left="240"/>
              <w:spacing w:after="0" w:line="160" w:lineRule="exact"/>
              <w:rPr>
                <w:sz w:val="20"/>
                <w:szCs w:val="20"/>
                <w:color w:val="auto"/>
              </w:rPr>
            </w:pPr>
            <w:r>
              <w:rPr>
                <w:rFonts w:ascii="Arial" w:cs="Arial" w:eastAsia="Arial" w:hAnsi="Arial"/>
                <w:sz w:val="14"/>
                <w:szCs w:val="14"/>
                <w:color w:val="007CBA"/>
              </w:rPr>
              <w:t>•</w:t>
            </w:r>
          </w:p>
        </w:tc>
        <w:tc>
          <w:tcPr>
            <w:tcW w:w="580" w:type="dxa"/>
            <w:vAlign w:val="bottom"/>
          </w:tcPr>
          <w:p>
            <w:pPr>
              <w:ind w:left="260"/>
              <w:spacing w:after="0" w:line="160" w:lineRule="exact"/>
              <w:rPr>
                <w:sz w:val="20"/>
                <w:szCs w:val="20"/>
                <w:color w:val="auto"/>
              </w:rPr>
            </w:pPr>
            <w:r>
              <w:rPr>
                <w:rFonts w:ascii="Arial" w:cs="Arial" w:eastAsia="Arial" w:hAnsi="Arial"/>
                <w:sz w:val="14"/>
                <w:szCs w:val="14"/>
                <w:color w:val="007CBA"/>
              </w:rPr>
              <w:t>•</w:t>
            </w:r>
          </w:p>
        </w:tc>
        <w:tc>
          <w:tcPr>
            <w:tcW w:w="520" w:type="dxa"/>
            <w:vAlign w:val="bottom"/>
          </w:tcPr>
          <w:p>
            <w:pPr>
              <w:ind w:left="260"/>
              <w:spacing w:after="0" w:line="160" w:lineRule="exact"/>
              <w:rPr>
                <w:sz w:val="20"/>
                <w:szCs w:val="20"/>
                <w:color w:val="auto"/>
              </w:rPr>
            </w:pPr>
            <w:r>
              <w:rPr>
                <w:rFonts w:ascii="Arial" w:cs="Arial" w:eastAsia="Arial" w:hAnsi="Arial"/>
                <w:sz w:val="14"/>
                <w:szCs w:val="14"/>
                <w:color w:val="007CBA"/>
              </w:rPr>
              <w:t>•</w:t>
            </w:r>
          </w:p>
        </w:tc>
        <w:tc>
          <w:tcPr>
            <w:tcW w:w="500" w:type="dxa"/>
            <w:vAlign w:val="bottom"/>
          </w:tcPr>
          <w:p>
            <w:pPr>
              <w:ind w:left="220"/>
              <w:spacing w:after="0" w:line="160" w:lineRule="exact"/>
              <w:rPr>
                <w:sz w:val="20"/>
                <w:szCs w:val="20"/>
                <w:color w:val="auto"/>
              </w:rPr>
            </w:pPr>
            <w:r>
              <w:rPr>
                <w:rFonts w:ascii="Arial" w:cs="Arial" w:eastAsia="Arial" w:hAnsi="Arial"/>
                <w:sz w:val="14"/>
                <w:szCs w:val="14"/>
                <w:color w:val="007CBA"/>
              </w:rPr>
              <w:t>•</w:t>
            </w:r>
          </w:p>
        </w:tc>
        <w:tc>
          <w:tcPr>
            <w:tcW w:w="540" w:type="dxa"/>
            <w:vAlign w:val="bottom"/>
          </w:tcPr>
          <w:p>
            <w:pPr>
              <w:ind w:left="240"/>
              <w:spacing w:after="0" w:line="160" w:lineRule="exact"/>
              <w:rPr>
                <w:sz w:val="20"/>
                <w:szCs w:val="20"/>
                <w:color w:val="auto"/>
              </w:rPr>
            </w:pPr>
            <w:r>
              <w:rPr>
                <w:rFonts w:ascii="Arial" w:cs="Arial" w:eastAsia="Arial" w:hAnsi="Arial"/>
                <w:sz w:val="14"/>
                <w:szCs w:val="14"/>
                <w:color w:val="007CBA"/>
              </w:rPr>
              <w:t>•</w:t>
            </w:r>
          </w:p>
        </w:tc>
        <w:tc>
          <w:tcPr>
            <w:tcW w:w="500" w:type="dxa"/>
            <w:vAlign w:val="bottom"/>
          </w:tcPr>
          <w:p>
            <w:pPr>
              <w:ind w:left="240"/>
              <w:spacing w:after="0" w:line="160" w:lineRule="exact"/>
              <w:rPr>
                <w:sz w:val="20"/>
                <w:szCs w:val="20"/>
                <w:color w:val="auto"/>
              </w:rPr>
            </w:pPr>
            <w:r>
              <w:rPr>
                <w:rFonts w:ascii="Arial" w:cs="Arial" w:eastAsia="Arial" w:hAnsi="Arial"/>
                <w:sz w:val="14"/>
                <w:szCs w:val="14"/>
                <w:color w:val="007CBA"/>
              </w:rPr>
              <w:t>•</w:t>
            </w:r>
          </w:p>
        </w:tc>
        <w:tc>
          <w:tcPr>
            <w:tcW w:w="560" w:type="dxa"/>
            <w:vAlign w:val="bottom"/>
          </w:tcPr>
          <w:p>
            <w:pPr>
              <w:ind w:left="320"/>
              <w:spacing w:after="0" w:line="160" w:lineRule="exact"/>
              <w:rPr>
                <w:sz w:val="20"/>
                <w:szCs w:val="20"/>
                <w:color w:val="auto"/>
              </w:rPr>
            </w:pPr>
            <w:r>
              <w:rPr>
                <w:rFonts w:ascii="Arial" w:cs="Arial" w:eastAsia="Arial" w:hAnsi="Arial"/>
                <w:sz w:val="14"/>
                <w:szCs w:val="14"/>
                <w:color w:val="007CBA"/>
              </w:rPr>
              <w:t>•</w:t>
            </w:r>
          </w:p>
        </w:tc>
        <w:tc>
          <w:tcPr>
            <w:tcW w:w="600" w:type="dxa"/>
            <w:vAlign w:val="bottom"/>
            <w:tcBorders>
              <w:right w:val="single" w:sz="8" w:color="007CBA"/>
            </w:tcBorders>
          </w:tcPr>
          <w:p>
            <w:pPr>
              <w:jc w:val="right"/>
              <w:ind w:right="209"/>
              <w:spacing w:after="0" w:line="160" w:lineRule="exact"/>
              <w:rPr>
                <w:sz w:val="20"/>
                <w:szCs w:val="20"/>
                <w:color w:val="auto"/>
              </w:rPr>
            </w:pPr>
            <w:r>
              <w:rPr>
                <w:rFonts w:ascii="Arial" w:cs="Arial" w:eastAsia="Arial" w:hAnsi="Arial"/>
                <w:sz w:val="14"/>
                <w:szCs w:val="14"/>
                <w:color w:val="007CBA"/>
              </w:rPr>
              <w:t>•</w:t>
            </w:r>
          </w:p>
        </w:tc>
        <w:tc>
          <w:tcPr>
            <w:tcW w:w="4120" w:type="dxa"/>
            <w:vAlign w:val="bottom"/>
            <w:gridSpan w:val="10"/>
          </w:tcPr>
          <w:p>
            <w:pPr>
              <w:ind w:left="60"/>
              <w:spacing w:after="0" w:line="160" w:lineRule="exact"/>
              <w:rPr>
                <w:sz w:val="20"/>
                <w:szCs w:val="20"/>
                <w:color w:val="auto"/>
              </w:rPr>
            </w:pPr>
            <w:r>
              <w:rPr>
                <w:rFonts w:ascii="Arial" w:cs="Arial" w:eastAsia="Arial" w:hAnsi="Arial"/>
                <w:sz w:val="14"/>
                <w:szCs w:val="14"/>
                <w:color w:val="auto"/>
              </w:rPr>
              <w:t>strategic development and integration to facilitate company’s</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Borders>
              <w:right w:val="single" w:sz="8" w:color="007CBA"/>
            </w:tcBorders>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growth</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Borders>
              <w:right w:val="single" w:sz="8" w:color="007CBA"/>
            </w:tcBorders>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tcPr>
          <w:p>
            <w:pPr>
              <w:spacing w:after="0"/>
              <w:rPr>
                <w:sz w:val="3"/>
                <w:szCs w:val="3"/>
                <w:color w:val="auto"/>
              </w:rPr>
            </w:pPr>
          </w:p>
        </w:tc>
        <w:tc>
          <w:tcPr>
            <w:tcW w:w="1960" w:type="dxa"/>
            <w:vAlign w:val="bottom"/>
            <w:gridSpan w:val="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0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Technology</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8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58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520" w:type="dxa"/>
            <w:vAlign w:val="bottom"/>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540" w:type="dxa"/>
            <w:vAlign w:val="bottom"/>
            <w:vMerge w:val="restart"/>
            <w:shd w:val="clear" w:color="auto" w:fill="E5F1F8"/>
          </w:tcPr>
          <w:p>
            <w:pPr>
              <w:ind w:left="240"/>
              <w:spacing w:after="0"/>
              <w:rPr>
                <w:sz w:val="20"/>
                <w:szCs w:val="20"/>
                <w:color w:val="auto"/>
              </w:rPr>
            </w:pPr>
            <w:r>
              <w:rPr>
                <w:rFonts w:ascii="Arial" w:cs="Arial" w:eastAsia="Arial" w:hAnsi="Arial"/>
                <w:sz w:val="14"/>
                <w:szCs w:val="14"/>
                <w:color w:val="007CBA"/>
              </w:rPr>
              <w:t>•</w:t>
            </w:r>
          </w:p>
        </w:tc>
        <w:tc>
          <w:tcPr>
            <w:tcW w:w="50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600" w:type="dxa"/>
            <w:vAlign w:val="bottom"/>
            <w:tcBorders>
              <w:right w:val="single" w:sz="8" w:color="007CBA"/>
            </w:tcBorders>
            <w:vMerge w:val="restart"/>
            <w:shd w:val="clear" w:color="auto" w:fill="E5F1F8"/>
          </w:tcPr>
          <w:p>
            <w:pPr>
              <w:jc w:val="right"/>
              <w:ind w:right="209"/>
              <w:spacing w:after="0"/>
              <w:rPr>
                <w:sz w:val="20"/>
                <w:szCs w:val="20"/>
                <w:color w:val="auto"/>
              </w:rPr>
            </w:pPr>
            <w:r>
              <w:rPr>
                <w:rFonts w:ascii="Arial" w:cs="Arial" w:eastAsia="Arial" w:hAnsi="Arial"/>
                <w:sz w:val="14"/>
                <w:szCs w:val="14"/>
                <w:color w:val="007CBA"/>
              </w:rPr>
              <w:t>•</w:t>
            </w:r>
          </w:p>
        </w:tc>
        <w:tc>
          <w:tcPr>
            <w:tcW w:w="660" w:type="dxa"/>
            <w:vAlign w:val="bottom"/>
            <w:shd w:val="clear" w:color="auto" w:fill="E5F1F8"/>
          </w:tcPr>
          <w:p>
            <w:pPr>
              <w:ind w:left="60"/>
              <w:spacing w:after="0"/>
              <w:rPr>
                <w:sz w:val="20"/>
                <w:szCs w:val="20"/>
                <w:color w:val="auto"/>
              </w:rPr>
            </w:pPr>
            <w:r>
              <w:rPr>
                <w:rFonts w:ascii="Arial" w:cs="Arial" w:eastAsia="Arial" w:hAnsi="Arial"/>
                <w:sz w:val="14"/>
                <w:szCs w:val="14"/>
                <w:color w:val="auto"/>
                <w:w w:val="97"/>
              </w:rPr>
              <w:t>Important</w:t>
            </w:r>
          </w:p>
        </w:tc>
        <w:tc>
          <w:tcPr>
            <w:tcW w:w="260" w:type="dxa"/>
            <w:vAlign w:val="bottom"/>
            <w:shd w:val="clear" w:color="auto" w:fill="E5F1F8"/>
          </w:tcPr>
          <w:p>
            <w:pPr>
              <w:ind w:left="80"/>
              <w:spacing w:after="0"/>
              <w:rPr>
                <w:sz w:val="20"/>
                <w:szCs w:val="20"/>
                <w:color w:val="auto"/>
              </w:rPr>
            </w:pPr>
            <w:r>
              <w:rPr>
                <w:rFonts w:ascii="Arial" w:cs="Arial" w:eastAsia="Arial" w:hAnsi="Arial"/>
                <w:sz w:val="14"/>
                <w:szCs w:val="14"/>
                <w:color w:val="auto"/>
              </w:rPr>
              <w:t>to</w:t>
            </w:r>
          </w:p>
        </w:tc>
        <w:tc>
          <w:tcPr>
            <w:tcW w:w="1240" w:type="dxa"/>
            <w:vAlign w:val="bottom"/>
            <w:gridSpan w:val="4"/>
            <w:shd w:val="clear" w:color="auto" w:fill="E5F1F8"/>
          </w:tcPr>
          <w:p>
            <w:pPr>
              <w:jc w:val="right"/>
              <w:spacing w:after="0"/>
              <w:rPr>
                <w:sz w:val="20"/>
                <w:szCs w:val="20"/>
                <w:color w:val="auto"/>
              </w:rPr>
            </w:pPr>
            <w:r>
              <w:rPr>
                <w:rFonts w:ascii="Arial" w:cs="Arial" w:eastAsia="Arial" w:hAnsi="Arial"/>
                <w:sz w:val="14"/>
                <w:szCs w:val="14"/>
                <w:color w:val="auto"/>
              </w:rPr>
              <w:t>facilitate business</w:t>
            </w:r>
          </w:p>
        </w:tc>
        <w:tc>
          <w:tcPr>
            <w:tcW w:w="1960" w:type="dxa"/>
            <w:vAlign w:val="bottom"/>
            <w:gridSpan w:val="4"/>
            <w:shd w:val="clear" w:color="auto" w:fill="E5F1F8"/>
          </w:tcPr>
          <w:p>
            <w:pPr>
              <w:jc w:val="right"/>
              <w:ind w:right="149"/>
              <w:spacing w:after="0"/>
              <w:rPr>
                <w:sz w:val="20"/>
                <w:szCs w:val="20"/>
                <w:color w:val="auto"/>
              </w:rPr>
            </w:pPr>
            <w:r>
              <w:rPr>
                <w:rFonts w:ascii="Arial" w:cs="Arial" w:eastAsia="Arial" w:hAnsi="Arial"/>
                <w:sz w:val="14"/>
                <w:szCs w:val="14"/>
                <w:color w:val="auto"/>
              </w:rPr>
              <w:t>objectives and security of</w:t>
            </w:r>
          </w:p>
        </w:tc>
        <w:tc>
          <w:tcPr>
            <w:tcW w:w="0" w:type="dxa"/>
            <w:vAlign w:val="bottom"/>
          </w:tcPr>
          <w:p>
            <w:pPr>
              <w:spacing w:after="0"/>
              <w:rPr>
                <w:sz w:val="1"/>
                <w:szCs w:val="1"/>
                <w:color w:val="auto"/>
              </w:rPr>
            </w:pPr>
          </w:p>
        </w:tc>
      </w:tr>
      <w:tr>
        <w:trPr>
          <w:trHeight w:val="91"/>
        </w:trPr>
        <w:tc>
          <w:tcPr>
            <w:tcW w:w="140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80" w:type="dxa"/>
            <w:vAlign w:val="bottom"/>
            <w:shd w:val="clear" w:color="auto" w:fill="E5F1F8"/>
          </w:tcPr>
          <w:p>
            <w:pPr>
              <w:spacing w:after="0"/>
              <w:rPr>
                <w:sz w:val="7"/>
                <w:szCs w:val="7"/>
                <w:color w:val="auto"/>
              </w:rPr>
            </w:pPr>
          </w:p>
        </w:tc>
        <w:tc>
          <w:tcPr>
            <w:tcW w:w="560" w:type="dxa"/>
            <w:vAlign w:val="bottom"/>
            <w:shd w:val="clear" w:color="auto" w:fill="E5F1F8"/>
          </w:tcPr>
          <w:p>
            <w:pPr>
              <w:spacing w:after="0"/>
              <w:rPr>
                <w:sz w:val="7"/>
                <w:szCs w:val="7"/>
                <w:color w:val="auto"/>
              </w:rPr>
            </w:pPr>
          </w:p>
        </w:tc>
        <w:tc>
          <w:tcPr>
            <w:tcW w:w="580" w:type="dxa"/>
            <w:vAlign w:val="bottom"/>
            <w:vMerge w:val="continue"/>
            <w:shd w:val="clear" w:color="auto" w:fill="E5F1F8"/>
          </w:tcPr>
          <w:p>
            <w:pPr>
              <w:spacing w:after="0"/>
              <w:rPr>
                <w:sz w:val="7"/>
                <w:szCs w:val="7"/>
                <w:color w:val="auto"/>
              </w:rPr>
            </w:pPr>
          </w:p>
        </w:tc>
        <w:tc>
          <w:tcPr>
            <w:tcW w:w="520" w:type="dxa"/>
            <w:vAlign w:val="bottom"/>
            <w:shd w:val="clear" w:color="auto" w:fill="E5F1F8"/>
          </w:tcPr>
          <w:p>
            <w:pPr>
              <w:spacing w:after="0"/>
              <w:rPr>
                <w:sz w:val="7"/>
                <w:szCs w:val="7"/>
                <w:color w:val="auto"/>
              </w:rPr>
            </w:pPr>
          </w:p>
        </w:tc>
        <w:tc>
          <w:tcPr>
            <w:tcW w:w="500" w:type="dxa"/>
            <w:vAlign w:val="bottom"/>
            <w:shd w:val="clear" w:color="auto" w:fill="E5F1F8"/>
          </w:tcPr>
          <w:p>
            <w:pPr>
              <w:spacing w:after="0"/>
              <w:rPr>
                <w:sz w:val="7"/>
                <w:szCs w:val="7"/>
                <w:color w:val="auto"/>
              </w:rPr>
            </w:pPr>
          </w:p>
        </w:tc>
        <w:tc>
          <w:tcPr>
            <w:tcW w:w="540" w:type="dxa"/>
            <w:vAlign w:val="bottom"/>
            <w:vMerge w:val="continue"/>
            <w:shd w:val="clear" w:color="auto" w:fill="E5F1F8"/>
          </w:tcPr>
          <w:p>
            <w:pPr>
              <w:spacing w:after="0"/>
              <w:rPr>
                <w:sz w:val="7"/>
                <w:szCs w:val="7"/>
                <w:color w:val="auto"/>
              </w:rPr>
            </w:pPr>
          </w:p>
        </w:tc>
        <w:tc>
          <w:tcPr>
            <w:tcW w:w="500" w:type="dxa"/>
            <w:vAlign w:val="bottom"/>
            <w:shd w:val="clear" w:color="auto" w:fill="E5F1F8"/>
          </w:tcPr>
          <w:p>
            <w:pPr>
              <w:spacing w:after="0"/>
              <w:rPr>
                <w:sz w:val="7"/>
                <w:szCs w:val="7"/>
                <w:color w:val="auto"/>
              </w:rPr>
            </w:pPr>
          </w:p>
        </w:tc>
        <w:tc>
          <w:tcPr>
            <w:tcW w:w="560" w:type="dxa"/>
            <w:vAlign w:val="bottom"/>
            <w:shd w:val="clear" w:color="auto" w:fill="E5F1F8"/>
          </w:tcPr>
          <w:p>
            <w:pPr>
              <w:spacing w:after="0"/>
              <w:rPr>
                <w:sz w:val="7"/>
                <w:szCs w:val="7"/>
                <w:color w:val="auto"/>
              </w:rPr>
            </w:pPr>
          </w:p>
        </w:tc>
        <w:tc>
          <w:tcPr>
            <w:tcW w:w="600" w:type="dxa"/>
            <w:vAlign w:val="bottom"/>
            <w:tcBorders>
              <w:right w:val="single" w:sz="8" w:color="007CBA"/>
            </w:tcBorders>
            <w:vMerge w:val="continue"/>
            <w:shd w:val="clear" w:color="auto" w:fill="E5F1F8"/>
          </w:tcPr>
          <w:p>
            <w:pPr>
              <w:spacing w:after="0"/>
              <w:rPr>
                <w:sz w:val="7"/>
                <w:szCs w:val="7"/>
                <w:color w:val="auto"/>
              </w:rPr>
            </w:pPr>
          </w:p>
        </w:tc>
        <w:tc>
          <w:tcPr>
            <w:tcW w:w="3240" w:type="dxa"/>
            <w:vAlign w:val="bottom"/>
            <w:gridSpan w:val="8"/>
            <w:vMerge w:val="restart"/>
            <w:shd w:val="clear" w:color="auto" w:fill="E5F1F8"/>
          </w:tcPr>
          <w:p>
            <w:pPr>
              <w:ind w:left="60"/>
              <w:spacing w:after="0"/>
              <w:rPr>
                <w:sz w:val="20"/>
                <w:szCs w:val="20"/>
                <w:color w:val="auto"/>
              </w:rPr>
            </w:pPr>
            <w:r>
              <w:rPr>
                <w:rFonts w:ascii="Arial" w:cs="Arial" w:eastAsia="Arial" w:hAnsi="Arial"/>
                <w:sz w:val="14"/>
                <w:szCs w:val="14"/>
                <w:color w:val="auto"/>
              </w:rPr>
              <w:t>Company’s proprietary and confidential data</w:t>
            </w:r>
          </w:p>
        </w:tc>
        <w:tc>
          <w:tcPr>
            <w:tcW w:w="260" w:type="dxa"/>
            <w:vAlign w:val="bottom"/>
            <w:shd w:val="clear" w:color="auto" w:fill="E5F1F8"/>
          </w:tcPr>
          <w:p>
            <w:pPr>
              <w:spacing w:after="0"/>
              <w:rPr>
                <w:sz w:val="7"/>
                <w:szCs w:val="7"/>
                <w:color w:val="auto"/>
              </w:rPr>
            </w:pPr>
          </w:p>
        </w:tc>
        <w:tc>
          <w:tcPr>
            <w:tcW w:w="62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580" w:type="dxa"/>
            <w:vAlign w:val="bottom"/>
            <w:tcBorders>
              <w:bottom w:val="single" w:sz="8" w:color="E5F1F8"/>
            </w:tcBorders>
            <w:shd w:val="clear" w:color="auto" w:fill="E5F1F8"/>
          </w:tcPr>
          <w:p>
            <w:pPr>
              <w:spacing w:after="0"/>
              <w:rPr>
                <w:sz w:val="8"/>
                <w:szCs w:val="8"/>
                <w:color w:val="auto"/>
              </w:rPr>
            </w:pPr>
          </w:p>
        </w:tc>
        <w:tc>
          <w:tcPr>
            <w:tcW w:w="52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4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560" w:type="dxa"/>
            <w:vAlign w:val="bottom"/>
            <w:tcBorders>
              <w:bottom w:val="single" w:sz="8" w:color="E5F1F8"/>
            </w:tcBorders>
            <w:shd w:val="clear" w:color="auto" w:fill="E5F1F8"/>
          </w:tcPr>
          <w:p>
            <w:pPr>
              <w:spacing w:after="0"/>
              <w:rPr>
                <w:sz w:val="8"/>
                <w:szCs w:val="8"/>
                <w:color w:val="auto"/>
              </w:rPr>
            </w:pPr>
          </w:p>
        </w:tc>
        <w:tc>
          <w:tcPr>
            <w:tcW w:w="600" w:type="dxa"/>
            <w:vAlign w:val="bottom"/>
            <w:tcBorders>
              <w:bottom w:val="single" w:sz="8" w:color="E5F1F8"/>
              <w:right w:val="single" w:sz="8" w:color="007CBA"/>
            </w:tcBorders>
            <w:shd w:val="clear" w:color="auto" w:fill="E5F1F8"/>
          </w:tcPr>
          <w:p>
            <w:pPr>
              <w:spacing w:after="0"/>
              <w:rPr>
                <w:sz w:val="8"/>
                <w:szCs w:val="8"/>
                <w:color w:val="auto"/>
              </w:rPr>
            </w:pPr>
          </w:p>
        </w:tc>
        <w:tc>
          <w:tcPr>
            <w:tcW w:w="3240" w:type="dxa"/>
            <w:vAlign w:val="bottom"/>
            <w:tcBorders>
              <w:bottom w:val="single" w:sz="8" w:color="E5F1F8"/>
            </w:tcBorders>
            <w:gridSpan w:val="8"/>
            <w:vMerge w:val="continue"/>
            <w:shd w:val="clear" w:color="auto" w:fill="E5F1F8"/>
          </w:tcPr>
          <w:p>
            <w:pPr>
              <w:spacing w:after="0"/>
              <w:rPr>
                <w:sz w:val="8"/>
                <w:szCs w:val="8"/>
                <w:color w:val="auto"/>
              </w:rPr>
            </w:pPr>
          </w:p>
        </w:tc>
        <w:tc>
          <w:tcPr>
            <w:tcW w:w="260" w:type="dxa"/>
            <w:vAlign w:val="bottom"/>
            <w:tcBorders>
              <w:bottom w:val="single" w:sz="8" w:color="E5F1F8"/>
            </w:tcBorders>
            <w:shd w:val="clear" w:color="auto" w:fill="E5F1F8"/>
          </w:tcPr>
          <w:p>
            <w:pPr>
              <w:spacing w:after="0"/>
              <w:rPr>
                <w:sz w:val="8"/>
                <w:szCs w:val="8"/>
                <w:color w:val="auto"/>
              </w:rPr>
            </w:pPr>
          </w:p>
        </w:tc>
        <w:tc>
          <w:tcPr>
            <w:tcW w:w="62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7CBA"/>
          </w:tcPr>
          <w:p>
            <w:pPr>
              <w:spacing w:after="0" w:line="20" w:lineRule="exact"/>
              <w:rPr>
                <w:sz w:val="1"/>
                <w:szCs w:val="1"/>
                <w:color w:val="auto"/>
              </w:rPr>
            </w:pPr>
          </w:p>
        </w:tc>
        <w:tc>
          <w:tcPr>
            <w:tcW w:w="500" w:type="dxa"/>
            <w:vAlign w:val="bottom"/>
            <w:shd w:val="clear" w:color="auto" w:fill="007CBA"/>
          </w:tcPr>
          <w:p>
            <w:pPr>
              <w:spacing w:after="0" w:line="20" w:lineRule="exact"/>
              <w:rPr>
                <w:sz w:val="1"/>
                <w:szCs w:val="1"/>
                <w:color w:val="auto"/>
              </w:rPr>
            </w:pPr>
          </w:p>
        </w:tc>
        <w:tc>
          <w:tcPr>
            <w:tcW w:w="480" w:type="dxa"/>
            <w:vAlign w:val="bottom"/>
            <w:shd w:val="clear" w:color="auto" w:fill="007CBA"/>
          </w:tcPr>
          <w:p>
            <w:pPr>
              <w:spacing w:after="0" w:line="20" w:lineRule="exact"/>
              <w:rPr>
                <w:sz w:val="1"/>
                <w:szCs w:val="1"/>
                <w:color w:val="auto"/>
              </w:rPr>
            </w:pPr>
          </w:p>
        </w:tc>
        <w:tc>
          <w:tcPr>
            <w:tcW w:w="560" w:type="dxa"/>
            <w:vAlign w:val="bottom"/>
            <w:shd w:val="clear" w:color="auto" w:fill="007CBA"/>
          </w:tcPr>
          <w:p>
            <w:pPr>
              <w:spacing w:after="0" w:line="20" w:lineRule="exact"/>
              <w:rPr>
                <w:sz w:val="1"/>
                <w:szCs w:val="1"/>
                <w:color w:val="auto"/>
              </w:rPr>
            </w:pPr>
          </w:p>
        </w:tc>
        <w:tc>
          <w:tcPr>
            <w:tcW w:w="580" w:type="dxa"/>
            <w:vAlign w:val="bottom"/>
            <w:shd w:val="clear" w:color="auto" w:fill="007CBA"/>
          </w:tcPr>
          <w:p>
            <w:pPr>
              <w:spacing w:after="0" w:line="20" w:lineRule="exact"/>
              <w:rPr>
                <w:sz w:val="1"/>
                <w:szCs w:val="1"/>
                <w:color w:val="auto"/>
              </w:rPr>
            </w:pPr>
          </w:p>
        </w:tc>
        <w:tc>
          <w:tcPr>
            <w:tcW w:w="520" w:type="dxa"/>
            <w:vAlign w:val="bottom"/>
            <w:shd w:val="clear" w:color="auto" w:fill="007CBA"/>
          </w:tcPr>
          <w:p>
            <w:pPr>
              <w:spacing w:after="0" w:line="20" w:lineRule="exact"/>
              <w:rPr>
                <w:sz w:val="1"/>
                <w:szCs w:val="1"/>
                <w:color w:val="auto"/>
              </w:rPr>
            </w:pPr>
          </w:p>
        </w:tc>
        <w:tc>
          <w:tcPr>
            <w:tcW w:w="500" w:type="dxa"/>
            <w:vAlign w:val="bottom"/>
            <w:shd w:val="clear" w:color="auto" w:fill="007CBA"/>
          </w:tcPr>
          <w:p>
            <w:pPr>
              <w:spacing w:after="0" w:line="20" w:lineRule="exact"/>
              <w:rPr>
                <w:sz w:val="1"/>
                <w:szCs w:val="1"/>
                <w:color w:val="auto"/>
              </w:rPr>
            </w:pPr>
          </w:p>
        </w:tc>
        <w:tc>
          <w:tcPr>
            <w:tcW w:w="540" w:type="dxa"/>
            <w:vAlign w:val="bottom"/>
            <w:shd w:val="clear" w:color="auto" w:fill="007CBA"/>
          </w:tcPr>
          <w:p>
            <w:pPr>
              <w:spacing w:after="0" w:line="20" w:lineRule="exact"/>
              <w:rPr>
                <w:sz w:val="1"/>
                <w:szCs w:val="1"/>
                <w:color w:val="auto"/>
              </w:rPr>
            </w:pPr>
          </w:p>
        </w:tc>
        <w:tc>
          <w:tcPr>
            <w:tcW w:w="500" w:type="dxa"/>
            <w:vAlign w:val="bottom"/>
            <w:shd w:val="clear" w:color="auto" w:fill="007CBA"/>
          </w:tcPr>
          <w:p>
            <w:pPr>
              <w:spacing w:after="0" w:line="20" w:lineRule="exact"/>
              <w:rPr>
                <w:sz w:val="1"/>
                <w:szCs w:val="1"/>
                <w:color w:val="auto"/>
              </w:rPr>
            </w:pPr>
          </w:p>
        </w:tc>
        <w:tc>
          <w:tcPr>
            <w:tcW w:w="560" w:type="dxa"/>
            <w:vAlign w:val="bottom"/>
            <w:shd w:val="clear" w:color="auto" w:fill="007CBA"/>
          </w:tcPr>
          <w:p>
            <w:pPr>
              <w:spacing w:after="0" w:line="20" w:lineRule="exact"/>
              <w:rPr>
                <w:sz w:val="1"/>
                <w:szCs w:val="1"/>
                <w:color w:val="auto"/>
              </w:rPr>
            </w:pPr>
          </w:p>
        </w:tc>
        <w:tc>
          <w:tcPr>
            <w:tcW w:w="600" w:type="dxa"/>
            <w:vAlign w:val="bottom"/>
            <w:tcBorders>
              <w:right w:val="single" w:sz="8" w:color="007CBA"/>
            </w:tcBorders>
            <w:shd w:val="clear" w:color="auto" w:fill="007CBA"/>
          </w:tcPr>
          <w:p>
            <w:pPr>
              <w:spacing w:after="0" w:line="20" w:lineRule="exact"/>
              <w:rPr>
                <w:sz w:val="1"/>
                <w:szCs w:val="1"/>
                <w:color w:val="auto"/>
              </w:rPr>
            </w:pPr>
          </w:p>
        </w:tc>
        <w:tc>
          <w:tcPr>
            <w:tcW w:w="660" w:type="dxa"/>
            <w:vAlign w:val="bottom"/>
            <w:shd w:val="clear" w:color="auto" w:fill="007CBA"/>
          </w:tcPr>
          <w:p>
            <w:pPr>
              <w:spacing w:after="0" w:line="20" w:lineRule="exact"/>
              <w:rPr>
                <w:sz w:val="1"/>
                <w:szCs w:val="1"/>
                <w:color w:val="auto"/>
              </w:rPr>
            </w:pPr>
          </w:p>
        </w:tc>
        <w:tc>
          <w:tcPr>
            <w:tcW w:w="260" w:type="dxa"/>
            <w:vAlign w:val="bottom"/>
            <w:shd w:val="clear" w:color="auto" w:fill="007CBA"/>
          </w:tcPr>
          <w:p>
            <w:pPr>
              <w:spacing w:after="0" w:line="20" w:lineRule="exact"/>
              <w:rPr>
                <w:sz w:val="1"/>
                <w:szCs w:val="1"/>
                <w:color w:val="auto"/>
              </w:rPr>
            </w:pPr>
          </w:p>
        </w:tc>
        <w:tc>
          <w:tcPr>
            <w:tcW w:w="380" w:type="dxa"/>
            <w:vAlign w:val="bottom"/>
            <w:shd w:val="clear" w:color="auto" w:fill="007CBA"/>
          </w:tcPr>
          <w:p>
            <w:pPr>
              <w:spacing w:after="0" w:line="20" w:lineRule="exact"/>
              <w:rPr>
                <w:sz w:val="1"/>
                <w:szCs w:val="1"/>
                <w:color w:val="auto"/>
              </w:rPr>
            </w:pPr>
          </w:p>
        </w:tc>
        <w:tc>
          <w:tcPr>
            <w:tcW w:w="400" w:type="dxa"/>
            <w:vAlign w:val="bottom"/>
            <w:shd w:val="clear" w:color="auto" w:fill="007CBA"/>
          </w:tcPr>
          <w:p>
            <w:pPr>
              <w:spacing w:after="0" w:line="20" w:lineRule="exact"/>
              <w:rPr>
                <w:sz w:val="1"/>
                <w:szCs w:val="1"/>
                <w:color w:val="auto"/>
              </w:rPr>
            </w:pPr>
          </w:p>
        </w:tc>
        <w:tc>
          <w:tcPr>
            <w:tcW w:w="240" w:type="dxa"/>
            <w:vAlign w:val="bottom"/>
            <w:shd w:val="clear" w:color="auto" w:fill="007CBA"/>
          </w:tcPr>
          <w:p>
            <w:pPr>
              <w:spacing w:after="0" w:line="20" w:lineRule="exact"/>
              <w:rPr>
                <w:sz w:val="1"/>
                <w:szCs w:val="1"/>
                <w:color w:val="auto"/>
              </w:rPr>
            </w:pPr>
          </w:p>
        </w:tc>
        <w:tc>
          <w:tcPr>
            <w:tcW w:w="220" w:type="dxa"/>
            <w:vAlign w:val="bottom"/>
            <w:shd w:val="clear" w:color="auto" w:fill="007CBA"/>
          </w:tcPr>
          <w:p>
            <w:pPr>
              <w:spacing w:after="0" w:line="20" w:lineRule="exact"/>
              <w:rPr>
                <w:sz w:val="1"/>
                <w:szCs w:val="1"/>
                <w:color w:val="auto"/>
              </w:rPr>
            </w:pPr>
          </w:p>
        </w:tc>
        <w:tc>
          <w:tcPr>
            <w:tcW w:w="520" w:type="dxa"/>
            <w:vAlign w:val="bottom"/>
            <w:shd w:val="clear" w:color="auto" w:fill="007CBA"/>
          </w:tcPr>
          <w:p>
            <w:pPr>
              <w:spacing w:after="0" w:line="20" w:lineRule="exact"/>
              <w:rPr>
                <w:sz w:val="1"/>
                <w:szCs w:val="1"/>
                <w:color w:val="auto"/>
              </w:rPr>
            </w:pPr>
          </w:p>
        </w:tc>
        <w:tc>
          <w:tcPr>
            <w:tcW w:w="560" w:type="dxa"/>
            <w:vAlign w:val="bottom"/>
            <w:shd w:val="clear" w:color="auto" w:fill="007CBA"/>
          </w:tcPr>
          <w:p>
            <w:pPr>
              <w:spacing w:after="0" w:line="20" w:lineRule="exact"/>
              <w:rPr>
                <w:sz w:val="1"/>
                <w:szCs w:val="1"/>
                <w:color w:val="auto"/>
              </w:rPr>
            </w:pPr>
          </w:p>
        </w:tc>
        <w:tc>
          <w:tcPr>
            <w:tcW w:w="260" w:type="dxa"/>
            <w:vAlign w:val="bottom"/>
            <w:shd w:val="clear" w:color="auto" w:fill="007CBA"/>
          </w:tcPr>
          <w:p>
            <w:pPr>
              <w:spacing w:after="0" w:line="20" w:lineRule="exact"/>
              <w:rPr>
                <w:sz w:val="1"/>
                <w:szCs w:val="1"/>
                <w:color w:val="auto"/>
              </w:rPr>
            </w:pPr>
          </w:p>
        </w:tc>
        <w:tc>
          <w:tcPr>
            <w:tcW w:w="620" w:type="dxa"/>
            <w:vAlign w:val="bottom"/>
            <w:shd w:val="clear" w:color="auto" w:fill="007C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-3350895</wp:posOffset>
            </wp:positionV>
            <wp:extent cx="3283585" cy="440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83585" cy="440055"/>
                    </a:xfrm>
                    <a:prstGeom prst="rect">
                      <a:avLst/>
                    </a:prstGeom>
                    <a:noFill/>
                  </pic:spPr>
                </pic:pic>
              </a:graphicData>
            </a:graphic>
          </wp:anchor>
        </w:drawing>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Board has implemented a number of processes to assist it in refreshing the Board in an appropriate manner that helps create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93345</wp:posOffset>
            </wp:positionV>
            <wp:extent cx="406400" cy="245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47"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11</w:t>
            </w:r>
          </w:p>
        </w:tc>
      </w:tr>
    </w:tbl>
    <w:p>
      <w:pPr>
        <w:sectPr>
          <w:pgSz w:w="11900" w:h="16838" w:orient="portrait"/>
          <w:cols w:equalWidth="0" w:num="1">
            <w:col w:w="11060"/>
          </w:cols>
          <w:pgMar w:left="320" w:top="455"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540" w:hanging="280"/>
        <w:spacing w:after="0"/>
        <w:tabs>
          <w:tab w:leader="none" w:pos="540" w:val="left"/>
        </w:tabs>
        <w:numPr>
          <w:ilvl w:val="0"/>
          <w:numId w:val="33"/>
        </w:numPr>
        <w:rPr>
          <w:rFonts w:ascii="MS PGothic" w:cs="MS PGothic" w:eastAsia="MS PGothic" w:hAnsi="MS PGothic"/>
          <w:sz w:val="25"/>
          <w:szCs w:val="25"/>
          <w:color w:val="007CBA"/>
        </w:rPr>
      </w:pPr>
      <w:r>
        <w:rPr>
          <w:rFonts w:ascii="Arial" w:cs="Arial" w:eastAsia="Arial" w:hAnsi="Arial"/>
          <w:sz w:val="13"/>
          <w:szCs w:val="13"/>
          <w:color w:val="007CBA"/>
        </w:rPr>
        <w:t>The Board of Directors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CBA"/>
        </w:rPr>
        <w:t>Board Refreshment Elements</w:t>
      </w:r>
    </w:p>
    <w:p>
      <w:pPr>
        <w:spacing w:after="0" w:line="236" w:lineRule="exact"/>
        <w:rPr>
          <w:sz w:val="20"/>
          <w:szCs w:val="20"/>
          <w:color w:val="auto"/>
        </w:rPr>
      </w:pPr>
    </w:p>
    <w:tbl>
      <w:tblPr>
        <w:tblLayout w:type="fixed"/>
        <w:tblInd w:w="190" w:type="dxa"/>
        <w:tblCellMar>
          <w:top w:w="0" w:type="dxa"/>
          <w:left w:w="0" w:type="dxa"/>
          <w:bottom w:w="0" w:type="dxa"/>
          <w:right w:w="0" w:type="dxa"/>
        </w:tblCellMar>
      </w:tblPr>
      <w:tr>
        <w:trPr>
          <w:trHeight w:val="231"/>
        </w:trPr>
        <w:tc>
          <w:tcPr>
            <w:tcW w:w="2360" w:type="dxa"/>
            <w:vAlign w:val="bottom"/>
            <w:tcBorders>
              <w:top w:val="single" w:sz="8" w:color="007CBA"/>
              <w:left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b w:val="1"/>
                <w:bCs w:val="1"/>
                <w:color w:val="auto"/>
              </w:rPr>
              <w:t>Review of Board Candidates</w:t>
            </w:r>
          </w:p>
        </w:tc>
        <w:tc>
          <w:tcPr>
            <w:tcW w:w="8540" w:type="dxa"/>
            <w:vAlign w:val="bottom"/>
            <w:tcBorders>
              <w:top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The Board seeks a diverse group of candidates who, at a minimum, possess the background, skills, expertise and time to make a</w:t>
            </w:r>
          </w:p>
        </w:tc>
      </w:tr>
      <w:tr>
        <w:trPr>
          <w:trHeight w:val="174"/>
        </w:trPr>
        <w:tc>
          <w:tcPr>
            <w:tcW w:w="2360" w:type="dxa"/>
            <w:vAlign w:val="bottom"/>
            <w:tcBorders>
              <w:left w:val="single" w:sz="8" w:color="007CBA"/>
              <w:right w:val="single" w:sz="8" w:color="007CBA"/>
            </w:tcBorders>
            <w:shd w:val="clear" w:color="auto" w:fill="E5F1F8"/>
          </w:tcPr>
          <w:p>
            <w:pPr>
              <w:spacing w:after="0"/>
              <w:rPr>
                <w:sz w:val="15"/>
                <w:szCs w:val="15"/>
                <w:color w:val="auto"/>
              </w:rPr>
            </w:pP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 xml:space="preserve">significant contribution to the Board, the Company and its shareholders. The </w:t>
            </w:r>
            <w:r>
              <w:rPr>
                <w:rFonts w:ascii="Arial" w:cs="Arial" w:eastAsia="Arial" w:hAnsi="Arial"/>
                <w:sz w:val="14"/>
                <w:szCs w:val="14"/>
                <w:i w:val="1"/>
                <w:iCs w:val="1"/>
                <w:color w:val="auto"/>
              </w:rPr>
              <w:t>Corporate Governance Guidelines</w:t>
            </w:r>
            <w:r>
              <w:rPr>
                <w:rFonts w:ascii="Arial" w:cs="Arial" w:eastAsia="Arial" w:hAnsi="Arial"/>
                <w:sz w:val="14"/>
                <w:szCs w:val="14"/>
                <w:color w:val="auto"/>
              </w:rPr>
              <w:t xml:space="preserve"> list criteria against</w:t>
            </w:r>
          </w:p>
        </w:tc>
      </w:tr>
      <w:tr>
        <w:trPr>
          <w:trHeight w:val="171"/>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which candidates may be judged. In addition, the Nominating and Corporate Governance Committee considers, among other things:</w:t>
            </w:r>
          </w:p>
        </w:tc>
      </w:tr>
      <w:tr>
        <w:trPr>
          <w:trHeight w:val="280"/>
        </w:trPr>
        <w:tc>
          <w:tcPr>
            <w:tcW w:w="2360" w:type="dxa"/>
            <w:vAlign w:val="bottom"/>
            <w:tcBorders>
              <w:left w:val="single" w:sz="8" w:color="007CBA"/>
              <w:right w:val="single" w:sz="8" w:color="007CBA"/>
            </w:tcBorders>
            <w:shd w:val="clear" w:color="auto" w:fill="E5F1F8"/>
          </w:tcPr>
          <w:p>
            <w:pPr>
              <w:spacing w:after="0"/>
              <w:rPr>
                <w:sz w:val="24"/>
                <w:szCs w:val="24"/>
                <w:color w:val="auto"/>
              </w:rPr>
            </w:pPr>
          </w:p>
        </w:tc>
        <w:tc>
          <w:tcPr>
            <w:tcW w:w="85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input from the Board’s self-assessment process to prioritize areas of expertise that were identified;</w:t>
            </w:r>
          </w:p>
        </w:tc>
      </w:tr>
      <w:tr>
        <w:trPr>
          <w:trHeight w:val="280"/>
        </w:trPr>
        <w:tc>
          <w:tcPr>
            <w:tcW w:w="2360" w:type="dxa"/>
            <w:vAlign w:val="bottom"/>
            <w:tcBorders>
              <w:left w:val="single" w:sz="8" w:color="007CBA"/>
              <w:right w:val="single" w:sz="8" w:color="007CBA"/>
            </w:tcBorders>
            <w:shd w:val="clear" w:color="auto" w:fill="E5F1F8"/>
          </w:tcPr>
          <w:p>
            <w:pPr>
              <w:spacing w:after="0"/>
              <w:rPr>
                <w:sz w:val="24"/>
                <w:szCs w:val="24"/>
                <w:color w:val="auto"/>
              </w:rPr>
            </w:pPr>
          </w:p>
        </w:tc>
        <w:tc>
          <w:tcPr>
            <w:tcW w:w="85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investor feedback and perceptions;</w:t>
            </w:r>
          </w:p>
        </w:tc>
      </w:tr>
      <w:tr>
        <w:trPr>
          <w:trHeight w:val="269"/>
        </w:trPr>
        <w:tc>
          <w:tcPr>
            <w:tcW w:w="2360" w:type="dxa"/>
            <w:vAlign w:val="bottom"/>
            <w:tcBorders>
              <w:left w:val="single" w:sz="8" w:color="007CBA"/>
              <w:right w:val="single" w:sz="8" w:color="007CBA"/>
            </w:tcBorders>
            <w:shd w:val="clear" w:color="auto" w:fill="E5F1F8"/>
          </w:tcPr>
          <w:p>
            <w:pPr>
              <w:spacing w:after="0"/>
              <w:rPr>
                <w:sz w:val="23"/>
                <w:szCs w:val="23"/>
                <w:color w:val="auto"/>
              </w:rPr>
            </w:pPr>
          </w:p>
        </w:tc>
        <w:tc>
          <w:tcPr>
            <w:tcW w:w="85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the candidates’ skills and competencies to ensure they are aligned with the Company’s future strategic challenges and</w:t>
            </w:r>
          </w:p>
        </w:tc>
      </w:tr>
      <w:tr>
        <w:trPr>
          <w:trHeight w:val="171"/>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540" w:type="dxa"/>
            <w:vAlign w:val="bottom"/>
            <w:tcBorders>
              <w:right w:val="single" w:sz="8" w:color="007CBA"/>
            </w:tcBorders>
            <w:shd w:val="clear" w:color="auto" w:fill="E5F1F8"/>
          </w:tcPr>
          <w:p>
            <w:pPr>
              <w:ind w:left="360"/>
              <w:spacing w:after="0"/>
              <w:rPr>
                <w:sz w:val="20"/>
                <w:szCs w:val="20"/>
                <w:color w:val="auto"/>
              </w:rPr>
            </w:pPr>
            <w:r>
              <w:rPr>
                <w:rFonts w:ascii="Arial" w:cs="Arial" w:eastAsia="Arial" w:hAnsi="Arial"/>
                <w:sz w:val="14"/>
                <w:szCs w:val="14"/>
                <w:color w:val="auto"/>
              </w:rPr>
              <w:t>opportunities; and</w:t>
            </w:r>
          </w:p>
        </w:tc>
      </w:tr>
      <w:tr>
        <w:trPr>
          <w:trHeight w:val="280"/>
        </w:trPr>
        <w:tc>
          <w:tcPr>
            <w:tcW w:w="2360" w:type="dxa"/>
            <w:vAlign w:val="bottom"/>
            <w:tcBorders>
              <w:left w:val="single" w:sz="8" w:color="007CBA"/>
              <w:right w:val="single" w:sz="8" w:color="007CBA"/>
            </w:tcBorders>
            <w:shd w:val="clear" w:color="auto" w:fill="E5F1F8"/>
          </w:tcPr>
          <w:p>
            <w:pPr>
              <w:spacing w:after="0"/>
              <w:rPr>
                <w:sz w:val="24"/>
                <w:szCs w:val="24"/>
                <w:color w:val="auto"/>
              </w:rPr>
            </w:pPr>
          </w:p>
        </w:tc>
        <w:tc>
          <w:tcPr>
            <w:tcW w:w="85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the needs of the Board in light of recent and anticipated Board vacancies.</w:t>
            </w:r>
          </w:p>
        </w:tc>
      </w:tr>
      <w:tr>
        <w:trPr>
          <w:trHeight w:val="269"/>
        </w:trPr>
        <w:tc>
          <w:tcPr>
            <w:tcW w:w="2360" w:type="dxa"/>
            <w:vAlign w:val="bottom"/>
            <w:tcBorders>
              <w:left w:val="single" w:sz="8" w:color="007CBA"/>
              <w:right w:val="single" w:sz="8" w:color="007CBA"/>
            </w:tcBorders>
            <w:shd w:val="clear" w:color="auto" w:fill="E5F1F8"/>
          </w:tcPr>
          <w:p>
            <w:pPr>
              <w:spacing w:after="0"/>
              <w:rPr>
                <w:sz w:val="23"/>
                <w:szCs w:val="23"/>
                <w:color w:val="auto"/>
              </w:rPr>
            </w:pP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During the process of identifying and selecting director nominees, the Nominating and Corporate Governance Committee screens and</w:t>
            </w:r>
          </w:p>
        </w:tc>
      </w:tr>
      <w:tr>
        <w:trPr>
          <w:trHeight w:val="160"/>
        </w:trPr>
        <w:tc>
          <w:tcPr>
            <w:tcW w:w="2360" w:type="dxa"/>
            <w:vAlign w:val="bottom"/>
            <w:tcBorders>
              <w:left w:val="single" w:sz="8" w:color="007CBA"/>
              <w:right w:val="single" w:sz="8" w:color="007CBA"/>
            </w:tcBorders>
            <w:shd w:val="clear" w:color="auto" w:fill="E5F1F8"/>
          </w:tcPr>
          <w:p>
            <w:pPr>
              <w:spacing w:after="0"/>
              <w:rPr>
                <w:sz w:val="13"/>
                <w:szCs w:val="13"/>
                <w:color w:val="auto"/>
              </w:rPr>
            </w:pPr>
          </w:p>
        </w:tc>
        <w:tc>
          <w:tcPr>
            <w:tcW w:w="8540" w:type="dxa"/>
            <w:vAlign w:val="bottom"/>
            <w:tcBorders>
              <w:right w:val="single" w:sz="8" w:color="007CBA"/>
            </w:tcBorders>
            <w:shd w:val="clear" w:color="auto" w:fill="E5F1F8"/>
          </w:tcPr>
          <w:p>
            <w:pPr>
              <w:ind w:left="80"/>
              <w:spacing w:after="0" w:line="160" w:lineRule="exact"/>
              <w:rPr>
                <w:sz w:val="20"/>
                <w:szCs w:val="20"/>
                <w:color w:val="auto"/>
              </w:rPr>
            </w:pPr>
            <w:r>
              <w:rPr>
                <w:rFonts w:ascii="Arial" w:cs="Arial" w:eastAsia="Arial" w:hAnsi="Arial"/>
                <w:sz w:val="14"/>
                <w:szCs w:val="14"/>
                <w:color w:val="auto"/>
              </w:rPr>
              <w:t>recommends candidates for nomination by the full Board. The Bylaws provide that the size of the Board may range from 9 to 11</w:t>
            </w:r>
          </w:p>
        </w:tc>
      </w:tr>
      <w:tr>
        <w:trPr>
          <w:trHeight w:val="171"/>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members.</w:t>
            </w:r>
          </w:p>
        </w:tc>
      </w:tr>
      <w:tr>
        <w:trPr>
          <w:trHeight w:val="269"/>
        </w:trPr>
        <w:tc>
          <w:tcPr>
            <w:tcW w:w="2360" w:type="dxa"/>
            <w:vAlign w:val="bottom"/>
            <w:tcBorders>
              <w:left w:val="single" w:sz="8" w:color="007CBA"/>
              <w:right w:val="single" w:sz="8" w:color="007CBA"/>
            </w:tcBorders>
            <w:shd w:val="clear" w:color="auto" w:fill="E5F1F8"/>
          </w:tcPr>
          <w:p>
            <w:pPr>
              <w:spacing w:after="0"/>
              <w:rPr>
                <w:sz w:val="23"/>
                <w:szCs w:val="23"/>
                <w:color w:val="auto"/>
              </w:rPr>
            </w:pP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Director candidates also may be identified by shareholders and will be evaluated under the same criteria applied to other director</w:t>
            </w:r>
          </w:p>
        </w:tc>
      </w:tr>
      <w:tr>
        <w:trPr>
          <w:trHeight w:val="146"/>
        </w:trPr>
        <w:tc>
          <w:tcPr>
            <w:tcW w:w="2360" w:type="dxa"/>
            <w:vAlign w:val="bottom"/>
            <w:tcBorders>
              <w:left w:val="single" w:sz="8" w:color="007CBA"/>
              <w:right w:val="single" w:sz="8" w:color="007CBA"/>
            </w:tcBorders>
            <w:shd w:val="clear" w:color="auto" w:fill="E5F1F8"/>
          </w:tcPr>
          <w:p>
            <w:pPr>
              <w:spacing w:after="0"/>
              <w:rPr>
                <w:sz w:val="12"/>
                <w:szCs w:val="12"/>
                <w:color w:val="auto"/>
              </w:rPr>
            </w:pPr>
          </w:p>
        </w:tc>
        <w:tc>
          <w:tcPr>
            <w:tcW w:w="8540" w:type="dxa"/>
            <w:vAlign w:val="bottom"/>
            <w:tcBorders>
              <w:right w:val="single" w:sz="8" w:color="007CBA"/>
            </w:tcBorders>
            <w:shd w:val="clear" w:color="auto" w:fill="E5F1F8"/>
          </w:tcPr>
          <w:p>
            <w:pPr>
              <w:ind w:left="80"/>
              <w:spacing w:after="0" w:line="146" w:lineRule="exact"/>
              <w:rPr>
                <w:sz w:val="20"/>
                <w:szCs w:val="20"/>
                <w:color w:val="auto"/>
              </w:rPr>
            </w:pPr>
            <w:r>
              <w:rPr>
                <w:rFonts w:ascii="Arial" w:cs="Arial" w:eastAsia="Arial" w:hAnsi="Arial"/>
                <w:sz w:val="14"/>
                <w:szCs w:val="14"/>
                <w:color w:val="auto"/>
              </w:rPr>
              <w:t>nominees and considered by the Nominating and Corporate Governance Committee. Information on the process and requirements for</w:t>
            </w:r>
          </w:p>
        </w:tc>
      </w:tr>
      <w:tr>
        <w:trPr>
          <w:trHeight w:val="190"/>
        </w:trPr>
        <w:tc>
          <w:tcPr>
            <w:tcW w:w="2360" w:type="dxa"/>
            <w:vAlign w:val="bottom"/>
            <w:tcBorders>
              <w:left w:val="single" w:sz="8" w:color="007CBA"/>
              <w:bottom w:val="single" w:sz="8" w:color="007CBA"/>
              <w:right w:val="single" w:sz="8" w:color="007CBA"/>
            </w:tcBorders>
            <w:shd w:val="clear" w:color="auto" w:fill="E5F1F8"/>
          </w:tcPr>
          <w:p>
            <w:pPr>
              <w:spacing w:after="0"/>
              <w:rPr>
                <w:sz w:val="16"/>
                <w:szCs w:val="16"/>
                <w:color w:val="auto"/>
              </w:rPr>
            </w:pPr>
          </w:p>
        </w:tc>
        <w:tc>
          <w:tcPr>
            <w:tcW w:w="854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 xml:space="preserve">shareholder nominees may be found in our Bylaws on the Corporation’s website at </w:t>
            </w:r>
            <w:r>
              <w:rPr>
                <w:rFonts w:ascii="Arial" w:cs="Arial" w:eastAsia="Arial" w:hAnsi="Arial"/>
                <w:sz w:val="14"/>
                <w:szCs w:val="14"/>
                <w:i w:val="1"/>
                <w:iCs w:val="1"/>
                <w:color w:val="auto"/>
              </w:rPr>
              <w:t>ir.martinmarietta.com/corporate-governance.</w:t>
            </w:r>
          </w:p>
        </w:tc>
      </w:tr>
      <w:tr>
        <w:trPr>
          <w:trHeight w:val="230"/>
        </w:trPr>
        <w:tc>
          <w:tcPr>
            <w:tcW w:w="2360" w:type="dxa"/>
            <w:vAlign w:val="bottom"/>
            <w:tcBorders>
              <w:left w:val="single" w:sz="8" w:color="007CBA"/>
              <w:right w:val="single" w:sz="8" w:color="007CBA"/>
            </w:tcBorders>
          </w:tcPr>
          <w:p>
            <w:pPr>
              <w:ind w:left="160"/>
              <w:spacing w:after="0"/>
              <w:rPr>
                <w:sz w:val="20"/>
                <w:szCs w:val="20"/>
                <w:color w:val="auto"/>
              </w:rPr>
            </w:pPr>
            <w:r>
              <w:rPr>
                <w:rFonts w:ascii="Arial" w:cs="Arial" w:eastAsia="Arial" w:hAnsi="Arial"/>
                <w:sz w:val="14"/>
                <w:szCs w:val="14"/>
                <w:b w:val="1"/>
                <w:bCs w:val="1"/>
                <w:color w:val="auto"/>
              </w:rPr>
              <w:t>Board Assignments</w:t>
            </w:r>
          </w:p>
        </w:tc>
        <w:tc>
          <w:tcPr>
            <w:tcW w:w="85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In February, the Nominating and Corporate Governance Committee reviews the membership, tenure, leadership and commitments of</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each of the Committees and considers possible changes given the qualifications and skill sets of members on the Board or a desire</w:t>
            </w:r>
          </w:p>
        </w:tc>
      </w:tr>
      <w:tr>
        <w:trPr>
          <w:trHeight w:val="146"/>
        </w:trPr>
        <w:tc>
          <w:tcPr>
            <w:tcW w:w="2360" w:type="dxa"/>
            <w:vAlign w:val="bottom"/>
            <w:tcBorders>
              <w:left w:val="single" w:sz="8" w:color="007CBA"/>
              <w:right w:val="single" w:sz="8" w:color="007CBA"/>
            </w:tcBorders>
          </w:tcPr>
          <w:p>
            <w:pPr>
              <w:spacing w:after="0"/>
              <w:rPr>
                <w:sz w:val="12"/>
                <w:szCs w:val="12"/>
                <w:color w:val="auto"/>
              </w:rPr>
            </w:pPr>
          </w:p>
        </w:tc>
        <w:tc>
          <w:tcPr>
            <w:tcW w:w="8540" w:type="dxa"/>
            <w:vAlign w:val="bottom"/>
            <w:tcBorders>
              <w:right w:val="single" w:sz="8" w:color="007CBA"/>
            </w:tcBorders>
          </w:tcPr>
          <w:p>
            <w:pPr>
              <w:ind w:left="80"/>
              <w:spacing w:after="0" w:line="146" w:lineRule="exact"/>
              <w:rPr>
                <w:sz w:val="20"/>
                <w:szCs w:val="20"/>
                <w:color w:val="auto"/>
              </w:rPr>
            </w:pPr>
            <w:r>
              <w:rPr>
                <w:rFonts w:ascii="Arial" w:cs="Arial" w:eastAsia="Arial" w:hAnsi="Arial"/>
                <w:sz w:val="14"/>
                <w:szCs w:val="14"/>
                <w:color w:val="auto"/>
              </w:rPr>
              <w:t>for committee rotation or refreshment. The Nominating and Corporate Governance Committee also takes into consideration the</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 xml:space="preserve">membership requirements and responsibilities set forth in each of the respective Committee charters and the </w:t>
            </w:r>
            <w:r>
              <w:rPr>
                <w:rFonts w:ascii="Arial" w:cs="Arial" w:eastAsia="Arial" w:hAnsi="Arial"/>
                <w:sz w:val="14"/>
                <w:szCs w:val="14"/>
                <w:i w:val="1"/>
                <w:iCs w:val="1"/>
                <w:color w:val="auto"/>
              </w:rPr>
              <w:t>Corporate Governance</w:t>
            </w:r>
          </w:p>
        </w:tc>
      </w:tr>
      <w:tr>
        <w:trPr>
          <w:trHeight w:val="174"/>
        </w:trPr>
        <w:tc>
          <w:tcPr>
            <w:tcW w:w="2360" w:type="dxa"/>
            <w:vAlign w:val="bottom"/>
            <w:tcBorders>
              <w:left w:val="single" w:sz="8" w:color="007CBA"/>
              <w:right w:val="single" w:sz="8" w:color="007CBA"/>
            </w:tcBorders>
          </w:tcPr>
          <w:p>
            <w:pPr>
              <w:spacing w:after="0"/>
              <w:rPr>
                <w:sz w:val="15"/>
                <w:szCs w:val="15"/>
                <w:color w:val="auto"/>
              </w:rPr>
            </w:pPr>
          </w:p>
        </w:tc>
        <w:tc>
          <w:tcPr>
            <w:tcW w:w="8540" w:type="dxa"/>
            <w:vAlign w:val="bottom"/>
            <w:tcBorders>
              <w:right w:val="single" w:sz="8" w:color="007CBA"/>
            </w:tcBorders>
          </w:tcPr>
          <w:p>
            <w:pPr>
              <w:ind w:left="80"/>
              <w:spacing w:after="0"/>
              <w:rPr>
                <w:sz w:val="20"/>
                <w:szCs w:val="20"/>
                <w:color w:val="auto"/>
              </w:rPr>
            </w:pPr>
            <w:r>
              <w:rPr>
                <w:rFonts w:ascii="Arial" w:cs="Arial" w:eastAsia="Arial" w:hAnsi="Arial"/>
                <w:sz w:val="14"/>
                <w:szCs w:val="14"/>
                <w:i w:val="1"/>
                <w:iCs w:val="1"/>
                <w:color w:val="auto"/>
              </w:rPr>
              <w:t xml:space="preserve">Guidelines </w:t>
            </w:r>
            <w:r>
              <w:rPr>
                <w:rFonts w:ascii="Arial" w:cs="Arial" w:eastAsia="Arial" w:hAnsi="Arial"/>
                <w:sz w:val="14"/>
                <w:szCs w:val="14"/>
                <w:color w:val="auto"/>
              </w:rPr>
              <w:t>as well as any upcoming vacancies on the Board due to our mandatory retirement age. The Nominating and Corporate</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Governance Committee recommends to the Board any proposed changes to Committee assignments and leadership to be made</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effective at the next Annual Meeting of Shareholders. The Nominating and Corporate Governance Committee also reviews the</w:t>
            </w:r>
          </w:p>
        </w:tc>
      </w:tr>
      <w:tr>
        <w:trPr>
          <w:trHeight w:val="176"/>
        </w:trPr>
        <w:tc>
          <w:tcPr>
            <w:tcW w:w="2360" w:type="dxa"/>
            <w:vAlign w:val="bottom"/>
            <w:tcBorders>
              <w:left w:val="single" w:sz="8" w:color="007CBA"/>
              <w:bottom w:val="single" w:sz="8" w:color="007CBA"/>
              <w:right w:val="single" w:sz="8" w:color="007CBA"/>
            </w:tcBorders>
          </w:tcPr>
          <w:p>
            <w:pPr>
              <w:spacing w:after="0"/>
              <w:rPr>
                <w:sz w:val="15"/>
                <w:szCs w:val="15"/>
                <w:color w:val="auto"/>
              </w:rPr>
            </w:pPr>
          </w:p>
        </w:tc>
        <w:tc>
          <w:tcPr>
            <w:tcW w:w="854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operation of the Board generally.</w:t>
            </w:r>
          </w:p>
        </w:tc>
      </w:tr>
      <w:tr>
        <w:trPr>
          <w:trHeight w:val="230"/>
        </w:trPr>
        <w:tc>
          <w:tcPr>
            <w:tcW w:w="2360" w:type="dxa"/>
            <w:vAlign w:val="bottom"/>
            <w:tcBorders>
              <w:left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b w:val="1"/>
                <w:bCs w:val="1"/>
                <w:color w:val="auto"/>
              </w:rPr>
              <w:t>Refreshment</w:t>
            </w: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The Board has added six new directors in the past four years. Mr. Zelnak will retire at the 2020 Annual Meeting, with Mr. Wajsgras</w:t>
            </w:r>
          </w:p>
        </w:tc>
      </w:tr>
      <w:tr>
        <w:trPr>
          <w:trHeight w:val="160"/>
        </w:trPr>
        <w:tc>
          <w:tcPr>
            <w:tcW w:w="2360" w:type="dxa"/>
            <w:vAlign w:val="bottom"/>
            <w:tcBorders>
              <w:left w:val="single" w:sz="8" w:color="007CBA"/>
              <w:right w:val="single" w:sz="8" w:color="007CBA"/>
            </w:tcBorders>
            <w:shd w:val="clear" w:color="auto" w:fill="E5F1F8"/>
          </w:tcPr>
          <w:p>
            <w:pPr>
              <w:spacing w:after="0"/>
              <w:rPr>
                <w:sz w:val="13"/>
                <w:szCs w:val="13"/>
                <w:color w:val="auto"/>
              </w:rPr>
            </w:pPr>
          </w:p>
        </w:tc>
        <w:tc>
          <w:tcPr>
            <w:tcW w:w="8540" w:type="dxa"/>
            <w:vAlign w:val="bottom"/>
            <w:tcBorders>
              <w:right w:val="single" w:sz="8" w:color="007CBA"/>
            </w:tcBorders>
            <w:shd w:val="clear" w:color="auto" w:fill="E5F1F8"/>
          </w:tcPr>
          <w:p>
            <w:pPr>
              <w:ind w:left="80"/>
              <w:spacing w:after="0" w:line="160" w:lineRule="exact"/>
              <w:rPr>
                <w:sz w:val="20"/>
                <w:szCs w:val="20"/>
                <w:color w:val="auto"/>
              </w:rPr>
            </w:pPr>
            <w:r>
              <w:rPr>
                <w:rFonts w:ascii="Arial" w:cs="Arial" w:eastAsia="Arial" w:hAnsi="Arial"/>
                <w:sz w:val="14"/>
                <w:szCs w:val="14"/>
                <w:color w:val="auto"/>
              </w:rPr>
              <w:t>being nominated to succeed him and further refreshing the Board. At the same time, obtaining a detailed understanding of the</w:t>
            </w:r>
          </w:p>
        </w:tc>
      </w:tr>
      <w:tr>
        <w:trPr>
          <w:trHeight w:val="160"/>
        </w:trPr>
        <w:tc>
          <w:tcPr>
            <w:tcW w:w="2360" w:type="dxa"/>
            <w:vAlign w:val="bottom"/>
            <w:tcBorders>
              <w:left w:val="single" w:sz="8" w:color="007CBA"/>
              <w:right w:val="single" w:sz="8" w:color="007CBA"/>
            </w:tcBorders>
            <w:shd w:val="clear" w:color="auto" w:fill="E5F1F8"/>
          </w:tcPr>
          <w:p>
            <w:pPr>
              <w:spacing w:after="0"/>
              <w:rPr>
                <w:sz w:val="13"/>
                <w:szCs w:val="13"/>
                <w:color w:val="auto"/>
              </w:rPr>
            </w:pPr>
          </w:p>
        </w:tc>
        <w:tc>
          <w:tcPr>
            <w:tcW w:w="8540" w:type="dxa"/>
            <w:vAlign w:val="bottom"/>
            <w:tcBorders>
              <w:right w:val="single" w:sz="8" w:color="007CBA"/>
            </w:tcBorders>
            <w:shd w:val="clear" w:color="auto" w:fill="E5F1F8"/>
          </w:tcPr>
          <w:p>
            <w:pPr>
              <w:ind w:left="80"/>
              <w:spacing w:after="0" w:line="160" w:lineRule="exact"/>
              <w:rPr>
                <w:sz w:val="20"/>
                <w:szCs w:val="20"/>
                <w:color w:val="auto"/>
              </w:rPr>
            </w:pPr>
            <w:r>
              <w:rPr>
                <w:rFonts w:ascii="Arial" w:cs="Arial" w:eastAsia="Arial" w:hAnsi="Arial"/>
                <w:sz w:val="14"/>
                <w:szCs w:val="14"/>
                <w:color w:val="auto"/>
              </w:rPr>
              <w:t>Corporation’s business takes time. We believe that implementing term limitations may prevent the Board from taking advantage of</w:t>
            </w:r>
          </w:p>
        </w:tc>
      </w:tr>
      <w:tr>
        <w:trPr>
          <w:trHeight w:val="176"/>
        </w:trPr>
        <w:tc>
          <w:tcPr>
            <w:tcW w:w="2360" w:type="dxa"/>
            <w:vAlign w:val="bottom"/>
            <w:tcBorders>
              <w:left w:val="single" w:sz="8" w:color="007CBA"/>
              <w:bottom w:val="single" w:sz="8" w:color="007CBA"/>
              <w:right w:val="single" w:sz="8" w:color="007CBA"/>
            </w:tcBorders>
            <w:shd w:val="clear" w:color="auto" w:fill="E5F1F8"/>
          </w:tcPr>
          <w:p>
            <w:pPr>
              <w:spacing w:after="0"/>
              <w:rPr>
                <w:sz w:val="15"/>
                <w:szCs w:val="15"/>
                <w:color w:val="auto"/>
              </w:rPr>
            </w:pPr>
          </w:p>
        </w:tc>
        <w:tc>
          <w:tcPr>
            <w:tcW w:w="854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insight that longer tenure brings.</w:t>
            </w:r>
          </w:p>
        </w:tc>
      </w:tr>
      <w:tr>
        <w:trPr>
          <w:trHeight w:val="212"/>
        </w:trPr>
        <w:tc>
          <w:tcPr>
            <w:tcW w:w="2360" w:type="dxa"/>
            <w:vAlign w:val="bottom"/>
            <w:tcBorders>
              <w:left w:val="single" w:sz="8" w:color="007CBA"/>
              <w:right w:val="single" w:sz="8" w:color="007CBA"/>
            </w:tcBorders>
          </w:tcPr>
          <w:p>
            <w:pPr>
              <w:ind w:left="160"/>
              <w:spacing w:after="0"/>
              <w:rPr>
                <w:sz w:val="20"/>
                <w:szCs w:val="20"/>
                <w:color w:val="auto"/>
              </w:rPr>
            </w:pPr>
            <w:r>
              <w:rPr>
                <w:rFonts w:ascii="Arial" w:cs="Arial" w:eastAsia="Arial" w:hAnsi="Arial"/>
                <w:sz w:val="14"/>
                <w:szCs w:val="14"/>
                <w:b w:val="1"/>
                <w:bCs w:val="1"/>
                <w:color w:val="auto"/>
              </w:rPr>
              <w:t>Annual Performance</w:t>
            </w:r>
          </w:p>
        </w:tc>
        <w:tc>
          <w:tcPr>
            <w:tcW w:w="85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The Board conducts a self-assessment of its performance and effectiveness as well as that of its Committees on an annual basis. The</w:t>
            </w:r>
          </w:p>
        </w:tc>
      </w:tr>
      <w:tr>
        <w:trPr>
          <w:trHeight w:val="178"/>
        </w:trPr>
        <w:tc>
          <w:tcPr>
            <w:tcW w:w="2360" w:type="dxa"/>
            <w:vAlign w:val="bottom"/>
            <w:tcBorders>
              <w:left w:val="single" w:sz="8" w:color="007CBA"/>
              <w:right w:val="single" w:sz="8" w:color="007CBA"/>
            </w:tcBorders>
          </w:tcPr>
          <w:p>
            <w:pPr>
              <w:ind w:left="160"/>
              <w:spacing w:after="0"/>
              <w:rPr>
                <w:sz w:val="20"/>
                <w:szCs w:val="20"/>
                <w:color w:val="auto"/>
              </w:rPr>
            </w:pPr>
            <w:r>
              <w:rPr>
                <w:rFonts w:ascii="Arial" w:cs="Arial" w:eastAsia="Arial" w:hAnsi="Arial"/>
                <w:sz w:val="14"/>
                <w:szCs w:val="14"/>
                <w:b w:val="1"/>
                <w:bCs w:val="1"/>
                <w:color w:val="auto"/>
              </w:rPr>
              <w:t>Assessment</w:t>
            </w:r>
          </w:p>
        </w:tc>
        <w:tc>
          <w:tcPr>
            <w:tcW w:w="85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self-assessment  helps  the  Nominating  and  Corporate  Governance  Committee  track  progress  in  certain  areas  targeted  for</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improvement from year-to-year and to identify ways to enhance the Board’s and its Committees’ effectiveness. For 2019, each</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director completed a written questionnaire. The questions were open-ended to solicit candid feedback. The collective ratings and</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80"/>
              <w:spacing w:after="0" w:line="160" w:lineRule="exact"/>
              <w:rPr>
                <w:sz w:val="20"/>
                <w:szCs w:val="20"/>
                <w:color w:val="auto"/>
              </w:rPr>
            </w:pPr>
            <w:r>
              <w:rPr>
                <w:rFonts w:ascii="Arial" w:cs="Arial" w:eastAsia="Arial" w:hAnsi="Arial"/>
                <w:sz w:val="14"/>
                <w:szCs w:val="14"/>
                <w:color w:val="auto"/>
              </w:rPr>
              <w:t>comments are compiled and summarized and then discussed by the Nominating and Corporate Governance Committee and the full</w:t>
            </w:r>
          </w:p>
        </w:tc>
      </w:tr>
      <w:tr>
        <w:trPr>
          <w:trHeight w:val="176"/>
        </w:trPr>
        <w:tc>
          <w:tcPr>
            <w:tcW w:w="2360" w:type="dxa"/>
            <w:vAlign w:val="bottom"/>
            <w:tcBorders>
              <w:left w:val="single" w:sz="8" w:color="007CBA"/>
              <w:bottom w:val="single" w:sz="8" w:color="007CBA"/>
              <w:right w:val="single" w:sz="8" w:color="007CBA"/>
            </w:tcBorders>
          </w:tcPr>
          <w:p>
            <w:pPr>
              <w:spacing w:after="0"/>
              <w:rPr>
                <w:sz w:val="15"/>
                <w:szCs w:val="15"/>
                <w:color w:val="auto"/>
              </w:rPr>
            </w:pPr>
          </w:p>
        </w:tc>
        <w:tc>
          <w:tcPr>
            <w:tcW w:w="854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Board.</w:t>
            </w:r>
          </w:p>
        </w:tc>
      </w:tr>
      <w:tr>
        <w:trPr>
          <w:trHeight w:val="212"/>
        </w:trPr>
        <w:tc>
          <w:tcPr>
            <w:tcW w:w="2360" w:type="dxa"/>
            <w:vAlign w:val="bottom"/>
            <w:tcBorders>
              <w:left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b w:val="1"/>
                <w:bCs w:val="1"/>
                <w:color w:val="auto"/>
              </w:rPr>
              <w:t>Onboarding and</w:t>
            </w: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New directors are provided with an orientation about the Company, including our business operations, strategy and governance.</w:t>
            </w:r>
          </w:p>
        </w:tc>
      </w:tr>
      <w:tr>
        <w:trPr>
          <w:trHeight w:val="178"/>
        </w:trPr>
        <w:tc>
          <w:tcPr>
            <w:tcW w:w="2360" w:type="dxa"/>
            <w:vAlign w:val="bottom"/>
            <w:tcBorders>
              <w:left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b w:val="1"/>
                <w:bCs w:val="1"/>
                <w:color w:val="auto"/>
              </w:rPr>
              <w:t>Continuing Education</w:t>
            </w:r>
          </w:p>
        </w:tc>
        <w:tc>
          <w:tcPr>
            <w:tcW w:w="8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Directors also are provided continuing education by subject matter experts and/or continuing education programs sponsored by</w:t>
            </w:r>
          </w:p>
        </w:tc>
      </w:tr>
      <w:tr>
        <w:trPr>
          <w:trHeight w:val="160"/>
        </w:trPr>
        <w:tc>
          <w:tcPr>
            <w:tcW w:w="2360" w:type="dxa"/>
            <w:vAlign w:val="bottom"/>
            <w:tcBorders>
              <w:left w:val="single" w:sz="8" w:color="007CBA"/>
              <w:right w:val="single" w:sz="8" w:color="007CBA"/>
            </w:tcBorders>
            <w:shd w:val="clear" w:color="auto" w:fill="E5F1F8"/>
          </w:tcPr>
          <w:p>
            <w:pPr>
              <w:spacing w:after="0"/>
              <w:rPr>
                <w:sz w:val="13"/>
                <w:szCs w:val="13"/>
                <w:color w:val="auto"/>
              </w:rPr>
            </w:pPr>
          </w:p>
        </w:tc>
        <w:tc>
          <w:tcPr>
            <w:tcW w:w="8540" w:type="dxa"/>
            <w:vAlign w:val="bottom"/>
            <w:tcBorders>
              <w:right w:val="single" w:sz="8" w:color="007CBA"/>
            </w:tcBorders>
            <w:shd w:val="clear" w:color="auto" w:fill="E5F1F8"/>
          </w:tcPr>
          <w:p>
            <w:pPr>
              <w:ind w:left="80"/>
              <w:spacing w:after="0" w:line="160" w:lineRule="exact"/>
              <w:rPr>
                <w:sz w:val="20"/>
                <w:szCs w:val="20"/>
                <w:color w:val="auto"/>
              </w:rPr>
            </w:pPr>
            <w:r>
              <w:rPr>
                <w:rFonts w:ascii="Arial" w:cs="Arial" w:eastAsia="Arial" w:hAnsi="Arial"/>
                <w:sz w:val="14"/>
                <w:szCs w:val="14"/>
                <w:color w:val="auto"/>
              </w:rPr>
              <w:t>educational and other institutions to assist them in staying abreast of developments in corporate governance and critical issues</w:t>
            </w:r>
          </w:p>
        </w:tc>
      </w:tr>
      <w:tr>
        <w:trPr>
          <w:trHeight w:val="160"/>
        </w:trPr>
        <w:tc>
          <w:tcPr>
            <w:tcW w:w="2360" w:type="dxa"/>
            <w:vAlign w:val="bottom"/>
            <w:tcBorders>
              <w:left w:val="single" w:sz="8" w:color="007CBA"/>
              <w:right w:val="single" w:sz="8" w:color="007CBA"/>
            </w:tcBorders>
            <w:shd w:val="clear" w:color="auto" w:fill="E5F1F8"/>
          </w:tcPr>
          <w:p>
            <w:pPr>
              <w:spacing w:after="0"/>
              <w:rPr>
                <w:sz w:val="13"/>
                <w:szCs w:val="13"/>
                <w:color w:val="auto"/>
              </w:rPr>
            </w:pPr>
          </w:p>
        </w:tc>
        <w:tc>
          <w:tcPr>
            <w:tcW w:w="8540" w:type="dxa"/>
            <w:vAlign w:val="bottom"/>
            <w:tcBorders>
              <w:right w:val="single" w:sz="8" w:color="007CBA"/>
            </w:tcBorders>
            <w:shd w:val="clear" w:color="auto" w:fill="E5F1F8"/>
          </w:tcPr>
          <w:p>
            <w:pPr>
              <w:ind w:left="80"/>
              <w:spacing w:after="0" w:line="160" w:lineRule="exact"/>
              <w:rPr>
                <w:sz w:val="20"/>
                <w:szCs w:val="20"/>
                <w:color w:val="auto"/>
              </w:rPr>
            </w:pPr>
            <w:r>
              <w:rPr>
                <w:rFonts w:ascii="Arial" w:cs="Arial" w:eastAsia="Arial" w:hAnsi="Arial"/>
                <w:sz w:val="14"/>
                <w:szCs w:val="14"/>
                <w:color w:val="auto"/>
              </w:rPr>
              <w:t>relating to the operation of public company boards. Members of our senior management regularly review with the Board the operating</w:t>
            </w:r>
          </w:p>
        </w:tc>
      </w:tr>
      <w:tr>
        <w:trPr>
          <w:trHeight w:val="160"/>
        </w:trPr>
        <w:tc>
          <w:tcPr>
            <w:tcW w:w="2360" w:type="dxa"/>
            <w:vAlign w:val="bottom"/>
            <w:tcBorders>
              <w:left w:val="single" w:sz="8" w:color="007CBA"/>
              <w:right w:val="single" w:sz="8" w:color="007CBA"/>
            </w:tcBorders>
            <w:shd w:val="clear" w:color="auto" w:fill="E5F1F8"/>
          </w:tcPr>
          <w:p>
            <w:pPr>
              <w:spacing w:after="0"/>
              <w:rPr>
                <w:sz w:val="13"/>
                <w:szCs w:val="13"/>
                <w:color w:val="auto"/>
              </w:rPr>
            </w:pPr>
          </w:p>
        </w:tc>
        <w:tc>
          <w:tcPr>
            <w:tcW w:w="8540" w:type="dxa"/>
            <w:vAlign w:val="bottom"/>
            <w:tcBorders>
              <w:right w:val="single" w:sz="8" w:color="007CBA"/>
            </w:tcBorders>
            <w:shd w:val="clear" w:color="auto" w:fill="E5F1F8"/>
          </w:tcPr>
          <w:p>
            <w:pPr>
              <w:ind w:left="80"/>
              <w:spacing w:after="0" w:line="160" w:lineRule="exact"/>
              <w:rPr>
                <w:sz w:val="20"/>
                <w:szCs w:val="20"/>
                <w:color w:val="auto"/>
              </w:rPr>
            </w:pPr>
            <w:r>
              <w:rPr>
                <w:rFonts w:ascii="Arial" w:cs="Arial" w:eastAsia="Arial" w:hAnsi="Arial"/>
                <w:sz w:val="14"/>
                <w:szCs w:val="14"/>
                <w:color w:val="auto"/>
              </w:rPr>
              <w:t>plan of each of our business segments and the Company as a whole. The Board also conducts periodic visits to our facilities as part</w:t>
            </w:r>
          </w:p>
        </w:tc>
      </w:tr>
      <w:tr>
        <w:trPr>
          <w:trHeight w:val="176"/>
        </w:trPr>
        <w:tc>
          <w:tcPr>
            <w:tcW w:w="2360" w:type="dxa"/>
            <w:vAlign w:val="bottom"/>
            <w:tcBorders>
              <w:left w:val="single" w:sz="8" w:color="007CBA"/>
              <w:bottom w:val="single" w:sz="8" w:color="007CBA"/>
              <w:right w:val="single" w:sz="8" w:color="007CBA"/>
            </w:tcBorders>
            <w:shd w:val="clear" w:color="auto" w:fill="E5F1F8"/>
          </w:tcPr>
          <w:p>
            <w:pPr>
              <w:spacing w:after="0"/>
              <w:rPr>
                <w:sz w:val="15"/>
                <w:szCs w:val="15"/>
                <w:color w:val="auto"/>
              </w:rPr>
            </w:pPr>
          </w:p>
        </w:tc>
        <w:tc>
          <w:tcPr>
            <w:tcW w:w="854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of its regularly scheduled Board meetings.</w:t>
            </w:r>
          </w:p>
        </w:tc>
      </w:tr>
      <w:tr>
        <w:trPr>
          <w:trHeight w:val="424"/>
        </w:trPr>
        <w:tc>
          <w:tcPr>
            <w:tcW w:w="2360" w:type="dxa"/>
            <w:vAlign w:val="bottom"/>
          </w:tcPr>
          <w:p>
            <w:pPr>
              <w:spacing w:after="0"/>
              <w:rPr>
                <w:sz w:val="20"/>
                <w:szCs w:val="20"/>
                <w:color w:val="auto"/>
              </w:rPr>
            </w:pPr>
            <w:r>
              <w:rPr>
                <w:rFonts w:ascii="Arial" w:cs="Arial" w:eastAsia="Arial" w:hAnsi="Arial"/>
                <w:sz w:val="18"/>
                <w:szCs w:val="18"/>
                <w:b w:val="1"/>
                <w:bCs w:val="1"/>
                <w:color w:val="007CBA"/>
              </w:rPr>
              <w:t>Tenure Guidelines</w:t>
            </w:r>
          </w:p>
        </w:tc>
        <w:tc>
          <w:tcPr>
            <w:tcW w:w="8540" w:type="dxa"/>
            <w:vAlign w:val="bottom"/>
          </w:tcPr>
          <w:p>
            <w:pPr>
              <w:spacing w:after="0"/>
              <w:rPr>
                <w:sz w:val="24"/>
                <w:szCs w:val="24"/>
                <w:color w:val="auto"/>
              </w:rPr>
            </w:pPr>
          </w:p>
        </w:tc>
      </w:tr>
      <w:tr>
        <w:trPr>
          <w:trHeight w:val="228"/>
        </w:trPr>
        <w:tc>
          <w:tcPr>
            <w:tcW w:w="2360" w:type="dxa"/>
            <w:vAlign w:val="bottom"/>
            <w:tcBorders>
              <w:bottom w:val="single" w:sz="8" w:color="007CBA"/>
            </w:tcBorders>
          </w:tcPr>
          <w:p>
            <w:pPr>
              <w:spacing w:after="0"/>
              <w:rPr>
                <w:sz w:val="19"/>
                <w:szCs w:val="19"/>
                <w:color w:val="auto"/>
              </w:rPr>
            </w:pPr>
          </w:p>
        </w:tc>
        <w:tc>
          <w:tcPr>
            <w:tcW w:w="8540" w:type="dxa"/>
            <w:vAlign w:val="bottom"/>
            <w:tcBorders>
              <w:bottom w:val="single" w:sz="8" w:color="007CBA"/>
            </w:tcBorders>
          </w:tcPr>
          <w:p>
            <w:pPr>
              <w:spacing w:after="0"/>
              <w:rPr>
                <w:sz w:val="19"/>
                <w:szCs w:val="19"/>
                <w:color w:val="auto"/>
              </w:rPr>
            </w:pPr>
          </w:p>
        </w:tc>
      </w:tr>
      <w:tr>
        <w:trPr>
          <w:trHeight w:val="228"/>
        </w:trPr>
        <w:tc>
          <w:tcPr>
            <w:tcW w:w="2360" w:type="dxa"/>
            <w:vAlign w:val="bottom"/>
            <w:tcBorders>
              <w:left w:val="single" w:sz="8" w:color="007CBA"/>
              <w:bottom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b w:val="1"/>
                <w:bCs w:val="1"/>
                <w:color w:val="auto"/>
              </w:rPr>
              <w:t>Mandatory Retirement Age</w:t>
            </w:r>
          </w:p>
        </w:tc>
        <w:tc>
          <w:tcPr>
            <w:tcW w:w="8540" w:type="dxa"/>
            <w:vAlign w:val="bottom"/>
            <w:tcBorders>
              <w:bottom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color w:val="auto"/>
              </w:rPr>
              <w:t>Directors must retire at the annual meeting following his or her 75th birthday.</w:t>
            </w:r>
          </w:p>
        </w:tc>
      </w:tr>
      <w:tr>
        <w:trPr>
          <w:trHeight w:val="217"/>
        </w:trPr>
        <w:tc>
          <w:tcPr>
            <w:tcW w:w="2360" w:type="dxa"/>
            <w:vAlign w:val="bottom"/>
            <w:tcBorders>
              <w:left w:val="single" w:sz="8" w:color="007CBA"/>
              <w:right w:val="single" w:sz="8" w:color="007CBA"/>
            </w:tcBorders>
          </w:tcPr>
          <w:p>
            <w:pPr>
              <w:ind w:left="160"/>
              <w:spacing w:after="0"/>
              <w:rPr>
                <w:sz w:val="20"/>
                <w:szCs w:val="20"/>
                <w:color w:val="auto"/>
              </w:rPr>
            </w:pPr>
            <w:r>
              <w:rPr>
                <w:rFonts w:ascii="Arial" w:cs="Arial" w:eastAsia="Arial" w:hAnsi="Arial"/>
                <w:sz w:val="14"/>
                <w:szCs w:val="14"/>
                <w:b w:val="1"/>
                <w:bCs w:val="1"/>
                <w:color w:val="auto"/>
              </w:rPr>
              <w:t>Employment Change</w:t>
            </w:r>
          </w:p>
        </w:tc>
        <w:tc>
          <w:tcPr>
            <w:tcW w:w="8540" w:type="dxa"/>
            <w:vAlign w:val="bottom"/>
            <w:tcBorders>
              <w:right w:val="single" w:sz="8" w:color="007CBA"/>
            </w:tcBorders>
          </w:tcPr>
          <w:p>
            <w:pPr>
              <w:ind w:left="160"/>
              <w:spacing w:after="0"/>
              <w:rPr>
                <w:sz w:val="20"/>
                <w:szCs w:val="20"/>
                <w:color w:val="auto"/>
              </w:rPr>
            </w:pPr>
            <w:r>
              <w:rPr>
                <w:rFonts w:ascii="Arial" w:cs="Arial" w:eastAsia="Arial" w:hAnsi="Arial"/>
                <w:sz w:val="14"/>
                <w:szCs w:val="14"/>
                <w:color w:val="auto"/>
              </w:rPr>
              <w:t>Directors must report to the Chairman of the Board and Chairman of the Nominating and Corporate Governance Committee</w:t>
            </w:r>
          </w:p>
        </w:tc>
      </w:tr>
      <w:tr>
        <w:trPr>
          <w:trHeight w:val="160"/>
        </w:trPr>
        <w:tc>
          <w:tcPr>
            <w:tcW w:w="2360" w:type="dxa"/>
            <w:vAlign w:val="bottom"/>
            <w:tcBorders>
              <w:left w:val="single" w:sz="8" w:color="007CBA"/>
              <w:right w:val="single" w:sz="8" w:color="007CBA"/>
            </w:tcBorders>
          </w:tcPr>
          <w:p>
            <w:pPr>
              <w:spacing w:after="0"/>
              <w:rPr>
                <w:sz w:val="13"/>
                <w:szCs w:val="13"/>
                <w:color w:val="auto"/>
              </w:rPr>
            </w:pPr>
          </w:p>
        </w:tc>
        <w:tc>
          <w:tcPr>
            <w:tcW w:w="8540" w:type="dxa"/>
            <w:vAlign w:val="bottom"/>
            <w:tcBorders>
              <w:right w:val="single" w:sz="8" w:color="007CBA"/>
            </w:tcBorders>
          </w:tcPr>
          <w:p>
            <w:pPr>
              <w:ind w:left="160"/>
              <w:spacing w:after="0" w:line="160" w:lineRule="exact"/>
              <w:rPr>
                <w:sz w:val="20"/>
                <w:szCs w:val="20"/>
                <w:color w:val="auto"/>
              </w:rPr>
            </w:pPr>
            <w:r>
              <w:rPr>
                <w:rFonts w:ascii="Arial" w:cs="Arial" w:eastAsia="Arial" w:hAnsi="Arial"/>
                <w:sz w:val="14"/>
                <w:szCs w:val="14"/>
                <w:color w:val="auto"/>
              </w:rPr>
              <w:t>regarding any significant change in principal employment or responsibilities to assure he/she can commit the appropriate time to</w:t>
            </w:r>
          </w:p>
        </w:tc>
      </w:tr>
      <w:tr>
        <w:trPr>
          <w:trHeight w:val="176"/>
        </w:trPr>
        <w:tc>
          <w:tcPr>
            <w:tcW w:w="2360" w:type="dxa"/>
            <w:vAlign w:val="bottom"/>
            <w:tcBorders>
              <w:left w:val="single" w:sz="8" w:color="007CBA"/>
              <w:bottom w:val="single" w:sz="8" w:color="007CBA"/>
              <w:right w:val="single" w:sz="8" w:color="007CBA"/>
            </w:tcBorders>
          </w:tcPr>
          <w:p>
            <w:pPr>
              <w:spacing w:after="0"/>
              <w:rPr>
                <w:sz w:val="15"/>
                <w:szCs w:val="15"/>
                <w:color w:val="auto"/>
              </w:rPr>
            </w:pPr>
          </w:p>
        </w:tc>
        <w:tc>
          <w:tcPr>
            <w:tcW w:w="8540" w:type="dxa"/>
            <w:vAlign w:val="bottom"/>
            <w:tcBorders>
              <w:bottom w:val="single" w:sz="8" w:color="007CBA"/>
              <w:right w:val="single" w:sz="8" w:color="007CBA"/>
            </w:tcBorders>
          </w:tcPr>
          <w:p>
            <w:pPr>
              <w:ind w:left="160"/>
              <w:spacing w:after="0"/>
              <w:rPr>
                <w:sz w:val="20"/>
                <w:szCs w:val="20"/>
                <w:color w:val="auto"/>
              </w:rPr>
            </w:pPr>
            <w:r>
              <w:rPr>
                <w:rFonts w:ascii="Arial" w:cs="Arial" w:eastAsia="Arial" w:hAnsi="Arial"/>
                <w:sz w:val="14"/>
                <w:szCs w:val="14"/>
                <w:color w:val="auto"/>
              </w:rPr>
              <w:t>Board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93345</wp:posOffset>
            </wp:positionV>
            <wp:extent cx="406400" cy="245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61" w:lineRule="exact"/>
        <w:rPr>
          <w:sz w:val="20"/>
          <w:szCs w:val="20"/>
          <w:color w:val="auto"/>
        </w:rPr>
      </w:pPr>
    </w:p>
    <w:p>
      <w:pPr>
        <w:ind w:left="620" w:hanging="433"/>
        <w:spacing w:after="0"/>
        <w:tabs>
          <w:tab w:leader="none" w:pos="620" w:val="left"/>
        </w:tabs>
        <w:numPr>
          <w:ilvl w:val="0"/>
          <w:numId w:val="34"/>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80"/>
          </w:cols>
          <w:pgMar w:left="320" w:top="455"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ind w:right="80"/>
        <w:spacing w:after="0" w:line="276"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4"/>
          <w:szCs w:val="24"/>
          <w:color w:val="007CBA"/>
        </w:rPr>
        <w:t>◆</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007CBA"/>
        </w:rPr>
        <w:t>BOARD, COMMITTEE AND INDIVIDUAL</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007CBA"/>
        </w:rPr>
        <w:t>DIRECTOR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107950</wp:posOffset>
            </wp:positionV>
            <wp:extent cx="2868930" cy="2530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68930" cy="2530475"/>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172" w:lineRule="exact"/>
        <w:rPr>
          <w:sz w:val="20"/>
          <w:szCs w:val="20"/>
          <w:color w:val="auto"/>
        </w:rPr>
      </w:pPr>
    </w:p>
    <w:p>
      <w:pPr>
        <w:jc w:val="both"/>
        <w:ind w:left="200"/>
        <w:spacing w:after="0" w:line="261" w:lineRule="auto"/>
        <w:rPr>
          <w:sz w:val="20"/>
          <w:szCs w:val="20"/>
          <w:color w:val="auto"/>
        </w:rPr>
      </w:pPr>
      <w:r>
        <w:rPr>
          <w:rFonts w:ascii="Arial" w:cs="Arial" w:eastAsia="Arial" w:hAnsi="Arial"/>
          <w:sz w:val="15"/>
          <w:szCs w:val="15"/>
          <w:color w:val="auto"/>
        </w:rPr>
        <w:t>As a part of our continuous improvement process intended to enhance the Board’s overall effectiveness, the Board regularly evaluates its performance through self-assessments, corporate governance reviews and periodic charter reviews. Those evaluations, changes in our business strategy or operating environment, and the future needs of the Board in light of anticipated director retirements are used to identify desired backgrounds and skill sets for future Board members. The feedback solicited from Board members regarding the Board, each Committee on which they serve, and individual Board members is one of the tools used to assist the Nominating and Corporate Governance Committee in its responsibility to evaluate Board and Committee performance annually. For 2019, each director completed a written questionnaire. The questions were intended to solicit candid feedback by asking for comments. The collective ratings and comments were compiled, summarized and presented to the Nominating and Corporate Governance Committee, the Chair of which then followed-up as appropriate and shared the feedback with the full Board and the Chair of each Board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Board Committees</w:t>
      </w:r>
    </w:p>
    <w:p>
      <w:pPr>
        <w:spacing w:after="0" w:line="329" w:lineRule="exact"/>
        <w:rPr>
          <w:sz w:val="20"/>
          <w:szCs w:val="20"/>
          <w:color w:val="auto"/>
        </w:rPr>
      </w:pPr>
    </w:p>
    <w:p>
      <w:pPr>
        <w:jc w:val="both"/>
        <w:ind w:left="200"/>
        <w:spacing w:after="0" w:line="266" w:lineRule="auto"/>
        <w:rPr>
          <w:sz w:val="20"/>
          <w:szCs w:val="20"/>
          <w:color w:val="auto"/>
        </w:rPr>
      </w:pPr>
      <w:r>
        <w:rPr>
          <w:rFonts w:ascii="Arial" w:cs="Arial" w:eastAsia="Arial" w:hAnsi="Arial"/>
          <w:sz w:val="15"/>
          <w:szCs w:val="15"/>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 Each Committee has a written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that describes its purposes, membership, meeting structure, authority and responsibilities. These charters are reviewed by the respective Committee on an annual basis with any recommended changes adopted upon approval by our Board. The charters of our six standing Committees are posted on our website.</w:t>
      </w:r>
    </w:p>
    <w:p>
      <w:pPr>
        <w:spacing w:after="0" w:line="212"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Below is a summary of our current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135890</wp:posOffset>
            </wp:positionV>
            <wp:extent cx="8255" cy="3283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3283585"/>
                    </a:xfrm>
                    <a:prstGeom prst="rect">
                      <a:avLst/>
                    </a:prstGeom>
                    <a:noFill/>
                  </pic:spPr>
                </pic:pic>
              </a:graphicData>
            </a:graphic>
          </wp:anchor>
        </w:drawing>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3880" w:type="dxa"/>
            <w:vAlign w:val="bottom"/>
            <w:shd w:val="clear" w:color="auto" w:fill="007CBA"/>
          </w:tcPr>
          <w:p>
            <w:pPr>
              <w:spacing w:after="0"/>
              <w:rPr>
                <w:sz w:val="15"/>
                <w:szCs w:val="15"/>
                <w:color w:val="auto"/>
              </w:rPr>
            </w:pPr>
          </w:p>
        </w:tc>
        <w:tc>
          <w:tcPr>
            <w:tcW w:w="1040" w:type="dxa"/>
            <w:vAlign w:val="bottom"/>
            <w:shd w:val="clear" w:color="auto" w:fill="007CBA"/>
          </w:tcPr>
          <w:p>
            <w:pPr>
              <w:spacing w:after="0"/>
              <w:rPr>
                <w:sz w:val="15"/>
                <w:szCs w:val="15"/>
                <w:color w:val="auto"/>
              </w:rPr>
            </w:pPr>
          </w:p>
        </w:tc>
        <w:tc>
          <w:tcPr>
            <w:tcW w:w="900" w:type="dxa"/>
            <w:vAlign w:val="bottom"/>
            <w:shd w:val="clear" w:color="auto" w:fill="007CBA"/>
          </w:tcPr>
          <w:p>
            <w:pPr>
              <w:spacing w:after="0"/>
              <w:rPr>
                <w:sz w:val="15"/>
                <w:szCs w:val="15"/>
                <w:color w:val="auto"/>
              </w:rPr>
            </w:pPr>
          </w:p>
        </w:tc>
        <w:tc>
          <w:tcPr>
            <w:tcW w:w="10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Ethics,</w:t>
            </w:r>
          </w:p>
        </w:tc>
        <w:tc>
          <w:tcPr>
            <w:tcW w:w="88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c>
          <w:tcPr>
            <w:tcW w:w="11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Management</w:t>
            </w:r>
          </w:p>
        </w:tc>
        <w:tc>
          <w:tcPr>
            <w:tcW w:w="1120" w:type="dxa"/>
            <w:vAlign w:val="bottom"/>
            <w:shd w:val="clear" w:color="auto" w:fill="007CBA"/>
          </w:tcPr>
          <w:p>
            <w:pPr>
              <w:spacing w:after="0"/>
              <w:rPr>
                <w:sz w:val="15"/>
                <w:szCs w:val="15"/>
                <w:color w:val="auto"/>
              </w:rPr>
            </w:pPr>
          </w:p>
        </w:tc>
      </w:tr>
      <w:tr>
        <w:trPr>
          <w:trHeight w:val="133"/>
        </w:trPr>
        <w:tc>
          <w:tcPr>
            <w:tcW w:w="3880" w:type="dxa"/>
            <w:vAlign w:val="bottom"/>
            <w:shd w:val="clear" w:color="auto" w:fill="007CBA"/>
          </w:tcPr>
          <w:p>
            <w:pPr>
              <w:spacing w:after="0"/>
              <w:rPr>
                <w:sz w:val="11"/>
                <w:szCs w:val="11"/>
                <w:color w:val="auto"/>
              </w:rPr>
            </w:pPr>
          </w:p>
        </w:tc>
        <w:tc>
          <w:tcPr>
            <w:tcW w:w="1040" w:type="dxa"/>
            <w:vAlign w:val="bottom"/>
            <w:shd w:val="clear" w:color="auto" w:fill="007CBA"/>
          </w:tcPr>
          <w:p>
            <w:pPr>
              <w:spacing w:after="0"/>
              <w:rPr>
                <w:sz w:val="11"/>
                <w:szCs w:val="11"/>
                <w:color w:val="auto"/>
              </w:rPr>
            </w:pPr>
          </w:p>
        </w:tc>
        <w:tc>
          <w:tcPr>
            <w:tcW w:w="900" w:type="dxa"/>
            <w:vAlign w:val="bottom"/>
            <w:shd w:val="clear" w:color="auto" w:fill="007CBA"/>
          </w:tcPr>
          <w:p>
            <w:pPr>
              <w:spacing w:after="0"/>
              <w:rPr>
                <w:sz w:val="11"/>
                <w:szCs w:val="11"/>
                <w:color w:val="auto"/>
              </w:rPr>
            </w:pPr>
          </w:p>
        </w:tc>
        <w:tc>
          <w:tcPr>
            <w:tcW w:w="1000" w:type="dxa"/>
            <w:vAlign w:val="bottom"/>
            <w:shd w:val="clear" w:color="auto" w:fill="007CBA"/>
          </w:tcPr>
          <w:p>
            <w:pPr>
              <w:jc w:val="center"/>
              <w:spacing w:after="0" w:line="133" w:lineRule="exact"/>
              <w:rPr>
                <w:sz w:val="20"/>
                <w:szCs w:val="20"/>
                <w:color w:val="auto"/>
              </w:rPr>
            </w:pPr>
            <w:r>
              <w:rPr>
                <w:rFonts w:ascii="Arial" w:cs="Arial" w:eastAsia="Arial" w:hAnsi="Arial"/>
                <w:sz w:val="12"/>
                <w:szCs w:val="12"/>
                <w:b w:val="1"/>
                <w:bCs w:val="1"/>
                <w:color w:val="FFFFFF"/>
              </w:rPr>
              <w:t>Environment,</w:t>
            </w:r>
          </w:p>
        </w:tc>
        <w:tc>
          <w:tcPr>
            <w:tcW w:w="880" w:type="dxa"/>
            <w:vAlign w:val="bottom"/>
            <w:shd w:val="clear" w:color="auto" w:fill="007CBA"/>
          </w:tcPr>
          <w:p>
            <w:pPr>
              <w:spacing w:after="0"/>
              <w:rPr>
                <w:sz w:val="11"/>
                <w:szCs w:val="11"/>
                <w:color w:val="auto"/>
              </w:rPr>
            </w:pPr>
          </w:p>
        </w:tc>
        <w:tc>
          <w:tcPr>
            <w:tcW w:w="920" w:type="dxa"/>
            <w:vAlign w:val="bottom"/>
            <w:shd w:val="clear" w:color="auto" w:fill="007CBA"/>
          </w:tcPr>
          <w:p>
            <w:pPr>
              <w:spacing w:after="0"/>
              <w:rPr>
                <w:sz w:val="11"/>
                <w:szCs w:val="11"/>
                <w:color w:val="auto"/>
              </w:rPr>
            </w:pPr>
          </w:p>
        </w:tc>
        <w:tc>
          <w:tcPr>
            <w:tcW w:w="1120" w:type="dxa"/>
            <w:vAlign w:val="bottom"/>
            <w:shd w:val="clear" w:color="auto" w:fill="007CBA"/>
          </w:tcPr>
          <w:p>
            <w:pPr>
              <w:jc w:val="center"/>
              <w:spacing w:after="0" w:line="133" w:lineRule="exact"/>
              <w:rPr>
                <w:sz w:val="20"/>
                <w:szCs w:val="20"/>
                <w:color w:val="auto"/>
              </w:rPr>
            </w:pPr>
            <w:r>
              <w:rPr>
                <w:rFonts w:ascii="Arial" w:cs="Arial" w:eastAsia="Arial" w:hAnsi="Arial"/>
                <w:sz w:val="12"/>
                <w:szCs w:val="12"/>
                <w:b w:val="1"/>
                <w:bCs w:val="1"/>
                <w:color w:val="FFFFFF"/>
              </w:rPr>
              <w:t>Development</w:t>
            </w:r>
          </w:p>
        </w:tc>
        <w:tc>
          <w:tcPr>
            <w:tcW w:w="1120" w:type="dxa"/>
            <w:vAlign w:val="bottom"/>
            <w:shd w:val="clear" w:color="auto" w:fill="007CBA"/>
          </w:tcPr>
          <w:p>
            <w:pPr>
              <w:jc w:val="center"/>
              <w:spacing w:after="0" w:line="133" w:lineRule="exact"/>
              <w:rPr>
                <w:sz w:val="20"/>
                <w:szCs w:val="20"/>
                <w:color w:val="auto"/>
              </w:rPr>
            </w:pPr>
            <w:r>
              <w:rPr>
                <w:rFonts w:ascii="Arial" w:cs="Arial" w:eastAsia="Arial" w:hAnsi="Arial"/>
                <w:sz w:val="12"/>
                <w:szCs w:val="12"/>
                <w:b w:val="1"/>
                <w:bCs w:val="1"/>
                <w:color w:val="FFFFFF"/>
              </w:rPr>
              <w:t>Nominating</w:t>
            </w:r>
          </w:p>
        </w:tc>
      </w:tr>
      <w:tr>
        <w:trPr>
          <w:trHeight w:val="133"/>
        </w:trPr>
        <w:tc>
          <w:tcPr>
            <w:tcW w:w="3880" w:type="dxa"/>
            <w:vAlign w:val="bottom"/>
            <w:shd w:val="clear" w:color="auto" w:fill="007CBA"/>
          </w:tcPr>
          <w:p>
            <w:pPr>
              <w:spacing w:after="0"/>
              <w:rPr>
                <w:sz w:val="11"/>
                <w:szCs w:val="11"/>
                <w:color w:val="auto"/>
              </w:rPr>
            </w:pPr>
          </w:p>
        </w:tc>
        <w:tc>
          <w:tcPr>
            <w:tcW w:w="1040" w:type="dxa"/>
            <w:vAlign w:val="bottom"/>
            <w:shd w:val="clear" w:color="auto" w:fill="007CBA"/>
          </w:tcPr>
          <w:p>
            <w:pPr>
              <w:spacing w:after="0"/>
              <w:rPr>
                <w:sz w:val="11"/>
                <w:szCs w:val="11"/>
                <w:color w:val="auto"/>
              </w:rPr>
            </w:pPr>
          </w:p>
        </w:tc>
        <w:tc>
          <w:tcPr>
            <w:tcW w:w="900" w:type="dxa"/>
            <w:vAlign w:val="bottom"/>
            <w:shd w:val="clear" w:color="auto" w:fill="007CBA"/>
          </w:tcPr>
          <w:p>
            <w:pPr>
              <w:spacing w:after="0"/>
              <w:rPr>
                <w:sz w:val="11"/>
                <w:szCs w:val="11"/>
                <w:color w:val="auto"/>
              </w:rPr>
            </w:pPr>
          </w:p>
        </w:tc>
        <w:tc>
          <w:tcPr>
            <w:tcW w:w="1000" w:type="dxa"/>
            <w:vAlign w:val="bottom"/>
            <w:shd w:val="clear" w:color="auto" w:fill="007CBA"/>
          </w:tcPr>
          <w:p>
            <w:pPr>
              <w:jc w:val="center"/>
              <w:spacing w:after="0" w:line="133" w:lineRule="exact"/>
              <w:rPr>
                <w:sz w:val="20"/>
                <w:szCs w:val="20"/>
                <w:color w:val="auto"/>
              </w:rPr>
            </w:pPr>
            <w:r>
              <w:rPr>
                <w:rFonts w:ascii="Arial" w:cs="Arial" w:eastAsia="Arial" w:hAnsi="Arial"/>
                <w:sz w:val="12"/>
                <w:szCs w:val="12"/>
                <w:b w:val="1"/>
                <w:bCs w:val="1"/>
                <w:color w:val="FFFFFF"/>
              </w:rPr>
              <w:t>Safety and</w:t>
            </w:r>
          </w:p>
        </w:tc>
        <w:tc>
          <w:tcPr>
            <w:tcW w:w="880" w:type="dxa"/>
            <w:vAlign w:val="bottom"/>
            <w:shd w:val="clear" w:color="auto" w:fill="007CBA"/>
          </w:tcPr>
          <w:p>
            <w:pPr>
              <w:spacing w:after="0"/>
              <w:rPr>
                <w:sz w:val="11"/>
                <w:szCs w:val="11"/>
                <w:color w:val="auto"/>
              </w:rPr>
            </w:pPr>
          </w:p>
        </w:tc>
        <w:tc>
          <w:tcPr>
            <w:tcW w:w="920" w:type="dxa"/>
            <w:vAlign w:val="bottom"/>
            <w:shd w:val="clear" w:color="auto" w:fill="007CBA"/>
          </w:tcPr>
          <w:p>
            <w:pPr>
              <w:spacing w:after="0"/>
              <w:rPr>
                <w:sz w:val="11"/>
                <w:szCs w:val="11"/>
                <w:color w:val="auto"/>
              </w:rPr>
            </w:pPr>
          </w:p>
        </w:tc>
        <w:tc>
          <w:tcPr>
            <w:tcW w:w="1120" w:type="dxa"/>
            <w:vAlign w:val="bottom"/>
            <w:shd w:val="clear" w:color="auto" w:fill="007CBA"/>
          </w:tcPr>
          <w:p>
            <w:pPr>
              <w:jc w:val="center"/>
              <w:spacing w:after="0" w:line="133" w:lineRule="exact"/>
              <w:rPr>
                <w:sz w:val="20"/>
                <w:szCs w:val="20"/>
                <w:color w:val="auto"/>
              </w:rPr>
            </w:pPr>
            <w:r>
              <w:rPr>
                <w:rFonts w:ascii="Arial" w:cs="Arial" w:eastAsia="Arial" w:hAnsi="Arial"/>
                <w:sz w:val="12"/>
                <w:szCs w:val="12"/>
                <w:b w:val="1"/>
                <w:bCs w:val="1"/>
                <w:color w:val="FFFFFF"/>
              </w:rPr>
              <w:t>and</w:t>
            </w:r>
          </w:p>
        </w:tc>
        <w:tc>
          <w:tcPr>
            <w:tcW w:w="1120" w:type="dxa"/>
            <w:vAlign w:val="bottom"/>
            <w:shd w:val="clear" w:color="auto" w:fill="007CBA"/>
          </w:tcPr>
          <w:p>
            <w:pPr>
              <w:jc w:val="center"/>
              <w:spacing w:after="0" w:line="133" w:lineRule="exact"/>
              <w:rPr>
                <w:sz w:val="20"/>
                <w:szCs w:val="20"/>
                <w:color w:val="auto"/>
              </w:rPr>
            </w:pPr>
            <w:r>
              <w:rPr>
                <w:rFonts w:ascii="Arial" w:cs="Arial" w:eastAsia="Arial" w:hAnsi="Arial"/>
                <w:sz w:val="12"/>
                <w:szCs w:val="12"/>
                <w:b w:val="1"/>
                <w:bCs w:val="1"/>
                <w:color w:val="FFFFFF"/>
              </w:rPr>
              <w:t>and Corporate</w:t>
            </w:r>
          </w:p>
        </w:tc>
      </w:tr>
      <w:tr>
        <w:trPr>
          <w:trHeight w:val="140"/>
        </w:trPr>
        <w:tc>
          <w:tcPr>
            <w:tcW w:w="3880" w:type="dxa"/>
            <w:vAlign w:val="bottom"/>
            <w:shd w:val="clear" w:color="auto" w:fill="007CBA"/>
          </w:tcPr>
          <w:p>
            <w:pPr>
              <w:spacing w:after="0"/>
              <w:rPr>
                <w:sz w:val="12"/>
                <w:szCs w:val="12"/>
                <w:color w:val="auto"/>
              </w:rPr>
            </w:pPr>
          </w:p>
        </w:tc>
        <w:tc>
          <w:tcPr>
            <w:tcW w:w="104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Independent</w:t>
            </w:r>
          </w:p>
        </w:tc>
        <w:tc>
          <w:tcPr>
            <w:tcW w:w="9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97"/>
              </w:rPr>
              <w:t>Audit</w:t>
            </w:r>
          </w:p>
        </w:tc>
        <w:tc>
          <w:tcPr>
            <w:tcW w:w="10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Health</w:t>
            </w:r>
          </w:p>
        </w:tc>
        <w:tc>
          <w:tcPr>
            <w:tcW w:w="88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Executive</w:t>
            </w:r>
          </w:p>
        </w:tc>
        <w:tc>
          <w:tcPr>
            <w:tcW w:w="9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Finance</w:t>
            </w:r>
          </w:p>
        </w:tc>
        <w:tc>
          <w:tcPr>
            <w:tcW w:w="11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Compensation</w:t>
            </w:r>
          </w:p>
        </w:tc>
        <w:tc>
          <w:tcPr>
            <w:tcW w:w="11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Governance</w:t>
            </w:r>
          </w:p>
        </w:tc>
      </w:tr>
      <w:tr>
        <w:trPr>
          <w:trHeight w:val="169"/>
        </w:trPr>
        <w:tc>
          <w:tcPr>
            <w:tcW w:w="3880" w:type="dxa"/>
            <w:vAlign w:val="bottom"/>
            <w:shd w:val="clear" w:color="auto" w:fill="007CBA"/>
          </w:tcPr>
          <w:p>
            <w:pPr>
              <w:ind w:left="1700"/>
              <w:spacing w:after="0"/>
              <w:rPr>
                <w:sz w:val="20"/>
                <w:szCs w:val="20"/>
                <w:color w:val="auto"/>
              </w:rPr>
            </w:pPr>
            <w:r>
              <w:rPr>
                <w:rFonts w:ascii="Arial" w:cs="Arial" w:eastAsia="Arial" w:hAnsi="Arial"/>
                <w:sz w:val="12"/>
                <w:szCs w:val="12"/>
                <w:b w:val="1"/>
                <w:bCs w:val="1"/>
                <w:color w:val="FFFFFF"/>
              </w:rPr>
              <w:t>Director</w:t>
            </w:r>
          </w:p>
        </w:tc>
        <w:tc>
          <w:tcPr>
            <w:tcW w:w="104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Director</w:t>
            </w:r>
          </w:p>
        </w:tc>
        <w:tc>
          <w:tcPr>
            <w:tcW w:w="9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Committee</w:t>
            </w:r>
          </w:p>
        </w:tc>
        <w:tc>
          <w:tcPr>
            <w:tcW w:w="10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Committee</w:t>
            </w:r>
          </w:p>
        </w:tc>
        <w:tc>
          <w:tcPr>
            <w:tcW w:w="88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Committee</w:t>
            </w:r>
          </w:p>
        </w:tc>
        <w:tc>
          <w:tcPr>
            <w:tcW w:w="9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Committee</w:t>
            </w:r>
          </w:p>
        </w:tc>
        <w:tc>
          <w:tcPr>
            <w:tcW w:w="11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Committee</w:t>
            </w:r>
          </w:p>
        </w:tc>
        <w:tc>
          <w:tcPr>
            <w:tcW w:w="112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rPr>
              <w:t>Committee</w:t>
            </w:r>
          </w:p>
        </w:tc>
      </w:tr>
      <w:tr>
        <w:trPr>
          <w:trHeight w:val="57"/>
        </w:trPr>
        <w:tc>
          <w:tcPr>
            <w:tcW w:w="3880" w:type="dxa"/>
            <w:vAlign w:val="bottom"/>
            <w:shd w:val="clear" w:color="auto" w:fill="007CBA"/>
          </w:tcPr>
          <w:p>
            <w:pPr>
              <w:spacing w:after="0"/>
              <w:rPr>
                <w:sz w:val="4"/>
                <w:szCs w:val="4"/>
                <w:color w:val="auto"/>
              </w:rPr>
            </w:pPr>
          </w:p>
        </w:tc>
        <w:tc>
          <w:tcPr>
            <w:tcW w:w="1040" w:type="dxa"/>
            <w:vAlign w:val="bottom"/>
            <w:shd w:val="clear" w:color="auto" w:fill="007CBA"/>
          </w:tcPr>
          <w:p>
            <w:pPr>
              <w:spacing w:after="0"/>
              <w:rPr>
                <w:sz w:val="4"/>
                <w:szCs w:val="4"/>
                <w:color w:val="auto"/>
              </w:rPr>
            </w:pPr>
          </w:p>
        </w:tc>
        <w:tc>
          <w:tcPr>
            <w:tcW w:w="900" w:type="dxa"/>
            <w:vAlign w:val="bottom"/>
            <w:shd w:val="clear" w:color="auto" w:fill="007CBA"/>
          </w:tcPr>
          <w:p>
            <w:pPr>
              <w:spacing w:after="0"/>
              <w:rPr>
                <w:sz w:val="4"/>
                <w:szCs w:val="4"/>
                <w:color w:val="auto"/>
              </w:rPr>
            </w:pPr>
          </w:p>
        </w:tc>
        <w:tc>
          <w:tcPr>
            <w:tcW w:w="1000" w:type="dxa"/>
            <w:vAlign w:val="bottom"/>
            <w:shd w:val="clear" w:color="auto" w:fill="007CBA"/>
          </w:tcPr>
          <w:p>
            <w:pPr>
              <w:spacing w:after="0"/>
              <w:rPr>
                <w:sz w:val="4"/>
                <w:szCs w:val="4"/>
                <w:color w:val="auto"/>
              </w:rPr>
            </w:pPr>
          </w:p>
        </w:tc>
        <w:tc>
          <w:tcPr>
            <w:tcW w:w="880" w:type="dxa"/>
            <w:vAlign w:val="bottom"/>
            <w:shd w:val="clear" w:color="auto" w:fill="007CBA"/>
          </w:tcPr>
          <w:p>
            <w:pPr>
              <w:spacing w:after="0"/>
              <w:rPr>
                <w:sz w:val="4"/>
                <w:szCs w:val="4"/>
                <w:color w:val="auto"/>
              </w:rPr>
            </w:pPr>
          </w:p>
        </w:tc>
        <w:tc>
          <w:tcPr>
            <w:tcW w:w="920" w:type="dxa"/>
            <w:vAlign w:val="bottom"/>
            <w:shd w:val="clear" w:color="auto" w:fill="007CBA"/>
          </w:tcPr>
          <w:p>
            <w:pPr>
              <w:spacing w:after="0"/>
              <w:rPr>
                <w:sz w:val="4"/>
                <w:szCs w:val="4"/>
                <w:color w:val="auto"/>
              </w:rPr>
            </w:pPr>
          </w:p>
        </w:tc>
        <w:tc>
          <w:tcPr>
            <w:tcW w:w="1120" w:type="dxa"/>
            <w:vAlign w:val="bottom"/>
            <w:shd w:val="clear" w:color="auto" w:fill="007CBA"/>
          </w:tcPr>
          <w:p>
            <w:pPr>
              <w:spacing w:after="0"/>
              <w:rPr>
                <w:sz w:val="4"/>
                <w:szCs w:val="4"/>
                <w:color w:val="auto"/>
              </w:rPr>
            </w:pPr>
          </w:p>
        </w:tc>
        <w:tc>
          <w:tcPr>
            <w:tcW w:w="1120" w:type="dxa"/>
            <w:vAlign w:val="bottom"/>
            <w:shd w:val="clear" w:color="auto" w:fill="007CBA"/>
          </w:tcPr>
          <w:p>
            <w:pPr>
              <w:spacing w:after="0"/>
              <w:rPr>
                <w:sz w:val="4"/>
                <w:szCs w:val="4"/>
                <w:color w:val="auto"/>
              </w:rPr>
            </w:pPr>
          </w:p>
        </w:tc>
      </w:tr>
    </w:tbl>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880" w:type="dxa"/>
            <w:vAlign w:val="bottom"/>
            <w:shd w:val="clear" w:color="auto" w:fill="E5F1F8"/>
          </w:tcPr>
          <w:p>
            <w:pPr>
              <w:ind w:left="60"/>
              <w:spacing w:after="0"/>
              <w:rPr>
                <w:sz w:val="20"/>
                <w:szCs w:val="20"/>
                <w:color w:val="auto"/>
              </w:rPr>
            </w:pPr>
            <w:r>
              <w:rPr>
                <w:rFonts w:ascii="Arial" w:cs="Arial" w:eastAsia="Arial" w:hAnsi="Arial"/>
                <w:sz w:val="14"/>
                <w:szCs w:val="14"/>
                <w:color w:val="auto"/>
              </w:rPr>
              <w:t>Dorothy M. Ables</w:t>
            </w:r>
          </w:p>
        </w:tc>
        <w:tc>
          <w:tcPr>
            <w:tcW w:w="1060" w:type="dxa"/>
            <w:vAlign w:val="bottom"/>
            <w:tcBorders>
              <w:right w:val="single" w:sz="8" w:color="007CBA"/>
            </w:tcBorders>
            <w:shd w:val="clear" w:color="auto" w:fill="E5F1F8"/>
          </w:tcPr>
          <w:p>
            <w:pPr>
              <w:spacing w:after="0"/>
              <w:rPr>
                <w:sz w:val="16"/>
                <w:szCs w:val="16"/>
                <w:color w:val="auto"/>
              </w:rPr>
            </w:pPr>
          </w:p>
        </w:tc>
        <w:tc>
          <w:tcPr>
            <w:tcW w:w="940" w:type="dxa"/>
            <w:vAlign w:val="bottom"/>
            <w:tcBorders>
              <w:right w:val="single" w:sz="8" w:color="007CBA"/>
            </w:tcBorders>
            <w:shd w:val="clear" w:color="auto" w:fill="E5F1F8"/>
          </w:tcPr>
          <w:p>
            <w:pPr>
              <w:spacing w:after="0"/>
              <w:rPr>
                <w:sz w:val="16"/>
                <w:szCs w:val="16"/>
                <w:color w:val="auto"/>
              </w:rPr>
            </w:pPr>
          </w:p>
        </w:tc>
        <w:tc>
          <w:tcPr>
            <w:tcW w:w="920" w:type="dxa"/>
            <w:vAlign w:val="bottom"/>
            <w:tcBorders>
              <w:right w:val="single" w:sz="8" w:color="007CBA"/>
            </w:tcBorders>
            <w:shd w:val="clear" w:color="auto" w:fill="E5F1F8"/>
          </w:tcPr>
          <w:p>
            <w:pPr>
              <w:spacing w:after="0"/>
              <w:rPr>
                <w:sz w:val="16"/>
                <w:szCs w:val="16"/>
                <w:color w:val="auto"/>
              </w:rPr>
            </w:pPr>
          </w:p>
        </w:tc>
        <w:tc>
          <w:tcPr>
            <w:tcW w:w="920" w:type="dxa"/>
            <w:vAlign w:val="bottom"/>
            <w:tcBorders>
              <w:right w:val="single" w:sz="8" w:color="007CBA"/>
            </w:tcBorders>
            <w:shd w:val="clear" w:color="auto" w:fill="E5F1F8"/>
          </w:tcPr>
          <w:p>
            <w:pPr>
              <w:spacing w:after="0"/>
              <w:rPr>
                <w:sz w:val="16"/>
                <w:szCs w:val="16"/>
                <w:color w:val="auto"/>
              </w:rPr>
            </w:pPr>
          </w:p>
        </w:tc>
        <w:tc>
          <w:tcPr>
            <w:tcW w:w="940" w:type="dxa"/>
            <w:vAlign w:val="bottom"/>
            <w:tcBorders>
              <w:right w:val="single" w:sz="8" w:color="007CBA"/>
            </w:tcBorders>
            <w:shd w:val="clear" w:color="auto" w:fill="E5F1F8"/>
          </w:tcPr>
          <w:p>
            <w:pPr>
              <w:spacing w:after="0"/>
              <w:rPr>
                <w:sz w:val="16"/>
                <w:szCs w:val="16"/>
                <w:color w:val="auto"/>
              </w:rPr>
            </w:pPr>
          </w:p>
        </w:tc>
        <w:tc>
          <w:tcPr>
            <w:tcW w:w="1080" w:type="dxa"/>
            <w:vAlign w:val="bottom"/>
            <w:tcBorders>
              <w:right w:val="single" w:sz="8" w:color="007CBA"/>
            </w:tcBorders>
            <w:shd w:val="clear" w:color="auto" w:fill="E5F1F8"/>
          </w:tcPr>
          <w:p>
            <w:pPr>
              <w:spacing w:after="0"/>
              <w:rPr>
                <w:sz w:val="16"/>
                <w:szCs w:val="16"/>
                <w:color w:val="auto"/>
              </w:rPr>
            </w:pPr>
          </w:p>
        </w:tc>
        <w:tc>
          <w:tcPr>
            <w:tcW w:w="86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80" w:type="dxa"/>
            <w:vAlign w:val="bottom"/>
            <w:shd w:val="clear" w:color="auto" w:fill="E5F1F8"/>
          </w:tcPr>
          <w:p>
            <w:pPr>
              <w:ind w:left="60"/>
              <w:spacing w:after="0"/>
              <w:rPr>
                <w:sz w:val="20"/>
                <w:szCs w:val="20"/>
                <w:color w:val="auto"/>
              </w:rPr>
            </w:pPr>
            <w:r>
              <w:rPr>
                <w:rFonts w:ascii="Arial" w:cs="Arial" w:eastAsia="Arial" w:hAnsi="Arial"/>
                <w:sz w:val="12"/>
                <w:szCs w:val="12"/>
                <w:i w:val="1"/>
                <w:iCs w:val="1"/>
                <w:color w:val="007CBA"/>
              </w:rPr>
              <w:t>Financial Expert</w:t>
            </w:r>
          </w:p>
        </w:tc>
        <w:tc>
          <w:tcPr>
            <w:tcW w:w="1060" w:type="dxa"/>
            <w:vAlign w:val="bottom"/>
            <w:tcBorders>
              <w:right w:val="single" w:sz="8" w:color="007CBA"/>
            </w:tcBorders>
            <w:shd w:val="clear" w:color="auto" w:fill="E5F1F8"/>
          </w:tcPr>
          <w:p>
            <w:pPr>
              <w:spacing w:after="0"/>
              <w:rPr>
                <w:sz w:val="13"/>
                <w:szCs w:val="13"/>
                <w:color w:val="auto"/>
              </w:rPr>
            </w:pPr>
          </w:p>
        </w:tc>
        <w:tc>
          <w:tcPr>
            <w:tcW w:w="94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spacing w:after="0"/>
              <w:rPr>
                <w:sz w:val="13"/>
                <w:szCs w:val="13"/>
                <w:color w:val="auto"/>
              </w:rPr>
            </w:pPr>
          </w:p>
        </w:tc>
        <w:tc>
          <w:tcPr>
            <w:tcW w:w="940" w:type="dxa"/>
            <w:vAlign w:val="bottom"/>
            <w:tcBorders>
              <w:right w:val="single" w:sz="8" w:color="007CBA"/>
            </w:tcBorders>
            <w:shd w:val="clear" w:color="auto" w:fill="E5F1F8"/>
          </w:tcPr>
          <w:p>
            <w:pPr>
              <w:spacing w:after="0"/>
              <w:rPr>
                <w:sz w:val="13"/>
                <w:szCs w:val="13"/>
                <w:color w:val="auto"/>
              </w:rPr>
            </w:pPr>
          </w:p>
        </w:tc>
        <w:tc>
          <w:tcPr>
            <w:tcW w:w="1080" w:type="dxa"/>
            <w:vAlign w:val="bottom"/>
            <w:tcBorders>
              <w:right w:val="single" w:sz="8" w:color="007CBA"/>
            </w:tcBorders>
            <w:shd w:val="clear" w:color="auto" w:fill="E5F1F8"/>
          </w:tcPr>
          <w:p>
            <w:pPr>
              <w:spacing w:after="0"/>
              <w:rPr>
                <w:sz w:val="13"/>
                <w:szCs w:val="13"/>
                <w:color w:val="auto"/>
              </w:rPr>
            </w:pPr>
          </w:p>
        </w:tc>
        <w:tc>
          <w:tcPr>
            <w:tcW w:w="860" w:type="dxa"/>
            <w:vAlign w:val="bottom"/>
            <w:shd w:val="clear" w:color="auto" w:fill="E5F1F8"/>
          </w:tcPr>
          <w:p>
            <w:pPr>
              <w:spacing w:after="0"/>
              <w:rPr>
                <w:sz w:val="13"/>
                <w:szCs w:val="13"/>
                <w:color w:val="auto"/>
              </w:rPr>
            </w:pPr>
          </w:p>
        </w:tc>
        <w:tc>
          <w:tcPr>
            <w:tcW w:w="26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80" w:type="dxa"/>
            <w:vAlign w:val="bottom"/>
            <w:shd w:val="clear" w:color="auto" w:fill="E5F1F8"/>
          </w:tcPr>
          <w:p>
            <w:pPr>
              <w:spacing w:after="0"/>
              <w:rPr>
                <w:sz w:val="7"/>
                <w:szCs w:val="7"/>
                <w:color w:val="auto"/>
              </w:rPr>
            </w:pPr>
          </w:p>
        </w:tc>
        <w:tc>
          <w:tcPr>
            <w:tcW w:w="1060" w:type="dxa"/>
            <w:vAlign w:val="bottom"/>
            <w:tcBorders>
              <w:right w:val="single" w:sz="8" w:color="007CBA"/>
            </w:tcBorders>
            <w:shd w:val="clear" w:color="auto" w:fill="E5F1F8"/>
          </w:tcPr>
          <w:p>
            <w:pPr>
              <w:spacing w:after="0"/>
              <w:rPr>
                <w:sz w:val="7"/>
                <w:szCs w:val="7"/>
                <w:color w:val="auto"/>
              </w:rPr>
            </w:pPr>
          </w:p>
        </w:tc>
        <w:tc>
          <w:tcPr>
            <w:tcW w:w="940" w:type="dxa"/>
            <w:vAlign w:val="bottom"/>
            <w:tcBorders>
              <w:right w:val="single" w:sz="8" w:color="007CBA"/>
            </w:tcBorders>
            <w:shd w:val="clear" w:color="auto" w:fill="E5F1F8"/>
          </w:tcPr>
          <w:p>
            <w:pPr>
              <w:spacing w:after="0"/>
              <w:rPr>
                <w:sz w:val="7"/>
                <w:szCs w:val="7"/>
                <w:color w:val="auto"/>
              </w:rPr>
            </w:pPr>
          </w:p>
        </w:tc>
        <w:tc>
          <w:tcPr>
            <w:tcW w:w="920" w:type="dxa"/>
            <w:vAlign w:val="bottom"/>
            <w:tcBorders>
              <w:right w:val="single" w:sz="8" w:color="007CBA"/>
            </w:tcBorders>
            <w:shd w:val="clear" w:color="auto" w:fill="E5F1F8"/>
          </w:tcPr>
          <w:p>
            <w:pPr>
              <w:spacing w:after="0"/>
              <w:rPr>
                <w:sz w:val="7"/>
                <w:szCs w:val="7"/>
                <w:color w:val="auto"/>
              </w:rPr>
            </w:pPr>
          </w:p>
        </w:tc>
        <w:tc>
          <w:tcPr>
            <w:tcW w:w="920" w:type="dxa"/>
            <w:vAlign w:val="bottom"/>
            <w:tcBorders>
              <w:right w:val="single" w:sz="8" w:color="007CBA"/>
            </w:tcBorders>
            <w:shd w:val="clear" w:color="auto" w:fill="E5F1F8"/>
          </w:tcPr>
          <w:p>
            <w:pPr>
              <w:spacing w:after="0"/>
              <w:rPr>
                <w:sz w:val="7"/>
                <w:szCs w:val="7"/>
                <w:color w:val="auto"/>
              </w:rPr>
            </w:pPr>
          </w:p>
        </w:tc>
        <w:tc>
          <w:tcPr>
            <w:tcW w:w="940" w:type="dxa"/>
            <w:vAlign w:val="bottom"/>
            <w:tcBorders>
              <w:right w:val="single" w:sz="8" w:color="007CBA"/>
            </w:tcBorders>
            <w:shd w:val="clear" w:color="auto" w:fill="E5F1F8"/>
          </w:tcPr>
          <w:p>
            <w:pPr>
              <w:spacing w:after="0"/>
              <w:rPr>
                <w:sz w:val="7"/>
                <w:szCs w:val="7"/>
                <w:color w:val="auto"/>
              </w:rPr>
            </w:pPr>
          </w:p>
        </w:tc>
        <w:tc>
          <w:tcPr>
            <w:tcW w:w="1080" w:type="dxa"/>
            <w:vAlign w:val="bottom"/>
            <w:tcBorders>
              <w:right w:val="single" w:sz="8" w:color="007CBA"/>
            </w:tcBorders>
            <w:shd w:val="clear" w:color="auto" w:fill="E5F1F8"/>
          </w:tcPr>
          <w:p>
            <w:pPr>
              <w:spacing w:after="0"/>
              <w:rPr>
                <w:sz w:val="7"/>
                <w:szCs w:val="7"/>
                <w:color w:val="auto"/>
              </w:rPr>
            </w:pPr>
          </w:p>
        </w:tc>
        <w:tc>
          <w:tcPr>
            <w:tcW w:w="860" w:type="dxa"/>
            <w:vAlign w:val="bottom"/>
            <w:shd w:val="clear" w:color="auto" w:fill="E5F1F8"/>
          </w:tcPr>
          <w:p>
            <w:pPr>
              <w:spacing w:after="0"/>
              <w:rPr>
                <w:sz w:val="7"/>
                <w:szCs w:val="7"/>
                <w:color w:val="auto"/>
              </w:rPr>
            </w:pPr>
          </w:p>
        </w:tc>
        <w:tc>
          <w:tcPr>
            <w:tcW w:w="26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auto"/>
              </w:rPr>
              <w:t>Sue W. Cole</w:t>
            </w:r>
          </w:p>
        </w:tc>
        <w:tc>
          <w:tcPr>
            <w:tcW w:w="940" w:type="dxa"/>
            <w:vAlign w:val="bottom"/>
            <w:tcBorders>
              <w:right w:val="single" w:sz="8" w:color="007CBA"/>
            </w:tcBorders>
          </w:tcPr>
          <w:p>
            <w:pPr>
              <w:spacing w:after="0"/>
              <w:rPr>
                <w:sz w:val="24"/>
                <w:szCs w:val="24"/>
                <w:color w:val="auto"/>
              </w:rPr>
            </w:pPr>
          </w:p>
        </w:tc>
        <w:tc>
          <w:tcPr>
            <w:tcW w:w="920" w:type="dxa"/>
            <w:vAlign w:val="bottom"/>
            <w:tcBorders>
              <w:right w:val="single" w:sz="8" w:color="007CBA"/>
            </w:tcBorders>
          </w:tcPr>
          <w:p>
            <w:pPr>
              <w:spacing w:after="0"/>
              <w:rPr>
                <w:sz w:val="24"/>
                <w:szCs w:val="24"/>
                <w:color w:val="auto"/>
              </w:rPr>
            </w:pPr>
          </w:p>
        </w:tc>
        <w:tc>
          <w:tcPr>
            <w:tcW w:w="920" w:type="dxa"/>
            <w:vAlign w:val="bottom"/>
            <w:tcBorders>
              <w:right w:val="single" w:sz="8" w:color="007CBA"/>
            </w:tcBorders>
          </w:tcPr>
          <w:p>
            <w:pPr>
              <w:spacing w:after="0"/>
              <w:rPr>
                <w:sz w:val="24"/>
                <w:szCs w:val="24"/>
                <w:color w:val="auto"/>
              </w:rPr>
            </w:pPr>
          </w:p>
        </w:tc>
        <w:tc>
          <w:tcPr>
            <w:tcW w:w="940" w:type="dxa"/>
            <w:vAlign w:val="bottom"/>
            <w:tcBorders>
              <w:right w:val="single" w:sz="8" w:color="007CBA"/>
            </w:tcBorders>
          </w:tcPr>
          <w:p>
            <w:pPr>
              <w:spacing w:after="0"/>
              <w:rPr>
                <w:sz w:val="24"/>
                <w:szCs w:val="24"/>
                <w:color w:val="auto"/>
              </w:rPr>
            </w:pPr>
          </w:p>
        </w:tc>
        <w:tc>
          <w:tcPr>
            <w:tcW w:w="1080" w:type="dxa"/>
            <w:vAlign w:val="bottom"/>
            <w:tcBorders>
              <w:right w:val="single" w:sz="8" w:color="007CBA"/>
            </w:tcBorders>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Borders>
              <w:right w:val="single" w:sz="8" w:color="007CBA"/>
            </w:tcBorders>
            <w:gridSpan w:val="2"/>
          </w:tcPr>
          <w:p>
            <w:pPr>
              <w:spacing w:after="0"/>
              <w:rPr>
                <w:sz w:val="9"/>
                <w:szCs w:val="9"/>
                <w:color w:val="auto"/>
              </w:rPr>
            </w:pPr>
          </w:p>
        </w:tc>
        <w:tc>
          <w:tcPr>
            <w:tcW w:w="940" w:type="dxa"/>
            <w:vAlign w:val="bottom"/>
            <w:tcBorders>
              <w:right w:val="single" w:sz="8" w:color="007CBA"/>
            </w:tcBorders>
          </w:tcPr>
          <w:p>
            <w:pPr>
              <w:spacing w:after="0"/>
              <w:rPr>
                <w:sz w:val="9"/>
                <w:szCs w:val="9"/>
                <w:color w:val="auto"/>
              </w:rPr>
            </w:pPr>
          </w:p>
        </w:tc>
        <w:tc>
          <w:tcPr>
            <w:tcW w:w="920" w:type="dxa"/>
            <w:vAlign w:val="bottom"/>
            <w:tcBorders>
              <w:right w:val="single" w:sz="8" w:color="007CBA"/>
            </w:tcBorders>
          </w:tcPr>
          <w:p>
            <w:pPr>
              <w:spacing w:after="0"/>
              <w:rPr>
                <w:sz w:val="9"/>
                <w:szCs w:val="9"/>
                <w:color w:val="auto"/>
              </w:rPr>
            </w:pPr>
          </w:p>
        </w:tc>
        <w:tc>
          <w:tcPr>
            <w:tcW w:w="920" w:type="dxa"/>
            <w:vAlign w:val="bottom"/>
            <w:tcBorders>
              <w:right w:val="single" w:sz="8" w:color="007CBA"/>
            </w:tcBorders>
          </w:tcPr>
          <w:p>
            <w:pPr>
              <w:spacing w:after="0"/>
              <w:rPr>
                <w:sz w:val="9"/>
                <w:szCs w:val="9"/>
                <w:color w:val="auto"/>
              </w:rPr>
            </w:pPr>
          </w:p>
        </w:tc>
        <w:tc>
          <w:tcPr>
            <w:tcW w:w="940" w:type="dxa"/>
            <w:vAlign w:val="bottom"/>
            <w:tcBorders>
              <w:right w:val="single" w:sz="8" w:color="007CBA"/>
            </w:tcBorders>
          </w:tcPr>
          <w:p>
            <w:pPr>
              <w:spacing w:after="0"/>
              <w:rPr>
                <w:sz w:val="9"/>
                <w:szCs w:val="9"/>
                <w:color w:val="auto"/>
              </w:rPr>
            </w:pPr>
          </w:p>
        </w:tc>
        <w:tc>
          <w:tcPr>
            <w:tcW w:w="1080" w:type="dxa"/>
            <w:vAlign w:val="bottom"/>
            <w:tcBorders>
              <w:right w:val="single" w:sz="8" w:color="007CBA"/>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shd w:val="clear" w:color="auto" w:fill="E5F1F8"/>
          </w:tcPr>
          <w:p>
            <w:pPr>
              <w:ind w:left="60"/>
              <w:spacing w:after="0"/>
              <w:rPr>
                <w:sz w:val="20"/>
                <w:szCs w:val="20"/>
                <w:color w:val="auto"/>
              </w:rPr>
            </w:pPr>
            <w:r>
              <w:rPr>
                <w:rFonts w:ascii="Arial" w:cs="Arial" w:eastAsia="Arial" w:hAnsi="Arial"/>
                <w:sz w:val="14"/>
                <w:szCs w:val="14"/>
                <w:color w:val="auto"/>
              </w:rPr>
              <w:t>Smith W. Davis</w:t>
            </w:r>
          </w:p>
        </w:tc>
        <w:tc>
          <w:tcPr>
            <w:tcW w:w="106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vMerge w:val="restart"/>
            <w:shd w:val="clear" w:color="auto" w:fill="E5F1F8"/>
          </w:tcPr>
          <w:p>
            <w:pPr>
              <w:jc w:val="center"/>
              <w:spacing w:after="0"/>
              <w:rPr>
                <w:sz w:val="20"/>
                <w:szCs w:val="20"/>
                <w:color w:val="auto"/>
              </w:rPr>
            </w:pPr>
            <w:r>
              <w:rPr>
                <w:rFonts w:ascii="Arial" w:cs="Arial" w:eastAsia="Arial" w:hAnsi="Arial"/>
                <w:sz w:val="14"/>
                <w:szCs w:val="14"/>
                <w:b w:val="1"/>
                <w:bCs w:val="1"/>
                <w:color w:val="auto"/>
              </w:rPr>
              <w:t>Chair</w:t>
            </w:r>
          </w:p>
        </w:tc>
        <w:tc>
          <w:tcPr>
            <w:tcW w:w="92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1080" w:type="dxa"/>
            <w:vAlign w:val="bottom"/>
            <w:tcBorders>
              <w:right w:val="single" w:sz="8" w:color="007CBA"/>
            </w:tcBorders>
            <w:shd w:val="clear" w:color="auto" w:fill="E5F1F8"/>
          </w:tcPr>
          <w:p>
            <w:pPr>
              <w:spacing w:after="0"/>
              <w:rPr>
                <w:sz w:val="21"/>
                <w:szCs w:val="21"/>
                <w:color w:val="auto"/>
              </w:rPr>
            </w:pPr>
          </w:p>
        </w:tc>
        <w:tc>
          <w:tcPr>
            <w:tcW w:w="860" w:type="dxa"/>
            <w:vAlign w:val="bottom"/>
            <w:shd w:val="clear" w:color="auto" w:fill="E5F1F8"/>
          </w:tcPr>
          <w:p>
            <w:pPr>
              <w:spacing w:after="0"/>
              <w:rPr>
                <w:sz w:val="21"/>
                <w:szCs w:val="21"/>
                <w:color w:val="auto"/>
              </w:rPr>
            </w:pPr>
          </w:p>
        </w:tc>
        <w:tc>
          <w:tcPr>
            <w:tcW w:w="260" w:type="dxa"/>
            <w:vAlign w:val="bottom"/>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80" w:type="dxa"/>
            <w:vAlign w:val="bottom"/>
            <w:shd w:val="clear" w:color="auto" w:fill="E5F1F8"/>
          </w:tcPr>
          <w:p>
            <w:pPr>
              <w:spacing w:after="0"/>
              <w:rPr>
                <w:sz w:val="6"/>
                <w:szCs w:val="6"/>
                <w:color w:val="auto"/>
              </w:rPr>
            </w:pPr>
          </w:p>
        </w:tc>
        <w:tc>
          <w:tcPr>
            <w:tcW w:w="1060" w:type="dxa"/>
            <w:vAlign w:val="bottom"/>
            <w:tcBorders>
              <w:right w:val="single" w:sz="8" w:color="007CBA"/>
            </w:tcBorders>
            <w:shd w:val="clear" w:color="auto" w:fill="E5F1F8"/>
          </w:tcPr>
          <w:p>
            <w:pPr>
              <w:spacing w:after="0"/>
              <w:rPr>
                <w:sz w:val="6"/>
                <w:szCs w:val="6"/>
                <w:color w:val="auto"/>
              </w:rPr>
            </w:pPr>
          </w:p>
        </w:tc>
        <w:tc>
          <w:tcPr>
            <w:tcW w:w="940" w:type="dxa"/>
            <w:vAlign w:val="bottom"/>
            <w:tcBorders>
              <w:right w:val="single" w:sz="8" w:color="007CBA"/>
            </w:tcBorders>
            <w:shd w:val="clear" w:color="auto" w:fill="E5F1F8"/>
          </w:tcPr>
          <w:p>
            <w:pPr>
              <w:spacing w:after="0"/>
              <w:rPr>
                <w:sz w:val="6"/>
                <w:szCs w:val="6"/>
                <w:color w:val="auto"/>
              </w:rPr>
            </w:pPr>
          </w:p>
        </w:tc>
        <w:tc>
          <w:tcPr>
            <w:tcW w:w="920" w:type="dxa"/>
            <w:vAlign w:val="bottom"/>
            <w:tcBorders>
              <w:right w:val="single" w:sz="8" w:color="007CBA"/>
            </w:tcBorders>
            <w:vMerge w:val="continue"/>
            <w:shd w:val="clear" w:color="auto" w:fill="E5F1F8"/>
          </w:tcPr>
          <w:p>
            <w:pPr>
              <w:spacing w:after="0"/>
              <w:rPr>
                <w:sz w:val="6"/>
                <w:szCs w:val="6"/>
                <w:color w:val="auto"/>
              </w:rPr>
            </w:pPr>
          </w:p>
        </w:tc>
        <w:tc>
          <w:tcPr>
            <w:tcW w:w="920" w:type="dxa"/>
            <w:vAlign w:val="bottom"/>
            <w:tcBorders>
              <w:right w:val="single" w:sz="8" w:color="007CBA"/>
            </w:tcBorders>
            <w:shd w:val="clear" w:color="auto" w:fill="E5F1F8"/>
          </w:tcPr>
          <w:p>
            <w:pPr>
              <w:spacing w:after="0"/>
              <w:rPr>
                <w:sz w:val="6"/>
                <w:szCs w:val="6"/>
                <w:color w:val="auto"/>
              </w:rPr>
            </w:pPr>
          </w:p>
        </w:tc>
        <w:tc>
          <w:tcPr>
            <w:tcW w:w="940" w:type="dxa"/>
            <w:vAlign w:val="bottom"/>
            <w:tcBorders>
              <w:right w:val="single" w:sz="8" w:color="007CBA"/>
            </w:tcBorders>
            <w:shd w:val="clear" w:color="auto" w:fill="E5F1F8"/>
          </w:tcPr>
          <w:p>
            <w:pPr>
              <w:spacing w:after="0"/>
              <w:rPr>
                <w:sz w:val="6"/>
                <w:szCs w:val="6"/>
                <w:color w:val="auto"/>
              </w:rPr>
            </w:pPr>
          </w:p>
        </w:tc>
        <w:tc>
          <w:tcPr>
            <w:tcW w:w="1080" w:type="dxa"/>
            <w:vAlign w:val="bottom"/>
            <w:tcBorders>
              <w:right w:val="single" w:sz="8" w:color="007CBA"/>
            </w:tcBorders>
            <w:shd w:val="clear" w:color="auto" w:fill="E5F1F8"/>
          </w:tcPr>
          <w:p>
            <w:pPr>
              <w:spacing w:after="0"/>
              <w:rPr>
                <w:sz w:val="6"/>
                <w:szCs w:val="6"/>
                <w:color w:val="auto"/>
              </w:rPr>
            </w:pPr>
          </w:p>
        </w:tc>
        <w:tc>
          <w:tcPr>
            <w:tcW w:w="860" w:type="dxa"/>
            <w:vAlign w:val="bottom"/>
            <w:shd w:val="clear" w:color="auto" w:fill="E5F1F8"/>
          </w:tcPr>
          <w:p>
            <w:pPr>
              <w:spacing w:after="0"/>
              <w:rPr>
                <w:sz w:val="6"/>
                <w:szCs w:val="6"/>
                <w:color w:val="auto"/>
              </w:rPr>
            </w:pPr>
          </w:p>
        </w:tc>
        <w:tc>
          <w:tcPr>
            <w:tcW w:w="260" w:type="dxa"/>
            <w:vAlign w:val="bottom"/>
            <w:shd w:val="clear" w:color="auto" w:fill="E5F1F8"/>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880" w:type="dxa"/>
            <w:vAlign w:val="bottom"/>
            <w:shd w:val="clear" w:color="auto" w:fill="E5F1F8"/>
          </w:tcPr>
          <w:p>
            <w:pPr>
              <w:spacing w:after="0"/>
              <w:rPr>
                <w:sz w:val="5"/>
                <w:szCs w:val="5"/>
                <w:color w:val="auto"/>
              </w:rPr>
            </w:pPr>
          </w:p>
        </w:tc>
        <w:tc>
          <w:tcPr>
            <w:tcW w:w="1060" w:type="dxa"/>
            <w:vAlign w:val="bottom"/>
            <w:tcBorders>
              <w:right w:val="single" w:sz="8" w:color="007CBA"/>
            </w:tcBorders>
            <w:shd w:val="clear" w:color="auto" w:fill="E5F1F8"/>
          </w:tcPr>
          <w:p>
            <w:pPr>
              <w:spacing w:after="0"/>
              <w:rPr>
                <w:sz w:val="5"/>
                <w:szCs w:val="5"/>
                <w:color w:val="auto"/>
              </w:rPr>
            </w:pPr>
          </w:p>
        </w:tc>
        <w:tc>
          <w:tcPr>
            <w:tcW w:w="94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940" w:type="dxa"/>
            <w:vAlign w:val="bottom"/>
            <w:tcBorders>
              <w:right w:val="single" w:sz="8" w:color="007CBA"/>
            </w:tcBorders>
            <w:shd w:val="clear" w:color="auto" w:fill="E5F1F8"/>
          </w:tcPr>
          <w:p>
            <w:pPr>
              <w:spacing w:after="0"/>
              <w:rPr>
                <w:sz w:val="5"/>
                <w:szCs w:val="5"/>
                <w:color w:val="auto"/>
              </w:rPr>
            </w:pPr>
          </w:p>
        </w:tc>
        <w:tc>
          <w:tcPr>
            <w:tcW w:w="1080" w:type="dxa"/>
            <w:vAlign w:val="bottom"/>
            <w:tcBorders>
              <w:right w:val="single" w:sz="8" w:color="007CBA"/>
            </w:tcBorders>
            <w:shd w:val="clear" w:color="auto" w:fill="E5F1F8"/>
          </w:tcPr>
          <w:p>
            <w:pPr>
              <w:spacing w:after="0"/>
              <w:rPr>
                <w:sz w:val="5"/>
                <w:szCs w:val="5"/>
                <w:color w:val="auto"/>
              </w:rPr>
            </w:pPr>
          </w:p>
        </w:tc>
        <w:tc>
          <w:tcPr>
            <w:tcW w:w="860" w:type="dxa"/>
            <w:vAlign w:val="bottom"/>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auto"/>
              </w:rPr>
              <w:t>John J. Koraleski</w:t>
            </w:r>
          </w:p>
        </w:tc>
        <w:tc>
          <w:tcPr>
            <w:tcW w:w="940" w:type="dxa"/>
            <w:vAlign w:val="bottom"/>
            <w:tcBorders>
              <w:right w:val="single" w:sz="8" w:color="007CBA"/>
            </w:tcBorders>
          </w:tcPr>
          <w:p>
            <w:pPr>
              <w:spacing w:after="0"/>
              <w:rPr>
                <w:sz w:val="18"/>
                <w:szCs w:val="18"/>
                <w:color w:val="auto"/>
              </w:rPr>
            </w:pPr>
          </w:p>
        </w:tc>
        <w:tc>
          <w:tcPr>
            <w:tcW w:w="920" w:type="dxa"/>
            <w:vAlign w:val="bottom"/>
            <w:tcBorders>
              <w:right w:val="single" w:sz="8" w:color="007CBA"/>
            </w:tcBorders>
          </w:tcPr>
          <w:p>
            <w:pPr>
              <w:spacing w:after="0"/>
              <w:rPr>
                <w:sz w:val="18"/>
                <w:szCs w:val="18"/>
                <w:color w:val="auto"/>
              </w:rPr>
            </w:pPr>
          </w:p>
        </w:tc>
        <w:tc>
          <w:tcPr>
            <w:tcW w:w="920" w:type="dxa"/>
            <w:vAlign w:val="bottom"/>
            <w:tcBorders>
              <w:right w:val="single" w:sz="8" w:color="007CBA"/>
            </w:tcBorders>
          </w:tcPr>
          <w:p>
            <w:pPr>
              <w:spacing w:after="0"/>
              <w:rPr>
                <w:sz w:val="18"/>
                <w:szCs w:val="18"/>
                <w:color w:val="auto"/>
              </w:rPr>
            </w:pPr>
          </w:p>
        </w:tc>
        <w:tc>
          <w:tcPr>
            <w:tcW w:w="940" w:type="dxa"/>
            <w:vAlign w:val="bottom"/>
            <w:tcBorders>
              <w:right w:val="single" w:sz="8" w:color="007CBA"/>
            </w:tcBorders>
          </w:tcPr>
          <w:p>
            <w:pPr>
              <w:spacing w:after="0"/>
              <w:rPr>
                <w:sz w:val="18"/>
                <w:szCs w:val="18"/>
                <w:color w:val="auto"/>
              </w:rPr>
            </w:pPr>
          </w:p>
        </w:tc>
        <w:tc>
          <w:tcPr>
            <w:tcW w:w="1080" w:type="dxa"/>
            <w:vAlign w:val="bottom"/>
            <w:tcBorders>
              <w:right w:val="single" w:sz="8" w:color="007CBA"/>
            </w:tcBorders>
            <w:vMerge w:val="restart"/>
          </w:tcPr>
          <w:p>
            <w:pPr>
              <w:ind w:left="520"/>
              <w:spacing w:after="0"/>
              <w:rPr>
                <w:sz w:val="20"/>
                <w:szCs w:val="20"/>
                <w:color w:val="auto"/>
              </w:rPr>
            </w:pPr>
            <w:r>
              <w:rPr>
                <w:rFonts w:ascii="Arial" w:cs="Arial" w:eastAsia="Arial" w:hAnsi="Arial"/>
                <w:sz w:val="14"/>
                <w:szCs w:val="14"/>
                <w:b w:val="1"/>
                <w:bCs w:val="1"/>
                <w:color w:val="auto"/>
              </w:rPr>
              <w:t>Chair</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2"/>
                <w:szCs w:val="12"/>
                <w:i w:val="1"/>
                <w:iCs w:val="1"/>
                <w:color w:val="007CBA"/>
              </w:rPr>
              <w:t>Financial Expert</w:t>
            </w:r>
          </w:p>
        </w:tc>
        <w:tc>
          <w:tcPr>
            <w:tcW w:w="94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940" w:type="dxa"/>
            <w:vAlign w:val="bottom"/>
            <w:tcBorders>
              <w:right w:val="single" w:sz="8" w:color="007CBA"/>
            </w:tcBorders>
          </w:tcPr>
          <w:p>
            <w:pPr>
              <w:spacing w:after="0"/>
              <w:rPr>
                <w:sz w:val="13"/>
                <w:szCs w:val="13"/>
                <w:color w:val="auto"/>
              </w:rPr>
            </w:pPr>
          </w:p>
        </w:tc>
        <w:tc>
          <w:tcPr>
            <w:tcW w:w="1080" w:type="dxa"/>
            <w:vAlign w:val="bottom"/>
            <w:tcBorders>
              <w:right w:val="single" w:sz="8" w:color="007CBA"/>
            </w:tcBorders>
            <w:vMerge w:val="continue"/>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40" w:type="dxa"/>
            <w:vAlign w:val="bottom"/>
            <w:tcBorders>
              <w:right w:val="single" w:sz="8" w:color="007CBA"/>
            </w:tcBorders>
            <w:gridSpan w:val="2"/>
          </w:tcPr>
          <w:p>
            <w:pPr>
              <w:spacing w:after="0"/>
              <w:rPr>
                <w:sz w:val="7"/>
                <w:szCs w:val="7"/>
                <w:color w:val="auto"/>
              </w:rPr>
            </w:pPr>
          </w:p>
        </w:tc>
        <w:tc>
          <w:tcPr>
            <w:tcW w:w="940" w:type="dxa"/>
            <w:vAlign w:val="bottom"/>
            <w:tcBorders>
              <w:right w:val="single" w:sz="8" w:color="007CBA"/>
            </w:tcBorders>
          </w:tcPr>
          <w:p>
            <w:pPr>
              <w:spacing w:after="0"/>
              <w:rPr>
                <w:sz w:val="7"/>
                <w:szCs w:val="7"/>
                <w:color w:val="auto"/>
              </w:rPr>
            </w:pPr>
          </w:p>
        </w:tc>
        <w:tc>
          <w:tcPr>
            <w:tcW w:w="920" w:type="dxa"/>
            <w:vAlign w:val="bottom"/>
            <w:tcBorders>
              <w:right w:val="single" w:sz="8" w:color="007CBA"/>
            </w:tcBorders>
          </w:tcPr>
          <w:p>
            <w:pPr>
              <w:spacing w:after="0"/>
              <w:rPr>
                <w:sz w:val="7"/>
                <w:szCs w:val="7"/>
                <w:color w:val="auto"/>
              </w:rPr>
            </w:pPr>
          </w:p>
        </w:tc>
        <w:tc>
          <w:tcPr>
            <w:tcW w:w="920" w:type="dxa"/>
            <w:vAlign w:val="bottom"/>
            <w:tcBorders>
              <w:right w:val="single" w:sz="8" w:color="007CBA"/>
            </w:tcBorders>
          </w:tcPr>
          <w:p>
            <w:pPr>
              <w:spacing w:after="0"/>
              <w:rPr>
                <w:sz w:val="7"/>
                <w:szCs w:val="7"/>
                <w:color w:val="auto"/>
              </w:rPr>
            </w:pPr>
          </w:p>
        </w:tc>
        <w:tc>
          <w:tcPr>
            <w:tcW w:w="940" w:type="dxa"/>
            <w:vAlign w:val="bottom"/>
            <w:tcBorders>
              <w:right w:val="single" w:sz="8" w:color="007CBA"/>
            </w:tcBorders>
          </w:tcPr>
          <w:p>
            <w:pPr>
              <w:spacing w:after="0"/>
              <w:rPr>
                <w:sz w:val="7"/>
                <w:szCs w:val="7"/>
                <w:color w:val="auto"/>
              </w:rPr>
            </w:pPr>
          </w:p>
        </w:tc>
        <w:tc>
          <w:tcPr>
            <w:tcW w:w="1080" w:type="dxa"/>
            <w:vAlign w:val="bottom"/>
            <w:tcBorders>
              <w:right w:val="single" w:sz="8" w:color="007CBA"/>
            </w:tcBorders>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shd w:val="clear" w:color="auto" w:fill="E5F1F8"/>
          </w:tcPr>
          <w:p>
            <w:pPr>
              <w:ind w:left="60"/>
              <w:spacing w:after="0"/>
              <w:rPr>
                <w:sz w:val="20"/>
                <w:szCs w:val="20"/>
                <w:color w:val="auto"/>
              </w:rPr>
            </w:pPr>
            <w:r>
              <w:rPr>
                <w:rFonts w:ascii="Arial" w:cs="Arial" w:eastAsia="Arial" w:hAnsi="Arial"/>
                <w:sz w:val="14"/>
                <w:szCs w:val="14"/>
                <w:color w:val="auto"/>
              </w:rPr>
              <w:t>C. Howard Nye*</w:t>
            </w:r>
          </w:p>
        </w:tc>
        <w:tc>
          <w:tcPr>
            <w:tcW w:w="106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Chair</w:t>
            </w:r>
          </w:p>
        </w:tc>
        <w:tc>
          <w:tcPr>
            <w:tcW w:w="940" w:type="dxa"/>
            <w:vAlign w:val="bottom"/>
            <w:tcBorders>
              <w:right w:val="single" w:sz="8" w:color="007CBA"/>
            </w:tcBorders>
            <w:shd w:val="clear" w:color="auto" w:fill="E5F1F8"/>
          </w:tcPr>
          <w:p>
            <w:pPr>
              <w:spacing w:after="0"/>
              <w:rPr>
                <w:sz w:val="21"/>
                <w:szCs w:val="21"/>
                <w:color w:val="auto"/>
              </w:rPr>
            </w:pPr>
          </w:p>
        </w:tc>
        <w:tc>
          <w:tcPr>
            <w:tcW w:w="1080" w:type="dxa"/>
            <w:vAlign w:val="bottom"/>
            <w:tcBorders>
              <w:right w:val="single" w:sz="8" w:color="007CBA"/>
            </w:tcBorders>
            <w:shd w:val="clear" w:color="auto" w:fill="E5F1F8"/>
          </w:tcPr>
          <w:p>
            <w:pPr>
              <w:spacing w:after="0"/>
              <w:rPr>
                <w:sz w:val="21"/>
                <w:szCs w:val="21"/>
                <w:color w:val="auto"/>
              </w:rPr>
            </w:pPr>
          </w:p>
        </w:tc>
        <w:tc>
          <w:tcPr>
            <w:tcW w:w="860" w:type="dxa"/>
            <w:vAlign w:val="bottom"/>
            <w:shd w:val="clear" w:color="auto" w:fill="E5F1F8"/>
          </w:tcPr>
          <w:p>
            <w:pPr>
              <w:spacing w:after="0"/>
              <w:rPr>
                <w:sz w:val="21"/>
                <w:szCs w:val="21"/>
                <w:color w:val="auto"/>
              </w:rPr>
            </w:pPr>
          </w:p>
        </w:tc>
        <w:tc>
          <w:tcPr>
            <w:tcW w:w="260" w:type="dxa"/>
            <w:vAlign w:val="bottom"/>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880" w:type="dxa"/>
            <w:vAlign w:val="bottom"/>
            <w:shd w:val="clear" w:color="auto" w:fill="E5F1F8"/>
          </w:tcPr>
          <w:p>
            <w:pPr>
              <w:spacing w:after="0"/>
              <w:rPr>
                <w:sz w:val="5"/>
                <w:szCs w:val="5"/>
                <w:color w:val="auto"/>
              </w:rPr>
            </w:pPr>
          </w:p>
        </w:tc>
        <w:tc>
          <w:tcPr>
            <w:tcW w:w="1060" w:type="dxa"/>
            <w:vAlign w:val="bottom"/>
            <w:tcBorders>
              <w:right w:val="single" w:sz="8" w:color="007CBA"/>
            </w:tcBorders>
            <w:shd w:val="clear" w:color="auto" w:fill="E5F1F8"/>
          </w:tcPr>
          <w:p>
            <w:pPr>
              <w:spacing w:after="0"/>
              <w:rPr>
                <w:sz w:val="5"/>
                <w:szCs w:val="5"/>
                <w:color w:val="auto"/>
              </w:rPr>
            </w:pPr>
          </w:p>
        </w:tc>
        <w:tc>
          <w:tcPr>
            <w:tcW w:w="94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940" w:type="dxa"/>
            <w:vAlign w:val="bottom"/>
            <w:tcBorders>
              <w:right w:val="single" w:sz="8" w:color="007CBA"/>
            </w:tcBorders>
            <w:shd w:val="clear" w:color="auto" w:fill="E5F1F8"/>
          </w:tcPr>
          <w:p>
            <w:pPr>
              <w:spacing w:after="0"/>
              <w:rPr>
                <w:sz w:val="5"/>
                <w:szCs w:val="5"/>
                <w:color w:val="auto"/>
              </w:rPr>
            </w:pPr>
          </w:p>
        </w:tc>
        <w:tc>
          <w:tcPr>
            <w:tcW w:w="1080" w:type="dxa"/>
            <w:vAlign w:val="bottom"/>
            <w:tcBorders>
              <w:right w:val="single" w:sz="8" w:color="007CBA"/>
            </w:tcBorders>
            <w:shd w:val="clear" w:color="auto" w:fill="E5F1F8"/>
          </w:tcPr>
          <w:p>
            <w:pPr>
              <w:spacing w:after="0"/>
              <w:rPr>
                <w:sz w:val="5"/>
                <w:szCs w:val="5"/>
                <w:color w:val="auto"/>
              </w:rPr>
            </w:pPr>
          </w:p>
        </w:tc>
        <w:tc>
          <w:tcPr>
            <w:tcW w:w="860" w:type="dxa"/>
            <w:vAlign w:val="bottom"/>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auto"/>
              </w:rPr>
              <w:t>Laree E. Perez</w:t>
            </w:r>
          </w:p>
        </w:tc>
        <w:tc>
          <w:tcPr>
            <w:tcW w:w="94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4"/>
                <w:szCs w:val="14"/>
                <w:b w:val="1"/>
                <w:bCs w:val="1"/>
                <w:color w:val="auto"/>
              </w:rPr>
              <w:t>Chair</w:t>
            </w:r>
          </w:p>
        </w:tc>
        <w:tc>
          <w:tcPr>
            <w:tcW w:w="920" w:type="dxa"/>
            <w:vAlign w:val="bottom"/>
            <w:tcBorders>
              <w:right w:val="single" w:sz="8" w:color="007CBA"/>
            </w:tcBorders>
          </w:tcPr>
          <w:p>
            <w:pPr>
              <w:spacing w:after="0"/>
              <w:rPr>
                <w:sz w:val="18"/>
                <w:szCs w:val="18"/>
                <w:color w:val="auto"/>
              </w:rPr>
            </w:pPr>
          </w:p>
        </w:tc>
        <w:tc>
          <w:tcPr>
            <w:tcW w:w="920" w:type="dxa"/>
            <w:vAlign w:val="bottom"/>
            <w:tcBorders>
              <w:right w:val="single" w:sz="8" w:color="007CBA"/>
            </w:tcBorders>
          </w:tcPr>
          <w:p>
            <w:pPr>
              <w:spacing w:after="0"/>
              <w:rPr>
                <w:sz w:val="18"/>
                <w:szCs w:val="18"/>
                <w:color w:val="auto"/>
              </w:rPr>
            </w:pPr>
          </w:p>
        </w:tc>
        <w:tc>
          <w:tcPr>
            <w:tcW w:w="940" w:type="dxa"/>
            <w:vAlign w:val="bottom"/>
            <w:tcBorders>
              <w:right w:val="single" w:sz="8" w:color="007CBA"/>
            </w:tcBorders>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2"/>
                <w:szCs w:val="12"/>
                <w:i w:val="1"/>
                <w:iCs w:val="1"/>
                <w:color w:val="007CBA"/>
              </w:rPr>
              <w:t>Financial Expert</w:t>
            </w:r>
          </w:p>
        </w:tc>
        <w:tc>
          <w:tcPr>
            <w:tcW w:w="940" w:type="dxa"/>
            <w:vAlign w:val="bottom"/>
            <w:tcBorders>
              <w:right w:val="single" w:sz="8" w:color="007CBA"/>
            </w:tcBorders>
            <w:vMerge w:val="continue"/>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940" w:type="dxa"/>
            <w:vAlign w:val="bottom"/>
            <w:tcBorders>
              <w:right w:val="single" w:sz="8" w:color="007CBA"/>
            </w:tcBorders>
          </w:tcPr>
          <w:p>
            <w:pPr>
              <w:spacing w:after="0"/>
              <w:rPr>
                <w:sz w:val="13"/>
                <w:szCs w:val="13"/>
                <w:color w:val="auto"/>
              </w:rPr>
            </w:pPr>
          </w:p>
        </w:tc>
        <w:tc>
          <w:tcPr>
            <w:tcW w:w="1080" w:type="dxa"/>
            <w:vAlign w:val="bottom"/>
            <w:tcBorders>
              <w:right w:val="single" w:sz="8" w:color="007CBA"/>
            </w:tcBorders>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940" w:type="dxa"/>
            <w:vAlign w:val="bottom"/>
            <w:tcBorders>
              <w:right w:val="single" w:sz="8" w:color="007CBA"/>
            </w:tcBorders>
            <w:gridSpan w:val="2"/>
          </w:tcPr>
          <w:p>
            <w:pPr>
              <w:spacing w:after="0"/>
              <w:rPr>
                <w:sz w:val="9"/>
                <w:szCs w:val="9"/>
                <w:color w:val="auto"/>
              </w:rPr>
            </w:pPr>
          </w:p>
        </w:tc>
        <w:tc>
          <w:tcPr>
            <w:tcW w:w="940" w:type="dxa"/>
            <w:vAlign w:val="bottom"/>
            <w:tcBorders>
              <w:right w:val="single" w:sz="8" w:color="007CBA"/>
            </w:tcBorders>
          </w:tcPr>
          <w:p>
            <w:pPr>
              <w:spacing w:after="0"/>
              <w:rPr>
                <w:sz w:val="9"/>
                <w:szCs w:val="9"/>
                <w:color w:val="auto"/>
              </w:rPr>
            </w:pPr>
          </w:p>
        </w:tc>
        <w:tc>
          <w:tcPr>
            <w:tcW w:w="920" w:type="dxa"/>
            <w:vAlign w:val="bottom"/>
            <w:tcBorders>
              <w:right w:val="single" w:sz="8" w:color="007CBA"/>
            </w:tcBorders>
          </w:tcPr>
          <w:p>
            <w:pPr>
              <w:spacing w:after="0"/>
              <w:rPr>
                <w:sz w:val="9"/>
                <w:szCs w:val="9"/>
                <w:color w:val="auto"/>
              </w:rPr>
            </w:pPr>
          </w:p>
        </w:tc>
        <w:tc>
          <w:tcPr>
            <w:tcW w:w="920" w:type="dxa"/>
            <w:vAlign w:val="bottom"/>
            <w:tcBorders>
              <w:right w:val="single" w:sz="8" w:color="007CBA"/>
            </w:tcBorders>
          </w:tcPr>
          <w:p>
            <w:pPr>
              <w:spacing w:after="0"/>
              <w:rPr>
                <w:sz w:val="9"/>
                <w:szCs w:val="9"/>
                <w:color w:val="auto"/>
              </w:rPr>
            </w:pPr>
          </w:p>
        </w:tc>
        <w:tc>
          <w:tcPr>
            <w:tcW w:w="940" w:type="dxa"/>
            <w:vAlign w:val="bottom"/>
            <w:tcBorders>
              <w:right w:val="single" w:sz="8" w:color="007CBA"/>
            </w:tcBorders>
          </w:tcPr>
          <w:p>
            <w:pPr>
              <w:spacing w:after="0"/>
              <w:rPr>
                <w:sz w:val="9"/>
                <w:szCs w:val="9"/>
                <w:color w:val="auto"/>
              </w:rPr>
            </w:pPr>
          </w:p>
        </w:tc>
        <w:tc>
          <w:tcPr>
            <w:tcW w:w="1080" w:type="dxa"/>
            <w:vAlign w:val="bottom"/>
            <w:tcBorders>
              <w:right w:val="single" w:sz="8" w:color="007CBA"/>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shd w:val="clear" w:color="auto" w:fill="E5F1F8"/>
          </w:tcPr>
          <w:p>
            <w:pPr>
              <w:ind w:left="60"/>
              <w:spacing w:after="0"/>
              <w:rPr>
                <w:sz w:val="20"/>
                <w:szCs w:val="20"/>
                <w:color w:val="auto"/>
              </w:rPr>
            </w:pPr>
            <w:r>
              <w:rPr>
                <w:rFonts w:ascii="Arial" w:cs="Arial" w:eastAsia="Arial" w:hAnsi="Arial"/>
                <w:sz w:val="14"/>
                <w:szCs w:val="14"/>
                <w:color w:val="auto"/>
              </w:rPr>
              <w:t>Thomas H. Pike</w:t>
            </w:r>
          </w:p>
        </w:tc>
        <w:tc>
          <w:tcPr>
            <w:tcW w:w="106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1080" w:type="dxa"/>
            <w:vAlign w:val="bottom"/>
            <w:tcBorders>
              <w:right w:val="single" w:sz="8" w:color="007CBA"/>
            </w:tcBorders>
            <w:shd w:val="clear" w:color="auto" w:fill="E5F1F8"/>
          </w:tcPr>
          <w:p>
            <w:pPr>
              <w:spacing w:after="0"/>
              <w:rPr>
                <w:sz w:val="21"/>
                <w:szCs w:val="21"/>
                <w:color w:val="auto"/>
              </w:rPr>
            </w:pPr>
          </w:p>
        </w:tc>
        <w:tc>
          <w:tcPr>
            <w:tcW w:w="860" w:type="dxa"/>
            <w:vAlign w:val="bottom"/>
            <w:shd w:val="clear" w:color="auto" w:fill="E5F1F8"/>
          </w:tcPr>
          <w:p>
            <w:pPr>
              <w:spacing w:after="0"/>
              <w:rPr>
                <w:sz w:val="21"/>
                <w:szCs w:val="21"/>
                <w:color w:val="auto"/>
              </w:rPr>
            </w:pPr>
          </w:p>
        </w:tc>
        <w:tc>
          <w:tcPr>
            <w:tcW w:w="260" w:type="dxa"/>
            <w:vAlign w:val="bottom"/>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880" w:type="dxa"/>
            <w:vAlign w:val="bottom"/>
            <w:shd w:val="clear" w:color="auto" w:fill="E5F1F8"/>
          </w:tcPr>
          <w:p>
            <w:pPr>
              <w:spacing w:after="0"/>
              <w:rPr>
                <w:sz w:val="21"/>
                <w:szCs w:val="21"/>
                <w:color w:val="auto"/>
              </w:rPr>
            </w:pPr>
          </w:p>
        </w:tc>
        <w:tc>
          <w:tcPr>
            <w:tcW w:w="106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shd w:val="clear" w:color="auto" w:fill="E5F1F8"/>
          </w:tcPr>
          <w:p>
            <w:pPr>
              <w:spacing w:after="0"/>
              <w:rPr>
                <w:sz w:val="21"/>
                <w:szCs w:val="21"/>
                <w:color w:val="auto"/>
              </w:rPr>
            </w:pPr>
          </w:p>
        </w:tc>
        <w:tc>
          <w:tcPr>
            <w:tcW w:w="920" w:type="dxa"/>
            <w:vAlign w:val="bottom"/>
            <w:tcBorders>
              <w:right w:val="single" w:sz="8" w:color="007CBA"/>
            </w:tcBorders>
            <w:shd w:val="clear" w:color="auto" w:fill="E5F1F8"/>
          </w:tcPr>
          <w:p>
            <w:pPr>
              <w:spacing w:after="0"/>
              <w:rPr>
                <w:sz w:val="21"/>
                <w:szCs w:val="21"/>
                <w:color w:val="auto"/>
              </w:rPr>
            </w:pPr>
          </w:p>
        </w:tc>
        <w:tc>
          <w:tcPr>
            <w:tcW w:w="940" w:type="dxa"/>
            <w:vAlign w:val="bottom"/>
            <w:tcBorders>
              <w:right w:val="single" w:sz="8" w:color="007CBA"/>
            </w:tcBorders>
            <w:shd w:val="clear" w:color="auto" w:fill="E5F1F8"/>
          </w:tcPr>
          <w:p>
            <w:pPr>
              <w:spacing w:after="0"/>
              <w:rPr>
                <w:sz w:val="21"/>
                <w:szCs w:val="21"/>
                <w:color w:val="auto"/>
              </w:rPr>
            </w:pPr>
          </w:p>
        </w:tc>
        <w:tc>
          <w:tcPr>
            <w:tcW w:w="1080" w:type="dxa"/>
            <w:vAlign w:val="bottom"/>
            <w:tcBorders>
              <w:right w:val="single" w:sz="8" w:color="007CBA"/>
            </w:tcBorders>
            <w:shd w:val="clear" w:color="auto" w:fill="E5F1F8"/>
          </w:tcPr>
          <w:p>
            <w:pPr>
              <w:spacing w:after="0"/>
              <w:rPr>
                <w:sz w:val="21"/>
                <w:szCs w:val="21"/>
                <w:color w:val="auto"/>
              </w:rPr>
            </w:pPr>
          </w:p>
        </w:tc>
        <w:tc>
          <w:tcPr>
            <w:tcW w:w="860" w:type="dxa"/>
            <w:vAlign w:val="bottom"/>
            <w:shd w:val="clear" w:color="auto" w:fill="E5F1F8"/>
          </w:tcPr>
          <w:p>
            <w:pPr>
              <w:spacing w:after="0"/>
              <w:rPr>
                <w:sz w:val="21"/>
                <w:szCs w:val="21"/>
                <w:color w:val="auto"/>
              </w:rPr>
            </w:pPr>
          </w:p>
        </w:tc>
        <w:tc>
          <w:tcPr>
            <w:tcW w:w="260" w:type="dxa"/>
            <w:vAlign w:val="bottom"/>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auto"/>
              </w:rPr>
              <w:t>Michael J. Quillen</w:t>
            </w:r>
          </w:p>
        </w:tc>
        <w:tc>
          <w:tcPr>
            <w:tcW w:w="940" w:type="dxa"/>
            <w:vAlign w:val="bottom"/>
            <w:tcBorders>
              <w:right w:val="single" w:sz="8" w:color="007CBA"/>
            </w:tcBorders>
          </w:tcPr>
          <w:p>
            <w:pPr>
              <w:spacing w:after="0"/>
              <w:rPr>
                <w:sz w:val="18"/>
                <w:szCs w:val="18"/>
                <w:color w:val="auto"/>
              </w:rPr>
            </w:pPr>
          </w:p>
        </w:tc>
        <w:tc>
          <w:tcPr>
            <w:tcW w:w="920" w:type="dxa"/>
            <w:vAlign w:val="bottom"/>
            <w:tcBorders>
              <w:right w:val="single" w:sz="8" w:color="007CBA"/>
            </w:tcBorders>
          </w:tcPr>
          <w:p>
            <w:pPr>
              <w:spacing w:after="0"/>
              <w:rPr>
                <w:sz w:val="18"/>
                <w:szCs w:val="18"/>
                <w:color w:val="auto"/>
              </w:rPr>
            </w:pPr>
          </w:p>
        </w:tc>
        <w:tc>
          <w:tcPr>
            <w:tcW w:w="920" w:type="dxa"/>
            <w:vAlign w:val="bottom"/>
            <w:tcBorders>
              <w:right w:val="single" w:sz="8" w:color="007CBA"/>
            </w:tcBorders>
          </w:tcPr>
          <w:p>
            <w:pPr>
              <w:spacing w:after="0"/>
              <w:rPr>
                <w:sz w:val="18"/>
                <w:szCs w:val="18"/>
                <w:color w:val="auto"/>
              </w:rPr>
            </w:pPr>
          </w:p>
        </w:tc>
        <w:tc>
          <w:tcPr>
            <w:tcW w:w="940" w:type="dxa"/>
            <w:vAlign w:val="bottom"/>
            <w:tcBorders>
              <w:right w:val="single" w:sz="8" w:color="007CBA"/>
            </w:tcBorders>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2"/>
                <w:szCs w:val="12"/>
                <w:i w:val="1"/>
                <w:iCs w:val="1"/>
                <w:color w:val="007CBA"/>
              </w:rPr>
              <w:t>Lead Independent Director</w:t>
            </w:r>
          </w:p>
        </w:tc>
        <w:tc>
          <w:tcPr>
            <w:tcW w:w="94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940" w:type="dxa"/>
            <w:vAlign w:val="bottom"/>
            <w:tcBorders>
              <w:right w:val="single" w:sz="8" w:color="007CBA"/>
            </w:tcBorders>
          </w:tcPr>
          <w:p>
            <w:pPr>
              <w:spacing w:after="0"/>
              <w:rPr>
                <w:sz w:val="13"/>
                <w:szCs w:val="13"/>
                <w:color w:val="auto"/>
              </w:rPr>
            </w:pPr>
          </w:p>
        </w:tc>
        <w:tc>
          <w:tcPr>
            <w:tcW w:w="1080" w:type="dxa"/>
            <w:vAlign w:val="bottom"/>
            <w:tcBorders>
              <w:right w:val="single" w:sz="8" w:color="007CBA"/>
            </w:tcBorders>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40" w:type="dxa"/>
            <w:vAlign w:val="bottom"/>
            <w:tcBorders>
              <w:right w:val="single" w:sz="8" w:color="007CBA"/>
            </w:tcBorders>
            <w:gridSpan w:val="2"/>
          </w:tcPr>
          <w:p>
            <w:pPr>
              <w:spacing w:after="0"/>
              <w:rPr>
                <w:sz w:val="7"/>
                <w:szCs w:val="7"/>
                <w:color w:val="auto"/>
              </w:rPr>
            </w:pPr>
          </w:p>
        </w:tc>
        <w:tc>
          <w:tcPr>
            <w:tcW w:w="940" w:type="dxa"/>
            <w:vAlign w:val="bottom"/>
            <w:tcBorders>
              <w:right w:val="single" w:sz="8" w:color="007CBA"/>
            </w:tcBorders>
          </w:tcPr>
          <w:p>
            <w:pPr>
              <w:spacing w:after="0"/>
              <w:rPr>
                <w:sz w:val="7"/>
                <w:szCs w:val="7"/>
                <w:color w:val="auto"/>
              </w:rPr>
            </w:pPr>
          </w:p>
        </w:tc>
        <w:tc>
          <w:tcPr>
            <w:tcW w:w="920" w:type="dxa"/>
            <w:vAlign w:val="bottom"/>
            <w:tcBorders>
              <w:right w:val="single" w:sz="8" w:color="007CBA"/>
            </w:tcBorders>
          </w:tcPr>
          <w:p>
            <w:pPr>
              <w:spacing w:after="0"/>
              <w:rPr>
                <w:sz w:val="7"/>
                <w:szCs w:val="7"/>
                <w:color w:val="auto"/>
              </w:rPr>
            </w:pPr>
          </w:p>
        </w:tc>
        <w:tc>
          <w:tcPr>
            <w:tcW w:w="920" w:type="dxa"/>
            <w:vAlign w:val="bottom"/>
            <w:tcBorders>
              <w:right w:val="single" w:sz="8" w:color="007CBA"/>
            </w:tcBorders>
          </w:tcPr>
          <w:p>
            <w:pPr>
              <w:spacing w:after="0"/>
              <w:rPr>
                <w:sz w:val="7"/>
                <w:szCs w:val="7"/>
                <w:color w:val="auto"/>
              </w:rPr>
            </w:pPr>
          </w:p>
        </w:tc>
        <w:tc>
          <w:tcPr>
            <w:tcW w:w="940" w:type="dxa"/>
            <w:vAlign w:val="bottom"/>
            <w:tcBorders>
              <w:right w:val="single" w:sz="8" w:color="007CBA"/>
            </w:tcBorders>
          </w:tcPr>
          <w:p>
            <w:pPr>
              <w:spacing w:after="0"/>
              <w:rPr>
                <w:sz w:val="7"/>
                <w:szCs w:val="7"/>
                <w:color w:val="auto"/>
              </w:rPr>
            </w:pPr>
          </w:p>
        </w:tc>
        <w:tc>
          <w:tcPr>
            <w:tcW w:w="1080" w:type="dxa"/>
            <w:vAlign w:val="bottom"/>
            <w:tcBorders>
              <w:right w:val="single" w:sz="8" w:color="007CBA"/>
            </w:tcBorders>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880" w:type="dxa"/>
            <w:vAlign w:val="bottom"/>
            <w:shd w:val="clear" w:color="auto" w:fill="E5F1F8"/>
          </w:tcPr>
          <w:p>
            <w:pPr>
              <w:ind w:left="60"/>
              <w:spacing w:after="0"/>
              <w:rPr>
                <w:sz w:val="20"/>
                <w:szCs w:val="20"/>
                <w:color w:val="auto"/>
              </w:rPr>
            </w:pPr>
            <w:r>
              <w:rPr>
                <w:rFonts w:ascii="Arial" w:cs="Arial" w:eastAsia="Arial" w:hAnsi="Arial"/>
                <w:sz w:val="14"/>
                <w:szCs w:val="14"/>
                <w:color w:val="auto"/>
              </w:rPr>
              <w:t>Donald W. Slager</w:t>
            </w:r>
          </w:p>
        </w:tc>
        <w:tc>
          <w:tcPr>
            <w:tcW w:w="1060" w:type="dxa"/>
            <w:vAlign w:val="bottom"/>
            <w:tcBorders>
              <w:right w:val="single" w:sz="8" w:color="007CBA"/>
            </w:tcBorders>
            <w:shd w:val="clear" w:color="auto" w:fill="E5F1F8"/>
          </w:tcPr>
          <w:p>
            <w:pPr>
              <w:spacing w:after="0"/>
              <w:rPr>
                <w:sz w:val="24"/>
                <w:szCs w:val="24"/>
                <w:color w:val="auto"/>
              </w:rPr>
            </w:pPr>
          </w:p>
        </w:tc>
        <w:tc>
          <w:tcPr>
            <w:tcW w:w="940" w:type="dxa"/>
            <w:vAlign w:val="bottom"/>
            <w:tcBorders>
              <w:right w:val="single" w:sz="8" w:color="007CBA"/>
            </w:tcBorders>
            <w:shd w:val="clear" w:color="auto" w:fill="E5F1F8"/>
          </w:tcPr>
          <w:p>
            <w:pPr>
              <w:spacing w:after="0"/>
              <w:rPr>
                <w:sz w:val="24"/>
                <w:szCs w:val="24"/>
                <w:color w:val="auto"/>
              </w:rPr>
            </w:pPr>
          </w:p>
        </w:tc>
        <w:tc>
          <w:tcPr>
            <w:tcW w:w="920" w:type="dxa"/>
            <w:vAlign w:val="bottom"/>
            <w:tcBorders>
              <w:right w:val="single" w:sz="8" w:color="007CBA"/>
            </w:tcBorders>
            <w:shd w:val="clear" w:color="auto" w:fill="E5F1F8"/>
          </w:tcPr>
          <w:p>
            <w:pPr>
              <w:spacing w:after="0"/>
              <w:rPr>
                <w:sz w:val="24"/>
                <w:szCs w:val="24"/>
                <w:color w:val="auto"/>
              </w:rPr>
            </w:pPr>
          </w:p>
        </w:tc>
        <w:tc>
          <w:tcPr>
            <w:tcW w:w="920" w:type="dxa"/>
            <w:vAlign w:val="bottom"/>
            <w:tcBorders>
              <w:right w:val="single" w:sz="8" w:color="007CBA"/>
            </w:tcBorders>
            <w:shd w:val="clear" w:color="auto" w:fill="E5F1F8"/>
          </w:tcPr>
          <w:p>
            <w:pPr>
              <w:spacing w:after="0"/>
              <w:rPr>
                <w:sz w:val="24"/>
                <w:szCs w:val="24"/>
                <w:color w:val="auto"/>
              </w:rPr>
            </w:pPr>
          </w:p>
        </w:tc>
        <w:tc>
          <w:tcPr>
            <w:tcW w:w="940" w:type="dxa"/>
            <w:vAlign w:val="bottom"/>
            <w:tcBorders>
              <w:right w:val="single" w:sz="8" w:color="007CBA"/>
            </w:tcBorders>
            <w:shd w:val="clear" w:color="auto" w:fill="E5F1F8"/>
          </w:tcPr>
          <w:p>
            <w:pPr>
              <w:spacing w:after="0"/>
              <w:rPr>
                <w:sz w:val="24"/>
                <w:szCs w:val="24"/>
                <w:color w:val="auto"/>
              </w:rPr>
            </w:pPr>
          </w:p>
        </w:tc>
        <w:tc>
          <w:tcPr>
            <w:tcW w:w="1080" w:type="dxa"/>
            <w:vAlign w:val="bottom"/>
            <w:tcBorders>
              <w:right w:val="single" w:sz="8" w:color="007CBA"/>
            </w:tcBorders>
            <w:shd w:val="clear" w:color="auto" w:fill="E5F1F8"/>
          </w:tcPr>
          <w:p>
            <w:pPr>
              <w:spacing w:after="0"/>
              <w:rPr>
                <w:sz w:val="24"/>
                <w:szCs w:val="24"/>
                <w:color w:val="auto"/>
              </w:rPr>
            </w:pPr>
          </w:p>
        </w:tc>
        <w:tc>
          <w:tcPr>
            <w:tcW w:w="860" w:type="dxa"/>
            <w:vAlign w:val="bottom"/>
            <w:shd w:val="clear" w:color="auto" w:fill="E5F1F8"/>
          </w:tcPr>
          <w:p>
            <w:pPr>
              <w:jc w:val="center"/>
              <w:ind w:left="189"/>
              <w:spacing w:after="0"/>
              <w:rPr>
                <w:sz w:val="20"/>
                <w:szCs w:val="20"/>
                <w:color w:val="auto"/>
              </w:rPr>
            </w:pPr>
            <w:r>
              <w:rPr>
                <w:rFonts w:ascii="Arial" w:cs="Arial" w:eastAsia="Arial" w:hAnsi="Arial"/>
                <w:sz w:val="14"/>
                <w:szCs w:val="14"/>
                <w:b w:val="1"/>
                <w:bCs w:val="1"/>
                <w:color w:val="auto"/>
              </w:rPr>
              <w:t>Chair</w:t>
            </w:r>
          </w:p>
        </w:tc>
        <w:tc>
          <w:tcPr>
            <w:tcW w:w="260" w:type="dxa"/>
            <w:vAlign w:val="bottom"/>
            <w:shd w:val="clear" w:color="auto" w:fill="E5F1F8"/>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880" w:type="dxa"/>
            <w:vAlign w:val="bottom"/>
            <w:shd w:val="clear" w:color="auto" w:fill="E5F1F8"/>
          </w:tcPr>
          <w:p>
            <w:pPr>
              <w:spacing w:after="0"/>
              <w:rPr>
                <w:sz w:val="6"/>
                <w:szCs w:val="6"/>
                <w:color w:val="auto"/>
              </w:rPr>
            </w:pPr>
          </w:p>
        </w:tc>
        <w:tc>
          <w:tcPr>
            <w:tcW w:w="1060" w:type="dxa"/>
            <w:vAlign w:val="bottom"/>
            <w:tcBorders>
              <w:right w:val="single" w:sz="8" w:color="007CBA"/>
            </w:tcBorders>
            <w:shd w:val="clear" w:color="auto" w:fill="E5F1F8"/>
          </w:tcPr>
          <w:p>
            <w:pPr>
              <w:spacing w:after="0"/>
              <w:rPr>
                <w:sz w:val="6"/>
                <w:szCs w:val="6"/>
                <w:color w:val="auto"/>
              </w:rPr>
            </w:pPr>
          </w:p>
        </w:tc>
        <w:tc>
          <w:tcPr>
            <w:tcW w:w="940" w:type="dxa"/>
            <w:vAlign w:val="bottom"/>
            <w:tcBorders>
              <w:right w:val="single" w:sz="8" w:color="007CBA"/>
            </w:tcBorders>
            <w:shd w:val="clear" w:color="auto" w:fill="E5F1F8"/>
          </w:tcPr>
          <w:p>
            <w:pPr>
              <w:spacing w:after="0"/>
              <w:rPr>
                <w:sz w:val="6"/>
                <w:szCs w:val="6"/>
                <w:color w:val="auto"/>
              </w:rPr>
            </w:pPr>
          </w:p>
        </w:tc>
        <w:tc>
          <w:tcPr>
            <w:tcW w:w="920" w:type="dxa"/>
            <w:vAlign w:val="bottom"/>
            <w:tcBorders>
              <w:right w:val="single" w:sz="8" w:color="007CBA"/>
            </w:tcBorders>
            <w:shd w:val="clear" w:color="auto" w:fill="E5F1F8"/>
          </w:tcPr>
          <w:p>
            <w:pPr>
              <w:spacing w:after="0"/>
              <w:rPr>
                <w:sz w:val="6"/>
                <w:szCs w:val="6"/>
                <w:color w:val="auto"/>
              </w:rPr>
            </w:pPr>
          </w:p>
        </w:tc>
        <w:tc>
          <w:tcPr>
            <w:tcW w:w="920" w:type="dxa"/>
            <w:vAlign w:val="bottom"/>
            <w:tcBorders>
              <w:right w:val="single" w:sz="8" w:color="007CBA"/>
            </w:tcBorders>
            <w:shd w:val="clear" w:color="auto" w:fill="E5F1F8"/>
          </w:tcPr>
          <w:p>
            <w:pPr>
              <w:spacing w:after="0"/>
              <w:rPr>
                <w:sz w:val="6"/>
                <w:szCs w:val="6"/>
                <w:color w:val="auto"/>
              </w:rPr>
            </w:pPr>
          </w:p>
        </w:tc>
        <w:tc>
          <w:tcPr>
            <w:tcW w:w="940" w:type="dxa"/>
            <w:vAlign w:val="bottom"/>
            <w:tcBorders>
              <w:right w:val="single" w:sz="8" w:color="007CBA"/>
            </w:tcBorders>
            <w:shd w:val="clear" w:color="auto" w:fill="E5F1F8"/>
          </w:tcPr>
          <w:p>
            <w:pPr>
              <w:spacing w:after="0"/>
              <w:rPr>
                <w:sz w:val="6"/>
                <w:szCs w:val="6"/>
                <w:color w:val="auto"/>
              </w:rPr>
            </w:pPr>
          </w:p>
        </w:tc>
        <w:tc>
          <w:tcPr>
            <w:tcW w:w="1080" w:type="dxa"/>
            <w:vAlign w:val="bottom"/>
            <w:tcBorders>
              <w:right w:val="single" w:sz="8" w:color="007CBA"/>
            </w:tcBorders>
            <w:shd w:val="clear" w:color="auto" w:fill="E5F1F8"/>
          </w:tcPr>
          <w:p>
            <w:pPr>
              <w:spacing w:after="0"/>
              <w:rPr>
                <w:sz w:val="6"/>
                <w:szCs w:val="6"/>
                <w:color w:val="auto"/>
              </w:rPr>
            </w:pPr>
          </w:p>
        </w:tc>
        <w:tc>
          <w:tcPr>
            <w:tcW w:w="860" w:type="dxa"/>
            <w:vAlign w:val="bottom"/>
            <w:shd w:val="clear" w:color="auto" w:fill="E5F1F8"/>
          </w:tcPr>
          <w:p>
            <w:pPr>
              <w:spacing w:after="0"/>
              <w:rPr>
                <w:sz w:val="6"/>
                <w:szCs w:val="6"/>
                <w:color w:val="auto"/>
              </w:rPr>
            </w:pPr>
          </w:p>
        </w:tc>
        <w:tc>
          <w:tcPr>
            <w:tcW w:w="260" w:type="dxa"/>
            <w:vAlign w:val="bottom"/>
            <w:shd w:val="clear" w:color="auto" w:fill="E5F1F8"/>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auto"/>
              </w:rPr>
              <w:t>Stephen P. Zelnak, Jr.</w:t>
            </w:r>
          </w:p>
        </w:tc>
        <w:tc>
          <w:tcPr>
            <w:tcW w:w="940" w:type="dxa"/>
            <w:vAlign w:val="bottom"/>
            <w:tcBorders>
              <w:right w:val="single" w:sz="8" w:color="007CBA"/>
            </w:tcBorders>
          </w:tcPr>
          <w:p>
            <w:pPr>
              <w:spacing w:after="0"/>
              <w:rPr>
                <w:sz w:val="21"/>
                <w:szCs w:val="21"/>
                <w:color w:val="auto"/>
              </w:rPr>
            </w:pPr>
          </w:p>
        </w:tc>
        <w:tc>
          <w:tcPr>
            <w:tcW w:w="920" w:type="dxa"/>
            <w:vAlign w:val="bottom"/>
            <w:tcBorders>
              <w:right w:val="single" w:sz="8" w:color="007CBA"/>
            </w:tcBorders>
          </w:tcPr>
          <w:p>
            <w:pPr>
              <w:spacing w:after="0"/>
              <w:rPr>
                <w:sz w:val="21"/>
                <w:szCs w:val="21"/>
                <w:color w:val="auto"/>
              </w:rPr>
            </w:pPr>
          </w:p>
        </w:tc>
        <w:tc>
          <w:tcPr>
            <w:tcW w:w="920" w:type="dxa"/>
            <w:vAlign w:val="bottom"/>
            <w:tcBorders>
              <w:right w:val="single" w:sz="8" w:color="007CBA"/>
            </w:tcBorders>
          </w:tcPr>
          <w:p>
            <w:pPr>
              <w:spacing w:after="0"/>
              <w:rPr>
                <w:sz w:val="21"/>
                <w:szCs w:val="21"/>
                <w:color w:val="auto"/>
              </w:rPr>
            </w:pPr>
          </w:p>
        </w:tc>
        <w:tc>
          <w:tcPr>
            <w:tcW w:w="94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4"/>
                <w:szCs w:val="14"/>
                <w:b w:val="1"/>
                <w:bCs w:val="1"/>
                <w:color w:val="auto"/>
              </w:rPr>
              <w:t>Chair</w:t>
            </w:r>
          </w:p>
        </w:tc>
        <w:tc>
          <w:tcPr>
            <w:tcW w:w="1080" w:type="dxa"/>
            <w:vAlign w:val="bottom"/>
            <w:tcBorders>
              <w:right w:val="single" w:sz="8" w:color="007CBA"/>
            </w:tcBorders>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060" w:type="dxa"/>
            <w:vAlign w:val="bottom"/>
            <w:tcBorders>
              <w:right w:val="single" w:sz="8" w:color="007CBA"/>
            </w:tcBorders>
          </w:tcPr>
          <w:p>
            <w:pPr>
              <w:spacing w:after="0"/>
              <w:rPr>
                <w:sz w:val="10"/>
                <w:szCs w:val="10"/>
                <w:color w:val="auto"/>
              </w:rPr>
            </w:pPr>
          </w:p>
        </w:tc>
        <w:tc>
          <w:tcPr>
            <w:tcW w:w="940" w:type="dxa"/>
            <w:vAlign w:val="bottom"/>
            <w:tcBorders>
              <w:right w:val="single" w:sz="8" w:color="007CBA"/>
            </w:tcBorders>
          </w:tcPr>
          <w:p>
            <w:pPr>
              <w:spacing w:after="0"/>
              <w:rPr>
                <w:sz w:val="10"/>
                <w:szCs w:val="10"/>
                <w:color w:val="auto"/>
              </w:rPr>
            </w:pPr>
          </w:p>
        </w:tc>
        <w:tc>
          <w:tcPr>
            <w:tcW w:w="920" w:type="dxa"/>
            <w:vAlign w:val="bottom"/>
            <w:tcBorders>
              <w:right w:val="single" w:sz="8" w:color="007CBA"/>
            </w:tcBorders>
          </w:tcPr>
          <w:p>
            <w:pPr>
              <w:spacing w:after="0"/>
              <w:rPr>
                <w:sz w:val="10"/>
                <w:szCs w:val="10"/>
                <w:color w:val="auto"/>
              </w:rPr>
            </w:pPr>
          </w:p>
        </w:tc>
        <w:tc>
          <w:tcPr>
            <w:tcW w:w="920" w:type="dxa"/>
            <w:vAlign w:val="bottom"/>
            <w:tcBorders>
              <w:right w:val="single" w:sz="8" w:color="007CBA"/>
            </w:tcBorders>
          </w:tcPr>
          <w:p>
            <w:pPr>
              <w:spacing w:after="0"/>
              <w:rPr>
                <w:sz w:val="10"/>
                <w:szCs w:val="10"/>
                <w:color w:val="auto"/>
              </w:rPr>
            </w:pPr>
          </w:p>
        </w:tc>
        <w:tc>
          <w:tcPr>
            <w:tcW w:w="940" w:type="dxa"/>
            <w:vAlign w:val="bottom"/>
            <w:tcBorders>
              <w:right w:val="single" w:sz="8" w:color="007CBA"/>
            </w:tcBorders>
            <w:vMerge w:val="continue"/>
          </w:tcPr>
          <w:p>
            <w:pPr>
              <w:spacing w:after="0"/>
              <w:rPr>
                <w:sz w:val="10"/>
                <w:szCs w:val="10"/>
                <w:color w:val="auto"/>
              </w:rPr>
            </w:pPr>
          </w:p>
        </w:tc>
        <w:tc>
          <w:tcPr>
            <w:tcW w:w="1080" w:type="dxa"/>
            <w:vAlign w:val="bottom"/>
            <w:tcBorders>
              <w:right w:val="single" w:sz="8" w:color="007CBA"/>
            </w:tcBorders>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940" w:type="dxa"/>
            <w:vAlign w:val="bottom"/>
            <w:tcBorders>
              <w:right w:val="single" w:sz="8" w:color="007CBA"/>
            </w:tcBorders>
            <w:gridSpan w:val="2"/>
          </w:tcPr>
          <w:p>
            <w:pPr>
              <w:spacing w:after="0"/>
              <w:rPr>
                <w:sz w:val="6"/>
                <w:szCs w:val="6"/>
                <w:color w:val="auto"/>
              </w:rPr>
            </w:pPr>
          </w:p>
        </w:tc>
        <w:tc>
          <w:tcPr>
            <w:tcW w:w="940" w:type="dxa"/>
            <w:vAlign w:val="bottom"/>
            <w:tcBorders>
              <w:right w:val="single" w:sz="8" w:color="007CBA"/>
            </w:tcBorders>
          </w:tcPr>
          <w:p>
            <w:pPr>
              <w:spacing w:after="0"/>
              <w:rPr>
                <w:sz w:val="6"/>
                <w:szCs w:val="6"/>
                <w:color w:val="auto"/>
              </w:rPr>
            </w:pPr>
          </w:p>
        </w:tc>
        <w:tc>
          <w:tcPr>
            <w:tcW w:w="920" w:type="dxa"/>
            <w:vAlign w:val="bottom"/>
            <w:tcBorders>
              <w:right w:val="single" w:sz="8" w:color="007CBA"/>
            </w:tcBorders>
          </w:tcPr>
          <w:p>
            <w:pPr>
              <w:spacing w:after="0"/>
              <w:rPr>
                <w:sz w:val="6"/>
                <w:szCs w:val="6"/>
                <w:color w:val="auto"/>
              </w:rPr>
            </w:pPr>
          </w:p>
        </w:tc>
        <w:tc>
          <w:tcPr>
            <w:tcW w:w="920" w:type="dxa"/>
            <w:vAlign w:val="bottom"/>
            <w:tcBorders>
              <w:right w:val="single" w:sz="8" w:color="007CBA"/>
            </w:tcBorders>
          </w:tcPr>
          <w:p>
            <w:pPr>
              <w:spacing w:after="0"/>
              <w:rPr>
                <w:sz w:val="6"/>
                <w:szCs w:val="6"/>
                <w:color w:val="auto"/>
              </w:rPr>
            </w:pPr>
          </w:p>
        </w:tc>
        <w:tc>
          <w:tcPr>
            <w:tcW w:w="940" w:type="dxa"/>
            <w:vAlign w:val="bottom"/>
            <w:tcBorders>
              <w:right w:val="single" w:sz="8" w:color="007CBA"/>
            </w:tcBorders>
          </w:tcPr>
          <w:p>
            <w:pPr>
              <w:spacing w:after="0"/>
              <w:rPr>
                <w:sz w:val="6"/>
                <w:szCs w:val="6"/>
                <w:color w:val="auto"/>
              </w:rPr>
            </w:pPr>
          </w:p>
        </w:tc>
        <w:tc>
          <w:tcPr>
            <w:tcW w:w="1080" w:type="dxa"/>
            <w:vAlign w:val="bottom"/>
            <w:tcBorders>
              <w:right w:val="single" w:sz="8" w:color="007CBA"/>
            </w:tcBorders>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shd w:val="clear" w:color="auto" w:fill="007CBA"/>
          </w:tcPr>
          <w:p>
            <w:pPr>
              <w:ind w:left="60"/>
              <w:spacing w:after="0"/>
              <w:rPr>
                <w:sz w:val="20"/>
                <w:szCs w:val="20"/>
                <w:color w:val="auto"/>
              </w:rPr>
            </w:pPr>
            <w:r>
              <w:rPr>
                <w:rFonts w:ascii="Arial" w:cs="Arial" w:eastAsia="Arial" w:hAnsi="Arial"/>
                <w:sz w:val="14"/>
                <w:szCs w:val="14"/>
                <w:b w:val="1"/>
                <w:bCs w:val="1"/>
                <w:color w:val="FFFFFF"/>
              </w:rPr>
              <w:t>Number of Meetings</w:t>
            </w:r>
          </w:p>
        </w:tc>
        <w:tc>
          <w:tcPr>
            <w:tcW w:w="1060" w:type="dxa"/>
            <w:vAlign w:val="bottom"/>
            <w:tcBorders>
              <w:right w:val="single" w:sz="8" w:color="007CBA"/>
            </w:tcBorders>
            <w:shd w:val="clear" w:color="auto" w:fill="007CBA"/>
          </w:tcPr>
          <w:p>
            <w:pPr>
              <w:spacing w:after="0"/>
              <w:rPr>
                <w:sz w:val="18"/>
                <w:szCs w:val="18"/>
                <w:color w:val="auto"/>
              </w:rPr>
            </w:pPr>
          </w:p>
        </w:tc>
        <w:tc>
          <w:tcPr>
            <w:tcW w:w="940" w:type="dxa"/>
            <w:vAlign w:val="bottom"/>
            <w:tcBorders>
              <w:right w:val="single" w:sz="8" w:color="007CBA"/>
            </w:tcBorders>
            <w:vMerge w:val="restart"/>
            <w:shd w:val="clear" w:color="auto" w:fill="007CBA"/>
          </w:tcPr>
          <w:p>
            <w:pPr>
              <w:jc w:val="right"/>
              <w:ind w:right="369"/>
              <w:spacing w:after="0"/>
              <w:rPr>
                <w:sz w:val="20"/>
                <w:szCs w:val="20"/>
                <w:color w:val="auto"/>
              </w:rPr>
            </w:pPr>
            <w:r>
              <w:rPr>
                <w:rFonts w:ascii="Arial" w:cs="Arial" w:eastAsia="Arial" w:hAnsi="Arial"/>
                <w:sz w:val="14"/>
                <w:szCs w:val="14"/>
                <w:b w:val="1"/>
                <w:bCs w:val="1"/>
                <w:color w:val="FFFFFF"/>
              </w:rPr>
              <w:t>7</w:t>
            </w:r>
          </w:p>
        </w:tc>
        <w:tc>
          <w:tcPr>
            <w:tcW w:w="920" w:type="dxa"/>
            <w:vAlign w:val="bottom"/>
            <w:tcBorders>
              <w:right w:val="single" w:sz="8" w:color="007CBA"/>
            </w:tcBorders>
            <w:vMerge w:val="restart"/>
            <w:shd w:val="clear" w:color="auto" w:fill="007CBA"/>
          </w:tcPr>
          <w:p>
            <w:pPr>
              <w:jc w:val="right"/>
              <w:ind w:right="349"/>
              <w:spacing w:after="0"/>
              <w:rPr>
                <w:sz w:val="20"/>
                <w:szCs w:val="20"/>
                <w:color w:val="auto"/>
              </w:rPr>
            </w:pPr>
            <w:r>
              <w:rPr>
                <w:rFonts w:ascii="Arial" w:cs="Arial" w:eastAsia="Arial" w:hAnsi="Arial"/>
                <w:sz w:val="14"/>
                <w:szCs w:val="14"/>
                <w:b w:val="1"/>
                <w:bCs w:val="1"/>
                <w:color w:val="FFFFFF"/>
              </w:rPr>
              <w:t>2</w:t>
            </w:r>
          </w:p>
        </w:tc>
        <w:tc>
          <w:tcPr>
            <w:tcW w:w="920" w:type="dxa"/>
            <w:vAlign w:val="bottom"/>
            <w:tcBorders>
              <w:right w:val="single" w:sz="8" w:color="007CBA"/>
            </w:tcBorders>
            <w:vMerge w:val="restart"/>
            <w:shd w:val="clear" w:color="auto" w:fill="007CBA"/>
          </w:tcPr>
          <w:p>
            <w:pPr>
              <w:jc w:val="right"/>
              <w:ind w:right="349"/>
              <w:spacing w:after="0"/>
              <w:rPr>
                <w:sz w:val="20"/>
                <w:szCs w:val="20"/>
                <w:color w:val="auto"/>
              </w:rPr>
            </w:pPr>
            <w:r>
              <w:rPr>
                <w:rFonts w:ascii="Arial" w:cs="Arial" w:eastAsia="Arial" w:hAnsi="Arial"/>
                <w:sz w:val="14"/>
                <w:szCs w:val="14"/>
                <w:b w:val="1"/>
                <w:bCs w:val="1"/>
                <w:color w:val="FFFFFF"/>
              </w:rPr>
              <w:t>0</w:t>
            </w:r>
          </w:p>
        </w:tc>
        <w:tc>
          <w:tcPr>
            <w:tcW w:w="940" w:type="dxa"/>
            <w:vAlign w:val="bottom"/>
            <w:tcBorders>
              <w:right w:val="single" w:sz="8" w:color="007CBA"/>
            </w:tcBorders>
            <w:vMerge w:val="restart"/>
            <w:shd w:val="clear" w:color="auto" w:fill="007CBA"/>
          </w:tcPr>
          <w:p>
            <w:pPr>
              <w:jc w:val="right"/>
              <w:ind w:right="369"/>
              <w:spacing w:after="0"/>
              <w:rPr>
                <w:sz w:val="20"/>
                <w:szCs w:val="20"/>
                <w:color w:val="auto"/>
              </w:rPr>
            </w:pPr>
            <w:r>
              <w:rPr>
                <w:rFonts w:ascii="Arial" w:cs="Arial" w:eastAsia="Arial" w:hAnsi="Arial"/>
                <w:sz w:val="14"/>
                <w:szCs w:val="14"/>
                <w:b w:val="1"/>
                <w:bCs w:val="1"/>
                <w:color w:val="FFFFFF"/>
              </w:rPr>
              <w:t>4</w:t>
            </w:r>
          </w:p>
        </w:tc>
        <w:tc>
          <w:tcPr>
            <w:tcW w:w="1080" w:type="dxa"/>
            <w:vAlign w:val="bottom"/>
            <w:tcBorders>
              <w:right w:val="single" w:sz="8" w:color="007CBA"/>
            </w:tcBorders>
            <w:vMerge w:val="restart"/>
            <w:shd w:val="clear" w:color="auto" w:fill="007CBA"/>
          </w:tcPr>
          <w:p>
            <w:pPr>
              <w:ind w:left="520"/>
              <w:spacing w:after="0"/>
              <w:rPr>
                <w:sz w:val="20"/>
                <w:szCs w:val="20"/>
                <w:color w:val="auto"/>
              </w:rPr>
            </w:pPr>
            <w:r>
              <w:rPr>
                <w:rFonts w:ascii="Arial" w:cs="Arial" w:eastAsia="Arial" w:hAnsi="Arial"/>
                <w:sz w:val="14"/>
                <w:szCs w:val="14"/>
                <w:b w:val="1"/>
                <w:bCs w:val="1"/>
                <w:color w:val="FFFFFF"/>
              </w:rPr>
              <w:t>4</w:t>
            </w:r>
          </w:p>
        </w:tc>
        <w:tc>
          <w:tcPr>
            <w:tcW w:w="860" w:type="dxa"/>
            <w:vAlign w:val="bottom"/>
            <w:vMerge w:val="restart"/>
            <w:shd w:val="clear" w:color="auto" w:fill="007CBA"/>
          </w:tcPr>
          <w:p>
            <w:pPr>
              <w:jc w:val="right"/>
              <w:ind w:right="189"/>
              <w:spacing w:after="0"/>
              <w:rPr>
                <w:sz w:val="20"/>
                <w:szCs w:val="20"/>
                <w:color w:val="auto"/>
              </w:rPr>
            </w:pPr>
            <w:r>
              <w:rPr>
                <w:rFonts w:ascii="Arial" w:cs="Arial" w:eastAsia="Arial" w:hAnsi="Arial"/>
                <w:sz w:val="14"/>
                <w:szCs w:val="14"/>
                <w:b w:val="1"/>
                <w:bCs w:val="1"/>
                <w:color w:val="FFFFFF"/>
              </w:rPr>
              <w:t>5</w:t>
            </w:r>
          </w:p>
        </w:tc>
        <w:tc>
          <w:tcPr>
            <w:tcW w:w="2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80" w:type="dxa"/>
            <w:vAlign w:val="bottom"/>
            <w:vMerge w:val="restart"/>
            <w:shd w:val="clear" w:color="auto" w:fill="007CBA"/>
          </w:tcPr>
          <w:p>
            <w:pPr>
              <w:ind w:left="60"/>
              <w:spacing w:after="0"/>
              <w:rPr>
                <w:sz w:val="20"/>
                <w:szCs w:val="20"/>
                <w:color w:val="auto"/>
              </w:rPr>
            </w:pPr>
            <w:r>
              <w:rPr>
                <w:rFonts w:ascii="Arial" w:cs="Arial" w:eastAsia="Arial" w:hAnsi="Arial"/>
                <w:sz w:val="14"/>
                <w:szCs w:val="14"/>
                <w:b w:val="1"/>
                <w:bCs w:val="1"/>
                <w:color w:val="FFFFFF"/>
              </w:rPr>
              <w:t>in 2020</w:t>
            </w:r>
          </w:p>
        </w:tc>
        <w:tc>
          <w:tcPr>
            <w:tcW w:w="1060" w:type="dxa"/>
            <w:vAlign w:val="bottom"/>
            <w:tcBorders>
              <w:right w:val="single" w:sz="8" w:color="007CBA"/>
            </w:tcBorders>
            <w:shd w:val="clear" w:color="auto" w:fill="007CBA"/>
          </w:tcPr>
          <w:p>
            <w:pPr>
              <w:spacing w:after="0"/>
              <w:rPr>
                <w:sz w:val="10"/>
                <w:szCs w:val="10"/>
                <w:color w:val="auto"/>
              </w:rPr>
            </w:pPr>
          </w:p>
        </w:tc>
        <w:tc>
          <w:tcPr>
            <w:tcW w:w="940" w:type="dxa"/>
            <w:vAlign w:val="bottom"/>
            <w:tcBorders>
              <w:right w:val="single" w:sz="8" w:color="007CBA"/>
            </w:tcBorders>
            <w:vMerge w:val="continue"/>
            <w:shd w:val="clear" w:color="auto" w:fill="007CBA"/>
          </w:tcPr>
          <w:p>
            <w:pPr>
              <w:spacing w:after="0"/>
              <w:rPr>
                <w:sz w:val="10"/>
                <w:szCs w:val="10"/>
                <w:color w:val="auto"/>
              </w:rPr>
            </w:pPr>
          </w:p>
        </w:tc>
        <w:tc>
          <w:tcPr>
            <w:tcW w:w="920" w:type="dxa"/>
            <w:vAlign w:val="bottom"/>
            <w:tcBorders>
              <w:right w:val="single" w:sz="8" w:color="007CBA"/>
            </w:tcBorders>
            <w:vMerge w:val="continue"/>
            <w:shd w:val="clear" w:color="auto" w:fill="007CBA"/>
          </w:tcPr>
          <w:p>
            <w:pPr>
              <w:spacing w:after="0"/>
              <w:rPr>
                <w:sz w:val="10"/>
                <w:szCs w:val="10"/>
                <w:color w:val="auto"/>
              </w:rPr>
            </w:pPr>
          </w:p>
        </w:tc>
        <w:tc>
          <w:tcPr>
            <w:tcW w:w="920" w:type="dxa"/>
            <w:vAlign w:val="bottom"/>
            <w:tcBorders>
              <w:right w:val="single" w:sz="8" w:color="007CBA"/>
            </w:tcBorders>
            <w:vMerge w:val="continue"/>
            <w:shd w:val="clear" w:color="auto" w:fill="007CBA"/>
          </w:tcPr>
          <w:p>
            <w:pPr>
              <w:spacing w:after="0"/>
              <w:rPr>
                <w:sz w:val="10"/>
                <w:szCs w:val="10"/>
                <w:color w:val="auto"/>
              </w:rPr>
            </w:pPr>
          </w:p>
        </w:tc>
        <w:tc>
          <w:tcPr>
            <w:tcW w:w="940" w:type="dxa"/>
            <w:vAlign w:val="bottom"/>
            <w:tcBorders>
              <w:right w:val="single" w:sz="8" w:color="007CBA"/>
            </w:tcBorders>
            <w:vMerge w:val="continue"/>
            <w:shd w:val="clear" w:color="auto" w:fill="007CBA"/>
          </w:tcPr>
          <w:p>
            <w:pPr>
              <w:spacing w:after="0"/>
              <w:rPr>
                <w:sz w:val="10"/>
                <w:szCs w:val="10"/>
                <w:color w:val="auto"/>
              </w:rPr>
            </w:pPr>
          </w:p>
        </w:tc>
        <w:tc>
          <w:tcPr>
            <w:tcW w:w="1080" w:type="dxa"/>
            <w:vAlign w:val="bottom"/>
            <w:tcBorders>
              <w:right w:val="single" w:sz="8" w:color="007CBA"/>
            </w:tcBorders>
            <w:vMerge w:val="continue"/>
            <w:shd w:val="clear" w:color="auto" w:fill="007CBA"/>
          </w:tcPr>
          <w:p>
            <w:pPr>
              <w:spacing w:after="0"/>
              <w:rPr>
                <w:sz w:val="10"/>
                <w:szCs w:val="10"/>
                <w:color w:val="auto"/>
              </w:rPr>
            </w:pPr>
          </w:p>
        </w:tc>
        <w:tc>
          <w:tcPr>
            <w:tcW w:w="860" w:type="dxa"/>
            <w:vAlign w:val="bottom"/>
            <w:vMerge w:val="continue"/>
            <w:shd w:val="clear" w:color="auto" w:fill="007CBA"/>
          </w:tcPr>
          <w:p>
            <w:pPr>
              <w:spacing w:after="0"/>
              <w:rPr>
                <w:sz w:val="10"/>
                <w:szCs w:val="10"/>
                <w:color w:val="auto"/>
              </w:rPr>
            </w:pPr>
          </w:p>
        </w:tc>
        <w:tc>
          <w:tcPr>
            <w:tcW w:w="260" w:type="dxa"/>
            <w:vAlign w:val="bottom"/>
            <w:shd w:val="clear" w:color="auto" w:fill="007CBA"/>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80" w:type="dxa"/>
            <w:vAlign w:val="bottom"/>
            <w:vMerge w:val="continue"/>
            <w:shd w:val="clear" w:color="auto" w:fill="007CBA"/>
          </w:tcPr>
          <w:p>
            <w:pPr>
              <w:spacing w:after="0"/>
              <w:rPr>
                <w:sz w:val="5"/>
                <w:szCs w:val="5"/>
                <w:color w:val="auto"/>
              </w:rPr>
            </w:pPr>
          </w:p>
        </w:tc>
        <w:tc>
          <w:tcPr>
            <w:tcW w:w="1060" w:type="dxa"/>
            <w:vAlign w:val="bottom"/>
            <w:tcBorders>
              <w:right w:val="single" w:sz="8" w:color="007CBA"/>
            </w:tcBorders>
            <w:shd w:val="clear" w:color="auto" w:fill="007CBA"/>
          </w:tcPr>
          <w:p>
            <w:pPr>
              <w:spacing w:after="0"/>
              <w:rPr>
                <w:sz w:val="5"/>
                <w:szCs w:val="5"/>
                <w:color w:val="auto"/>
              </w:rPr>
            </w:pPr>
          </w:p>
        </w:tc>
        <w:tc>
          <w:tcPr>
            <w:tcW w:w="940" w:type="dxa"/>
            <w:vAlign w:val="bottom"/>
            <w:tcBorders>
              <w:right w:val="single" w:sz="8" w:color="007CBA"/>
            </w:tcBorders>
            <w:shd w:val="clear" w:color="auto" w:fill="007CBA"/>
          </w:tcPr>
          <w:p>
            <w:pPr>
              <w:spacing w:after="0"/>
              <w:rPr>
                <w:sz w:val="5"/>
                <w:szCs w:val="5"/>
                <w:color w:val="auto"/>
              </w:rPr>
            </w:pPr>
          </w:p>
        </w:tc>
        <w:tc>
          <w:tcPr>
            <w:tcW w:w="920" w:type="dxa"/>
            <w:vAlign w:val="bottom"/>
            <w:tcBorders>
              <w:right w:val="single" w:sz="8" w:color="007CBA"/>
            </w:tcBorders>
            <w:shd w:val="clear" w:color="auto" w:fill="007CBA"/>
          </w:tcPr>
          <w:p>
            <w:pPr>
              <w:spacing w:after="0"/>
              <w:rPr>
                <w:sz w:val="5"/>
                <w:szCs w:val="5"/>
                <w:color w:val="auto"/>
              </w:rPr>
            </w:pPr>
          </w:p>
        </w:tc>
        <w:tc>
          <w:tcPr>
            <w:tcW w:w="920" w:type="dxa"/>
            <w:vAlign w:val="bottom"/>
            <w:tcBorders>
              <w:right w:val="single" w:sz="8" w:color="007CBA"/>
            </w:tcBorders>
            <w:shd w:val="clear" w:color="auto" w:fill="007CBA"/>
          </w:tcPr>
          <w:p>
            <w:pPr>
              <w:spacing w:after="0"/>
              <w:rPr>
                <w:sz w:val="5"/>
                <w:szCs w:val="5"/>
                <w:color w:val="auto"/>
              </w:rPr>
            </w:pPr>
          </w:p>
        </w:tc>
        <w:tc>
          <w:tcPr>
            <w:tcW w:w="940" w:type="dxa"/>
            <w:vAlign w:val="bottom"/>
            <w:tcBorders>
              <w:right w:val="single" w:sz="8" w:color="007CBA"/>
            </w:tcBorders>
            <w:shd w:val="clear" w:color="auto" w:fill="007CBA"/>
          </w:tcPr>
          <w:p>
            <w:pPr>
              <w:spacing w:after="0"/>
              <w:rPr>
                <w:sz w:val="5"/>
                <w:szCs w:val="5"/>
                <w:color w:val="auto"/>
              </w:rPr>
            </w:pPr>
          </w:p>
        </w:tc>
        <w:tc>
          <w:tcPr>
            <w:tcW w:w="1080" w:type="dxa"/>
            <w:vAlign w:val="bottom"/>
            <w:tcBorders>
              <w:right w:val="single" w:sz="8" w:color="007CBA"/>
            </w:tcBorders>
            <w:shd w:val="clear" w:color="auto" w:fill="007CBA"/>
          </w:tcPr>
          <w:p>
            <w:pPr>
              <w:spacing w:after="0"/>
              <w:rPr>
                <w:sz w:val="5"/>
                <w:szCs w:val="5"/>
                <w:color w:val="auto"/>
              </w:rPr>
            </w:pPr>
          </w:p>
        </w:tc>
        <w:tc>
          <w:tcPr>
            <w:tcW w:w="860" w:type="dxa"/>
            <w:vAlign w:val="bottom"/>
            <w:shd w:val="clear" w:color="auto" w:fill="007CBA"/>
          </w:tcPr>
          <w:p>
            <w:pPr>
              <w:spacing w:after="0"/>
              <w:rPr>
                <w:sz w:val="5"/>
                <w:szCs w:val="5"/>
                <w:color w:val="auto"/>
              </w:rPr>
            </w:pPr>
          </w:p>
        </w:tc>
        <w:tc>
          <w:tcPr>
            <w:tcW w:w="260" w:type="dxa"/>
            <w:vAlign w:val="bottom"/>
            <w:shd w:val="clear" w:color="auto" w:fill="007CBA"/>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880" w:type="dxa"/>
            <w:vAlign w:val="bottom"/>
            <w:shd w:val="clear" w:color="auto" w:fill="007CBA"/>
          </w:tcPr>
          <w:p>
            <w:pPr>
              <w:spacing w:after="0"/>
              <w:rPr>
                <w:sz w:val="5"/>
                <w:szCs w:val="5"/>
                <w:color w:val="auto"/>
              </w:rPr>
            </w:pPr>
          </w:p>
        </w:tc>
        <w:tc>
          <w:tcPr>
            <w:tcW w:w="1060" w:type="dxa"/>
            <w:vAlign w:val="bottom"/>
            <w:tcBorders>
              <w:right w:val="single" w:sz="8" w:color="007CBA"/>
            </w:tcBorders>
            <w:shd w:val="clear" w:color="auto" w:fill="007CBA"/>
          </w:tcPr>
          <w:p>
            <w:pPr>
              <w:spacing w:after="0"/>
              <w:rPr>
                <w:sz w:val="5"/>
                <w:szCs w:val="5"/>
                <w:color w:val="auto"/>
              </w:rPr>
            </w:pPr>
          </w:p>
        </w:tc>
        <w:tc>
          <w:tcPr>
            <w:tcW w:w="940" w:type="dxa"/>
            <w:vAlign w:val="bottom"/>
            <w:tcBorders>
              <w:right w:val="single" w:sz="8" w:color="007CBA"/>
            </w:tcBorders>
            <w:shd w:val="clear" w:color="auto" w:fill="007CBA"/>
          </w:tcPr>
          <w:p>
            <w:pPr>
              <w:spacing w:after="0"/>
              <w:rPr>
                <w:sz w:val="5"/>
                <w:szCs w:val="5"/>
                <w:color w:val="auto"/>
              </w:rPr>
            </w:pPr>
          </w:p>
        </w:tc>
        <w:tc>
          <w:tcPr>
            <w:tcW w:w="920" w:type="dxa"/>
            <w:vAlign w:val="bottom"/>
            <w:tcBorders>
              <w:right w:val="single" w:sz="8" w:color="007CBA"/>
            </w:tcBorders>
            <w:shd w:val="clear" w:color="auto" w:fill="007CBA"/>
          </w:tcPr>
          <w:p>
            <w:pPr>
              <w:spacing w:after="0"/>
              <w:rPr>
                <w:sz w:val="5"/>
                <w:szCs w:val="5"/>
                <w:color w:val="auto"/>
              </w:rPr>
            </w:pPr>
          </w:p>
        </w:tc>
        <w:tc>
          <w:tcPr>
            <w:tcW w:w="920" w:type="dxa"/>
            <w:vAlign w:val="bottom"/>
            <w:tcBorders>
              <w:right w:val="single" w:sz="8" w:color="007CBA"/>
            </w:tcBorders>
            <w:shd w:val="clear" w:color="auto" w:fill="007CBA"/>
          </w:tcPr>
          <w:p>
            <w:pPr>
              <w:spacing w:after="0"/>
              <w:rPr>
                <w:sz w:val="5"/>
                <w:szCs w:val="5"/>
                <w:color w:val="auto"/>
              </w:rPr>
            </w:pPr>
          </w:p>
        </w:tc>
        <w:tc>
          <w:tcPr>
            <w:tcW w:w="940" w:type="dxa"/>
            <w:vAlign w:val="bottom"/>
            <w:tcBorders>
              <w:right w:val="single" w:sz="8" w:color="007CBA"/>
            </w:tcBorders>
            <w:shd w:val="clear" w:color="auto" w:fill="007CBA"/>
          </w:tcPr>
          <w:p>
            <w:pPr>
              <w:spacing w:after="0"/>
              <w:rPr>
                <w:sz w:val="5"/>
                <w:szCs w:val="5"/>
                <w:color w:val="auto"/>
              </w:rPr>
            </w:pPr>
          </w:p>
        </w:tc>
        <w:tc>
          <w:tcPr>
            <w:tcW w:w="1080" w:type="dxa"/>
            <w:vAlign w:val="bottom"/>
            <w:tcBorders>
              <w:right w:val="single" w:sz="8" w:color="007CBA"/>
            </w:tcBorders>
            <w:shd w:val="clear" w:color="auto" w:fill="007CBA"/>
          </w:tcPr>
          <w:p>
            <w:pPr>
              <w:spacing w:after="0"/>
              <w:rPr>
                <w:sz w:val="5"/>
                <w:szCs w:val="5"/>
                <w:color w:val="auto"/>
              </w:rPr>
            </w:pPr>
          </w:p>
        </w:tc>
        <w:tc>
          <w:tcPr>
            <w:tcW w:w="860" w:type="dxa"/>
            <w:vAlign w:val="bottom"/>
            <w:shd w:val="clear" w:color="auto" w:fill="007CBA"/>
          </w:tcPr>
          <w:p>
            <w:pPr>
              <w:spacing w:after="0"/>
              <w:rPr>
                <w:sz w:val="5"/>
                <w:szCs w:val="5"/>
                <w:color w:val="auto"/>
              </w:rPr>
            </w:pPr>
          </w:p>
        </w:tc>
        <w:tc>
          <w:tcPr>
            <w:tcW w:w="260" w:type="dxa"/>
            <w:vAlign w:val="bottom"/>
            <w:shd w:val="clear" w:color="auto" w:fill="007CBA"/>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960" w:type="dxa"/>
            <w:vAlign w:val="bottom"/>
            <w:gridSpan w:val="3"/>
          </w:tcPr>
          <w:p>
            <w:pPr>
              <w:spacing w:after="0"/>
              <w:rPr>
                <w:sz w:val="20"/>
                <w:szCs w:val="20"/>
                <w:color w:val="auto"/>
              </w:rPr>
            </w:pPr>
            <w:r>
              <w:rPr>
                <w:rFonts w:ascii="Arial" w:cs="Arial" w:eastAsia="Arial" w:hAnsi="Arial"/>
                <w:sz w:val="14"/>
                <w:szCs w:val="14"/>
                <w:color w:val="auto"/>
              </w:rPr>
              <w:t>*  Mr. Nye is the only member of management who sits on the Board.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40" w:type="dxa"/>
            <w:vAlign w:val="bottom"/>
            <w:gridSpan w:val="2"/>
          </w:tcPr>
          <w:p>
            <w:pPr>
              <w:ind w:left="260"/>
              <w:spacing w:after="0"/>
              <w:rPr>
                <w:sz w:val="20"/>
                <w:szCs w:val="20"/>
                <w:color w:val="auto"/>
              </w:rPr>
            </w:pPr>
            <w:r>
              <w:rPr>
                <w:rFonts w:ascii="Arial" w:cs="Arial" w:eastAsia="Arial" w:hAnsi="Arial"/>
                <w:sz w:val="12"/>
                <w:szCs w:val="12"/>
                <w:color w:val="007CBA"/>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-3263265</wp:posOffset>
            </wp:positionV>
            <wp:extent cx="101600" cy="1098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1600" cy="10985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-3263265</wp:posOffset>
            </wp:positionV>
            <wp:extent cx="59055" cy="67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055" cy="6794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-2975610</wp:posOffset>
            </wp:positionV>
            <wp:extent cx="67945" cy="76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-2975610</wp:posOffset>
            </wp:positionV>
            <wp:extent cx="67945" cy="76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6630670</wp:posOffset>
            </wp:positionH>
            <wp:positionV relativeFrom="paragraph">
              <wp:posOffset>-2975610</wp:posOffset>
            </wp:positionV>
            <wp:extent cx="67945" cy="76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-2713355</wp:posOffset>
            </wp:positionV>
            <wp:extent cx="101600" cy="1098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1600" cy="109855"/>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-2679700</wp:posOffset>
            </wp:positionV>
            <wp:extent cx="59055" cy="67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055" cy="6794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-2433955</wp:posOffset>
            </wp:positionV>
            <wp:extent cx="67945" cy="76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-2433955</wp:posOffset>
            </wp:positionV>
            <wp:extent cx="67945"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-2433955</wp:posOffset>
            </wp:positionV>
            <wp:extent cx="67945" cy="76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-1951990</wp:posOffset>
            </wp:positionV>
            <wp:extent cx="67945" cy="76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-1951990</wp:posOffset>
            </wp:positionV>
            <wp:extent cx="67945" cy="76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-1647190</wp:posOffset>
            </wp:positionV>
            <wp:extent cx="101600" cy="1098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600" cy="10985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-1579245</wp:posOffset>
            </wp:positionV>
            <wp:extent cx="59055"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055" cy="6794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-1334135</wp:posOffset>
            </wp:positionV>
            <wp:extent cx="67945" cy="76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-1334135</wp:posOffset>
            </wp:positionV>
            <wp:extent cx="67945" cy="7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-1334135</wp:posOffset>
            </wp:positionV>
            <wp:extent cx="67945" cy="76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-1334135</wp:posOffset>
            </wp:positionV>
            <wp:extent cx="67945" cy="76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-1097280</wp:posOffset>
            </wp:positionV>
            <wp:extent cx="101600" cy="1098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1600" cy="109855"/>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-1054735</wp:posOffset>
            </wp:positionV>
            <wp:extent cx="59055" cy="679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055" cy="6794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-817880</wp:posOffset>
            </wp:positionV>
            <wp:extent cx="67945" cy="76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-817880</wp:posOffset>
            </wp:positionV>
            <wp:extent cx="67945" cy="76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-115570</wp:posOffset>
            </wp:positionV>
            <wp:extent cx="406400" cy="2451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Board Committees</w:t>
      </w:r>
    </w:p>
    <w:p>
      <w:pPr>
        <w:sectPr>
          <w:pgSz w:w="11900" w:h="16838" w:orient="portrait"/>
          <w:cols w:equalWidth="0" w:num="1">
            <w:col w:w="11100"/>
          </w:cols>
          <w:pgMar w:left="320" w:top="455" w:right="479" w:bottom="1440" w:gutter="0" w:footer="0" w:header="0"/>
        </w:sectPr>
      </w:pPr>
    </w:p>
    <w:p>
      <w:pPr>
        <w:spacing w:after="0" w:line="261"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Executive Committee</w:t>
      </w:r>
      <w:r>
        <w:rPr>
          <w:rFonts w:ascii="Arial" w:cs="Arial" w:eastAsia="Arial" w:hAnsi="Arial"/>
          <w:sz w:val="16"/>
          <w:szCs w:val="16"/>
          <w:color w:val="auto"/>
        </w:rPr>
        <w:t xml:space="preserve"> held no meetings during 2019. It has the authority to act during the intervals between the meetings of the Board of Directors and may exercise the powers of the Board in the management of the business and affairs of Martin Marietta as may be authorized by the Board of Directors,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except to the extent such powers are by statute, our Articles of Incorporation or Bylaws reserved to the full Board. The Executive Committee’s current members are Directors Nye (Chair), Koraleski, and Quillen.</w:t>
      </w:r>
    </w:p>
    <w:p>
      <w:pPr>
        <w:spacing w:after="0" w:line="388"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primary responsibilities, membership and meeting information for our other standing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148590</wp:posOffset>
            </wp:positionV>
            <wp:extent cx="6939280" cy="4476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928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372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700" w:type="dxa"/>
            <w:vAlign w:val="bottom"/>
            <w:tcBorders>
              <w:right w:val="single" w:sz="8" w:color="007CBA"/>
            </w:tcBorders>
            <w:vMerge w:val="restart"/>
          </w:tcPr>
          <w:p>
            <w:pPr>
              <w:jc w:val="center"/>
              <w:ind w:left="89"/>
              <w:spacing w:after="0"/>
              <w:rPr>
                <w:sz w:val="20"/>
                <w:szCs w:val="20"/>
                <w:color w:val="auto"/>
              </w:rPr>
            </w:pPr>
            <w:r>
              <w:rPr>
                <w:rFonts w:ascii="Arial" w:cs="Arial" w:eastAsia="Arial" w:hAnsi="Arial"/>
                <w:sz w:val="14"/>
                <w:szCs w:val="14"/>
                <w:b w:val="1"/>
                <w:bCs w:val="1"/>
                <w:i w:val="1"/>
                <w:iCs w:val="1"/>
                <w:color w:val="007CBA"/>
              </w:rPr>
              <w:t>Meetings in 2019:</w:t>
            </w:r>
          </w:p>
        </w:tc>
        <w:tc>
          <w:tcPr>
            <w:tcW w:w="34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2019:</w:t>
            </w:r>
          </w:p>
        </w:tc>
        <w:tc>
          <w:tcPr>
            <w:tcW w:w="0" w:type="dxa"/>
            <w:vAlign w:val="bottom"/>
          </w:tcPr>
          <w:p>
            <w:pPr>
              <w:spacing w:after="0"/>
              <w:rPr>
                <w:sz w:val="1"/>
                <w:szCs w:val="1"/>
                <w:color w:val="auto"/>
              </w:rPr>
            </w:pPr>
          </w:p>
        </w:tc>
      </w:tr>
      <w:tr>
        <w:trPr>
          <w:trHeight w:val="129"/>
        </w:trPr>
        <w:tc>
          <w:tcPr>
            <w:tcW w:w="3720" w:type="dxa"/>
            <w:vAlign w:val="bottom"/>
            <w:tcBorders>
              <w:right w:val="single" w:sz="8" w:color="007CBA"/>
            </w:tcBorders>
          </w:tcPr>
          <w:p>
            <w:pPr>
              <w:ind w:left="220"/>
              <w:spacing w:after="0" w:line="129" w:lineRule="exact"/>
              <w:rPr>
                <w:sz w:val="20"/>
                <w:szCs w:val="20"/>
                <w:color w:val="auto"/>
              </w:rPr>
            </w:pPr>
            <w:r>
              <w:rPr>
                <w:rFonts w:ascii="Arial" w:cs="Arial" w:eastAsia="Arial" w:hAnsi="Arial"/>
                <w:sz w:val="14"/>
                <w:szCs w:val="14"/>
                <w:color w:val="auto"/>
              </w:rPr>
              <w:t>Laree E. Perez (Chair)</w:t>
            </w:r>
          </w:p>
        </w:tc>
        <w:tc>
          <w:tcPr>
            <w:tcW w:w="3700" w:type="dxa"/>
            <w:vAlign w:val="bottom"/>
            <w:tcBorders>
              <w:right w:val="single" w:sz="8" w:color="007CBA"/>
            </w:tcBorders>
            <w:vMerge w:val="continue"/>
          </w:tcPr>
          <w:p>
            <w:pPr>
              <w:spacing w:after="0"/>
              <w:rPr>
                <w:sz w:val="11"/>
                <w:szCs w:val="11"/>
                <w:color w:val="auto"/>
              </w:rPr>
            </w:pPr>
          </w:p>
        </w:tc>
        <w:tc>
          <w:tcPr>
            <w:tcW w:w="3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72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Dorothy M. Ables</w:t>
            </w:r>
          </w:p>
        </w:tc>
        <w:tc>
          <w:tcPr>
            <w:tcW w:w="3700" w:type="dxa"/>
            <w:vAlign w:val="bottom"/>
            <w:tcBorders>
              <w:right w:val="single" w:sz="8" w:color="007CBA"/>
            </w:tcBorders>
          </w:tcPr>
          <w:p>
            <w:pPr>
              <w:jc w:val="right"/>
              <w:ind w:right="1649"/>
              <w:spacing w:after="0"/>
              <w:rPr>
                <w:sz w:val="20"/>
                <w:szCs w:val="20"/>
                <w:color w:val="auto"/>
              </w:rPr>
            </w:pPr>
            <w:r>
              <w:rPr>
                <w:rFonts w:ascii="Arial" w:cs="Arial" w:eastAsia="Arial" w:hAnsi="Arial"/>
                <w:sz w:val="14"/>
                <w:szCs w:val="14"/>
                <w:color w:val="auto"/>
              </w:rPr>
              <w:t>7</w:t>
            </w:r>
          </w:p>
        </w:tc>
        <w:tc>
          <w:tcPr>
            <w:tcW w:w="3480" w:type="dxa"/>
            <w:vAlign w:val="bottom"/>
          </w:tcPr>
          <w:p>
            <w:pPr>
              <w:jc w:val="right"/>
              <w:ind w:right="146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John J. Koraleski</w:t>
            </w:r>
          </w:p>
        </w:tc>
        <w:tc>
          <w:tcPr>
            <w:tcW w:w="3700" w:type="dxa"/>
            <w:vAlign w:val="bottom"/>
            <w:tcBorders>
              <w:bottom w:val="single" w:sz="8" w:color="007CBA"/>
              <w:right w:val="single" w:sz="8" w:color="007CBA"/>
            </w:tcBorders>
          </w:tcPr>
          <w:p>
            <w:pPr>
              <w:spacing w:after="0"/>
              <w:rPr>
                <w:sz w:val="14"/>
                <w:szCs w:val="14"/>
                <w:color w:val="auto"/>
              </w:rPr>
            </w:pPr>
          </w:p>
        </w:tc>
        <w:tc>
          <w:tcPr>
            <w:tcW w:w="348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72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7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our significant accounting principles, policies and practices in reporting our financial results under generally accepted accounting principles.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our annual audited financial statements and related disclosures.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management letters or internal control reports, and reviews our system of internal control over financial reporting.</w:t>
      </w:r>
    </w:p>
    <w:p>
      <w:pPr>
        <w:spacing w:after="0" w:line="78" w:lineRule="exact"/>
        <w:rPr>
          <w:rFonts w:ascii="Arial" w:cs="Arial" w:eastAsia="Arial" w:hAnsi="Arial"/>
          <w:sz w:val="14"/>
          <w:szCs w:val="14"/>
          <w:color w:val="007CBA"/>
        </w:rPr>
      </w:pPr>
    </w:p>
    <w:p>
      <w:pPr>
        <w:ind w:left="620" w:hanging="207"/>
        <w:spacing w:after="0"/>
        <w:tabs>
          <w:tab w:leader="none" w:pos="62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Appoints, retains and oversees the work of the independent auditors.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the effectiveness of the independent audit effort.</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Pre-approves audit and permissible non-audit services provided by the independent registered public accounting firm.</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our interim financial results for each fiscal quarter.</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the qualifications and the plan and scope of work of the corporate internal audit function.</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and discusses the reports of our internal audit group.</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and discusses management’s assessment of the effectiveness of Martin Marietta’s system of internal control over financial reporting.</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Discusses Martin Marietta’s earnings press releases, as well as financial information and earnings guidance provided to analysts, investors and rating agencies.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Discusses matters related to risk assessment and risk management and how the process is handled by management.</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and oversees related party transactions.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complaints regarding accounting, internal controls or auditing matters.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Considers allegations of possible financial fraud or other financial improprieties.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5"/>
        </w:numPr>
        <w:rPr>
          <w:rFonts w:ascii="Arial" w:cs="Arial" w:eastAsia="Arial" w:hAnsi="Arial"/>
          <w:sz w:val="14"/>
          <w:szCs w:val="14"/>
          <w:color w:val="007CBA"/>
        </w:rPr>
      </w:pPr>
      <w:r>
        <w:rPr>
          <w:rFonts w:ascii="Arial" w:cs="Arial" w:eastAsia="Arial" w:hAnsi="Arial"/>
          <w:sz w:val="14"/>
          <w:szCs w:val="14"/>
          <w:color w:val="auto"/>
        </w:rPr>
        <w:t>Prepares the annual Audit Committee Report to be included in the proxy statement.</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007CBA"/>
        </w:rPr>
        <w:t>Other Governance Matters: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All members of the Audit Committee, including the Chair, are audit committee financial experts under applicable SEC regulations.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The Chair of the Audit Committee is an independent Director.</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Chair of the Audit Committee has experience serving as a Chair and member of other public company audit committees.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All members satisfy the audit committee experience and independence standards required by the New York Stock Exchange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106045</wp:posOffset>
            </wp:positionV>
            <wp:extent cx="406400" cy="245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82" w:lineRule="exact"/>
        <w:rPr>
          <w:sz w:val="20"/>
          <w:szCs w:val="20"/>
          <w:color w:val="auto"/>
        </w:rPr>
      </w:pPr>
    </w:p>
    <w:p>
      <w:pPr>
        <w:ind w:left="620" w:hanging="433"/>
        <w:spacing w:after="0"/>
        <w:tabs>
          <w:tab w:leader="none" w:pos="620" w:val="left"/>
        </w:tabs>
        <w:numPr>
          <w:ilvl w:val="0"/>
          <w:numId w:val="36"/>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100"/>
          </w:cols>
          <w:pgMar w:left="320" w:top="455"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ind w:right="60"/>
        <w:spacing w:after="0" w:line="276" w:lineRule="exact"/>
        <w:rPr>
          <w:sz w:val="20"/>
          <w:szCs w:val="20"/>
          <w:color w:val="auto"/>
        </w:rPr>
      </w:pPr>
      <w:r>
        <w:rPr>
          <w:rFonts w:ascii="Arial" w:cs="Arial" w:eastAsia="Arial" w:hAnsi="Arial"/>
          <w:sz w:val="13"/>
          <w:szCs w:val="13"/>
          <w:color w:val="auto"/>
        </w:rPr>
        <w:t xml:space="preserve">Board Committees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143510</wp:posOffset>
            </wp:positionV>
            <wp:extent cx="6939280" cy="2293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9280" cy="229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384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600" w:type="dxa"/>
            <w:vAlign w:val="bottom"/>
            <w:tcBorders>
              <w:right w:val="single" w:sz="8" w:color="007CBA"/>
            </w:tcBorders>
          </w:tcPr>
          <w:p>
            <w:pPr>
              <w:spacing w:after="0"/>
              <w:rPr>
                <w:sz w:val="20"/>
                <w:szCs w:val="20"/>
                <w:color w:val="auto"/>
              </w:rPr>
            </w:pPr>
          </w:p>
        </w:tc>
        <w:tc>
          <w:tcPr>
            <w:tcW w:w="3480" w:type="dxa"/>
            <w:vAlign w:val="bottom"/>
          </w:tcPr>
          <w:p>
            <w:pPr>
              <w:spacing w:after="0"/>
              <w:rPr>
                <w:sz w:val="20"/>
                <w:szCs w:val="20"/>
                <w:color w:val="auto"/>
              </w:rPr>
            </w:pPr>
          </w:p>
        </w:tc>
      </w:tr>
      <w:tr>
        <w:trPr>
          <w:trHeight w:val="169"/>
        </w:trPr>
        <w:tc>
          <w:tcPr>
            <w:tcW w:w="384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Smith W. Davis (Chair)</w:t>
            </w:r>
          </w:p>
        </w:tc>
        <w:tc>
          <w:tcPr>
            <w:tcW w:w="3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b w:val="1"/>
                <w:bCs w:val="1"/>
                <w:i w:val="1"/>
                <w:iCs w:val="1"/>
                <w:color w:val="007CBA"/>
              </w:rPr>
              <w:t>Meetings in 2019:</w:t>
            </w:r>
          </w:p>
        </w:tc>
        <w:tc>
          <w:tcPr>
            <w:tcW w:w="3480" w:type="dxa"/>
            <w:vAlign w:val="bottom"/>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2019:</w:t>
            </w:r>
          </w:p>
        </w:tc>
      </w:tr>
      <w:tr>
        <w:trPr>
          <w:trHeight w:val="160"/>
        </w:trPr>
        <w:tc>
          <w:tcPr>
            <w:tcW w:w="3840" w:type="dxa"/>
            <w:vAlign w:val="bottom"/>
            <w:tcBorders>
              <w:right w:val="single" w:sz="8" w:color="007CBA"/>
            </w:tcBorders>
          </w:tcPr>
          <w:p>
            <w:pPr>
              <w:ind w:left="220"/>
              <w:spacing w:after="0" w:line="160" w:lineRule="exact"/>
              <w:rPr>
                <w:sz w:val="20"/>
                <w:szCs w:val="20"/>
                <w:color w:val="auto"/>
              </w:rPr>
            </w:pPr>
            <w:r>
              <w:rPr>
                <w:rFonts w:ascii="Arial" w:cs="Arial" w:eastAsia="Arial" w:hAnsi="Arial"/>
                <w:sz w:val="14"/>
                <w:szCs w:val="14"/>
                <w:color w:val="auto"/>
              </w:rPr>
              <w:t>Sue W. Cole</w:t>
            </w:r>
          </w:p>
        </w:tc>
        <w:tc>
          <w:tcPr>
            <w:tcW w:w="3600" w:type="dxa"/>
            <w:vAlign w:val="bottom"/>
            <w:tcBorders>
              <w:right w:val="single" w:sz="8" w:color="007CBA"/>
            </w:tcBorders>
          </w:tcPr>
          <w:p>
            <w:pPr>
              <w:jc w:val="right"/>
              <w:ind w:right="1669"/>
              <w:spacing w:after="0" w:line="160" w:lineRule="exact"/>
              <w:rPr>
                <w:sz w:val="20"/>
                <w:szCs w:val="20"/>
                <w:color w:val="auto"/>
              </w:rPr>
            </w:pPr>
            <w:r>
              <w:rPr>
                <w:rFonts w:ascii="Arial" w:cs="Arial" w:eastAsia="Arial" w:hAnsi="Arial"/>
                <w:sz w:val="14"/>
                <w:szCs w:val="14"/>
                <w:color w:val="auto"/>
              </w:rPr>
              <w:t>2</w:t>
            </w:r>
          </w:p>
        </w:tc>
        <w:tc>
          <w:tcPr>
            <w:tcW w:w="3480" w:type="dxa"/>
            <w:vAlign w:val="bottom"/>
          </w:tcPr>
          <w:p>
            <w:pPr>
              <w:jc w:val="right"/>
              <w:ind w:right="1469"/>
              <w:spacing w:after="0" w:line="160" w:lineRule="exact"/>
              <w:rPr>
                <w:sz w:val="20"/>
                <w:szCs w:val="20"/>
                <w:color w:val="auto"/>
              </w:rPr>
            </w:pPr>
            <w:r>
              <w:rPr>
                <w:rFonts w:ascii="Arial" w:cs="Arial" w:eastAsia="Arial" w:hAnsi="Arial"/>
                <w:sz w:val="14"/>
                <w:szCs w:val="14"/>
                <w:color w:val="auto"/>
              </w:rPr>
              <w:t>100%</w:t>
            </w:r>
          </w:p>
        </w:tc>
      </w:tr>
      <w:tr>
        <w:trPr>
          <w:trHeight w:val="151"/>
        </w:trPr>
        <w:tc>
          <w:tcPr>
            <w:tcW w:w="3840" w:type="dxa"/>
            <w:vAlign w:val="bottom"/>
            <w:tcBorders>
              <w:right w:val="single" w:sz="8" w:color="007CBA"/>
            </w:tcBorders>
          </w:tcPr>
          <w:p>
            <w:pPr>
              <w:ind w:left="220"/>
              <w:spacing w:after="0" w:line="151" w:lineRule="exact"/>
              <w:rPr>
                <w:sz w:val="20"/>
                <w:szCs w:val="20"/>
                <w:color w:val="auto"/>
              </w:rPr>
            </w:pPr>
            <w:r>
              <w:rPr>
                <w:rFonts w:ascii="Arial" w:cs="Arial" w:eastAsia="Arial" w:hAnsi="Arial"/>
                <w:sz w:val="14"/>
                <w:szCs w:val="14"/>
                <w:color w:val="auto"/>
              </w:rPr>
              <w:t>Laree E. Perez</w:t>
            </w:r>
          </w:p>
        </w:tc>
        <w:tc>
          <w:tcPr>
            <w:tcW w:w="3600" w:type="dxa"/>
            <w:vAlign w:val="bottom"/>
            <w:tcBorders>
              <w:right w:val="single" w:sz="8" w:color="007CBA"/>
            </w:tcBorders>
          </w:tcPr>
          <w:p>
            <w:pPr>
              <w:spacing w:after="0"/>
              <w:rPr>
                <w:sz w:val="13"/>
                <w:szCs w:val="13"/>
                <w:color w:val="auto"/>
              </w:rPr>
            </w:pPr>
          </w:p>
        </w:tc>
        <w:tc>
          <w:tcPr>
            <w:tcW w:w="3480" w:type="dxa"/>
            <w:vAlign w:val="bottom"/>
          </w:tcPr>
          <w:p>
            <w:pPr>
              <w:spacing w:after="0"/>
              <w:rPr>
                <w:sz w:val="13"/>
                <w:szCs w:val="13"/>
                <w:color w:val="auto"/>
              </w:rPr>
            </w:pPr>
          </w:p>
        </w:tc>
      </w:tr>
      <w:tr>
        <w:trPr>
          <w:trHeight w:val="169"/>
        </w:trPr>
        <w:tc>
          <w:tcPr>
            <w:tcW w:w="384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Stephen P. Zelnak, Jr.</w:t>
            </w:r>
          </w:p>
        </w:tc>
        <w:tc>
          <w:tcPr>
            <w:tcW w:w="3600" w:type="dxa"/>
            <w:vAlign w:val="bottom"/>
            <w:tcBorders>
              <w:bottom w:val="single" w:sz="8" w:color="007CBA"/>
              <w:right w:val="single" w:sz="8" w:color="007CBA"/>
            </w:tcBorders>
          </w:tcPr>
          <w:p>
            <w:pPr>
              <w:spacing w:after="0"/>
              <w:rPr>
                <w:sz w:val="14"/>
                <w:szCs w:val="14"/>
                <w:color w:val="auto"/>
              </w:rPr>
            </w:pPr>
          </w:p>
        </w:tc>
        <w:tc>
          <w:tcPr>
            <w:tcW w:w="3480" w:type="dxa"/>
            <w:vAlign w:val="bottom"/>
            <w:tcBorders>
              <w:bottom w:val="single" w:sz="8" w:color="007CBA"/>
            </w:tcBorders>
          </w:tcPr>
          <w:p>
            <w:pPr>
              <w:spacing w:after="0"/>
              <w:rPr>
                <w:sz w:val="14"/>
                <w:szCs w:val="14"/>
                <w:color w:val="auto"/>
              </w:rPr>
            </w:pPr>
          </w:p>
        </w:tc>
      </w:tr>
      <w:tr>
        <w:trPr>
          <w:trHeight w:val="235"/>
        </w:trPr>
        <w:tc>
          <w:tcPr>
            <w:tcW w:w="384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600" w:type="dxa"/>
            <w:vAlign w:val="bottom"/>
          </w:tcPr>
          <w:p>
            <w:pPr>
              <w:spacing w:after="0"/>
              <w:rPr>
                <w:sz w:val="20"/>
                <w:szCs w:val="20"/>
                <w:color w:val="auto"/>
              </w:rPr>
            </w:pPr>
          </w:p>
        </w:tc>
        <w:tc>
          <w:tcPr>
            <w:tcW w:w="3480" w:type="dxa"/>
            <w:vAlign w:val="bottom"/>
          </w:tcPr>
          <w:p>
            <w:pPr>
              <w:spacing w:after="0"/>
              <w:rPr>
                <w:sz w:val="20"/>
                <w:szCs w:val="20"/>
                <w:color w:val="auto"/>
              </w:rPr>
            </w:pPr>
          </w:p>
        </w:tc>
      </w:tr>
    </w:tbl>
    <w:p>
      <w:pPr>
        <w:spacing w:after="0" w:line="42" w:lineRule="exact"/>
        <w:rPr>
          <w:sz w:val="20"/>
          <w:szCs w:val="20"/>
          <w:color w:val="auto"/>
        </w:rPr>
      </w:pPr>
    </w:p>
    <w:p>
      <w:pPr>
        <w:jc w:val="both"/>
        <w:ind w:left="620" w:right="220" w:hanging="207"/>
        <w:spacing w:after="0" w:line="255" w:lineRule="auto"/>
        <w:tabs>
          <w:tab w:leader="none" w:pos="627"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 xml:space="preserve">Monitors compliance with our </w:t>
      </w:r>
      <w:r>
        <w:rPr>
          <w:rFonts w:ascii="Arial" w:cs="Arial" w:eastAsia="Arial" w:hAnsi="Arial"/>
          <w:sz w:val="14"/>
          <w:szCs w:val="14"/>
          <w:i w:val="1"/>
          <w:iCs w:val="1"/>
          <w:color w:val="auto"/>
        </w:rPr>
        <w:t>Code of Ethical Business Conduct</w:t>
      </w:r>
      <w:r>
        <w:rPr>
          <w:rFonts w:ascii="Arial" w:cs="Arial" w:eastAsia="Arial" w:hAnsi="Arial"/>
          <w:sz w:val="14"/>
          <w:szCs w:val="14"/>
          <w:color w:val="auto"/>
        </w:rPr>
        <w:t xml:space="preserve"> and reviews all matters presented to it by the Corporate Ethics Officer concerning the ethical practices of Martin Marietta and its Directors, officers, and employees, including conflicts or potential conflicts of interest between Martin Marietta and any of its Directors, officers, and employees.</w:t>
      </w:r>
    </w:p>
    <w:p>
      <w:pPr>
        <w:spacing w:after="0" w:line="42" w:lineRule="exact"/>
        <w:rPr>
          <w:rFonts w:ascii="Arial" w:cs="Arial" w:eastAsia="Arial" w:hAnsi="Arial"/>
          <w:sz w:val="14"/>
          <w:szCs w:val="14"/>
          <w:color w:val="007CBA"/>
        </w:rPr>
      </w:pPr>
    </w:p>
    <w:p>
      <w:pPr>
        <w:ind w:left="640" w:hanging="227"/>
        <w:spacing w:after="0"/>
        <w:tabs>
          <w:tab w:leader="none" w:pos="640" w:val="left"/>
        </w:tabs>
        <w:numPr>
          <w:ilvl w:val="0"/>
          <w:numId w:val="37"/>
        </w:numPr>
        <w:rPr>
          <w:rFonts w:ascii="Arial" w:cs="Arial" w:eastAsia="Arial" w:hAnsi="Arial"/>
          <w:sz w:val="14"/>
          <w:szCs w:val="14"/>
          <w:b w:val="1"/>
          <w:bCs w:val="1"/>
          <w:color w:val="007CBA"/>
        </w:rPr>
      </w:pPr>
      <w:r>
        <w:rPr>
          <w:rFonts w:ascii="Arial" w:cs="Arial" w:eastAsia="Arial" w:hAnsi="Arial"/>
          <w:sz w:val="14"/>
          <w:szCs w:val="14"/>
          <w:b w:val="1"/>
          <w:bCs w:val="1"/>
          <w:color w:val="auto"/>
        </w:rPr>
        <w:t>Reviews and discusses our sustainability efforts, goals and risks, and our annual Sustainability Report.</w:t>
      </w:r>
    </w:p>
    <w:p>
      <w:pPr>
        <w:spacing w:after="0" w:line="96" w:lineRule="exact"/>
        <w:rPr>
          <w:rFonts w:ascii="Arial" w:cs="Arial" w:eastAsia="Arial" w:hAnsi="Arial"/>
          <w:sz w:val="14"/>
          <w:szCs w:val="14"/>
          <w:b w:val="1"/>
          <w:bCs w:val="1"/>
          <w:color w:val="007CBA"/>
        </w:rPr>
      </w:pPr>
    </w:p>
    <w:p>
      <w:pPr>
        <w:ind w:left="640" w:hanging="227"/>
        <w:spacing w:after="0"/>
        <w:tabs>
          <w:tab w:leader="none" w:pos="64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Reviews and monitors the adequacy of our policies and procedures and organizational structure for ensuring compliance with environmental laws and regulations.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Reviews matters relating to our health and safety programs and performance.</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318135</wp:posOffset>
            </wp:positionV>
            <wp:extent cx="6913880" cy="22682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13880" cy="226822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007CBA"/>
        </w:rPr>
        <w:t>Current Members: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Stephen P. Zelnak, Jr. (Chair)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Michael J. Quillen</w:t>
      </w:r>
    </w:p>
    <w:p>
      <w:pPr>
        <w:ind w:left="420"/>
        <w:spacing w:after="0"/>
        <w:rPr>
          <w:sz w:val="20"/>
          <w:szCs w:val="20"/>
          <w:color w:val="auto"/>
        </w:rPr>
      </w:pPr>
      <w:r>
        <w:rPr>
          <w:rFonts w:ascii="Arial" w:cs="Arial" w:eastAsia="Arial" w:hAnsi="Arial"/>
          <w:sz w:val="14"/>
          <w:szCs w:val="14"/>
          <w:color w:val="auto"/>
        </w:rPr>
        <w:t>Donald W. Slager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i w:val="1"/>
          <w:iCs w:val="1"/>
          <w:color w:val="007CBA"/>
        </w:rPr>
        <w:t>Meetings in 2019:</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i w:val="1"/>
          <w:iCs w:val="1"/>
          <w:color w:val="007CBA"/>
        </w:rPr>
        <w:t>Average Attendance in 2019:</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100%</w:t>
      </w:r>
    </w:p>
    <w:p>
      <w:pPr>
        <w:spacing w:after="0" w:line="275" w:lineRule="exact"/>
        <w:rPr>
          <w:sz w:val="20"/>
          <w:szCs w:val="20"/>
          <w:color w:val="auto"/>
        </w:rPr>
      </w:pPr>
    </w:p>
    <w:p>
      <w:pPr>
        <w:sectPr>
          <w:pgSz w:w="11900" w:h="16838" w:orient="portrait"/>
          <w:cols w:equalWidth="0" w:num="3">
            <w:col w:w="4540" w:space="720"/>
            <w:col w:w="2420" w:space="720"/>
            <w:col w:w="2720"/>
          </w:cols>
          <w:pgMar w:left="320" w:top="455" w:right="459" w:bottom="1440" w:gutter="0" w:footer="0" w:header="0"/>
          <w:type w:val="continuous"/>
        </w:sectPr>
      </w:pPr>
    </w:p>
    <w:p>
      <w:pPr>
        <w:ind w:left="420"/>
        <w:spacing w:after="0"/>
        <w:rPr>
          <w:sz w:val="20"/>
          <w:szCs w:val="20"/>
          <w:color w:val="auto"/>
        </w:rPr>
      </w:pPr>
      <w:r>
        <w:rPr>
          <w:rFonts w:ascii="Arial" w:cs="Arial" w:eastAsia="Arial" w:hAnsi="Arial"/>
          <w:sz w:val="14"/>
          <w:szCs w:val="14"/>
          <w:b w:val="1"/>
          <w:bCs w:val="1"/>
          <w:i w:val="1"/>
          <w:iCs w:val="1"/>
          <w:color w:val="007CBA"/>
        </w:rPr>
        <w:t>Primary Responsibilities:</w:t>
      </w:r>
    </w:p>
    <w:p>
      <w:pPr>
        <w:spacing w:after="0" w:line="15" w:lineRule="exact"/>
        <w:rPr>
          <w:sz w:val="20"/>
          <w:szCs w:val="20"/>
          <w:color w:val="auto"/>
        </w:rPr>
      </w:pPr>
    </w:p>
    <w:p>
      <w:pPr>
        <w:ind w:left="640" w:hanging="227"/>
        <w:spacing w:after="0"/>
        <w:tabs>
          <w:tab w:leader="none" w:pos="64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Provides general oversight relating to the management of our financial affairs.</w:t>
      </w:r>
    </w:p>
    <w:p>
      <w:pPr>
        <w:spacing w:after="0" w:line="78" w:lineRule="exact"/>
        <w:rPr>
          <w:rFonts w:ascii="Arial" w:cs="Arial" w:eastAsia="Arial" w:hAnsi="Arial"/>
          <w:sz w:val="14"/>
          <w:szCs w:val="14"/>
          <w:color w:val="007CBA"/>
        </w:rPr>
      </w:pPr>
    </w:p>
    <w:p>
      <w:pPr>
        <w:ind w:left="620" w:right="260" w:hanging="207"/>
        <w:spacing w:after="0" w:line="246" w:lineRule="auto"/>
        <w:tabs>
          <w:tab w:leader="none" w:pos="627"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and approves establishment of lines of credit or other short-term borrowing arrangements and investing excess working capital funds on a short-term basis.</w:t>
      </w:r>
    </w:p>
    <w:p>
      <w:pPr>
        <w:spacing w:after="0" w:line="234" w:lineRule="exact"/>
        <w:rPr>
          <w:rFonts w:ascii="Arial" w:cs="Arial" w:eastAsia="Arial" w:hAnsi="Arial"/>
          <w:sz w:val="14"/>
          <w:szCs w:val="14"/>
          <w:color w:val="007CBA"/>
        </w:rPr>
      </w:pPr>
    </w:p>
    <w:p>
      <w:pPr>
        <w:ind w:left="620" w:right="260" w:hanging="207"/>
        <w:spacing w:after="0" w:line="252" w:lineRule="auto"/>
        <w:tabs>
          <w:tab w:leader="none" w:pos="627"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and makes recommendations to the Board concerning changes to capital structure, including the incurrence of long-term debt, issuance of equity securities, share repurchases, and the payment of dividends, as well as capital expenditures.</w:t>
      </w:r>
    </w:p>
    <w:p>
      <w:pPr>
        <w:spacing w:after="0" w:line="61" w:lineRule="exact"/>
        <w:rPr>
          <w:rFonts w:ascii="Arial" w:cs="Arial" w:eastAsia="Arial" w:hAnsi="Arial"/>
          <w:sz w:val="14"/>
          <w:szCs w:val="14"/>
          <w:color w:val="007CBA"/>
        </w:rPr>
      </w:pPr>
    </w:p>
    <w:p>
      <w:pPr>
        <w:ind w:left="620" w:hanging="207"/>
        <w:spacing w:after="0"/>
        <w:tabs>
          <w:tab w:leader="none" w:pos="62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Approves our charitable contributions budget.</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106045</wp:posOffset>
            </wp:positionV>
            <wp:extent cx="406400" cy="245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68"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15</w:t>
            </w:r>
          </w:p>
        </w:tc>
      </w:tr>
    </w:tbl>
    <w:p>
      <w:pPr>
        <w:sectPr>
          <w:pgSz w:w="11900" w:h="16838" w:orient="portrait"/>
          <w:cols w:equalWidth="0" w:num="1">
            <w:col w:w="11120"/>
          </w:cols>
          <w:pgMar w:left="320" w:top="455"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143510</wp:posOffset>
            </wp:positionV>
            <wp:extent cx="6913880" cy="3461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13880" cy="346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374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740" w:type="dxa"/>
            <w:vAlign w:val="bottom"/>
            <w:tcBorders>
              <w:right w:val="single" w:sz="8" w:color="007CBA"/>
            </w:tcBorders>
            <w:vMerge w:val="restart"/>
          </w:tcPr>
          <w:p>
            <w:pPr>
              <w:jc w:val="center"/>
              <w:ind w:left="89"/>
              <w:spacing w:after="0"/>
              <w:rPr>
                <w:sz w:val="20"/>
                <w:szCs w:val="20"/>
                <w:color w:val="auto"/>
              </w:rPr>
            </w:pPr>
            <w:r>
              <w:rPr>
                <w:rFonts w:ascii="Arial" w:cs="Arial" w:eastAsia="Arial" w:hAnsi="Arial"/>
                <w:sz w:val="14"/>
                <w:szCs w:val="14"/>
                <w:b w:val="1"/>
                <w:bCs w:val="1"/>
                <w:i w:val="1"/>
                <w:iCs w:val="1"/>
                <w:color w:val="007CBA"/>
              </w:rPr>
              <w:t>Meetings in 2019:</w:t>
            </w:r>
          </w:p>
        </w:tc>
        <w:tc>
          <w:tcPr>
            <w:tcW w:w="340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2019:</w:t>
            </w:r>
          </w:p>
        </w:tc>
        <w:tc>
          <w:tcPr>
            <w:tcW w:w="0" w:type="dxa"/>
            <w:vAlign w:val="bottom"/>
          </w:tcPr>
          <w:p>
            <w:pPr>
              <w:spacing w:after="0"/>
              <w:rPr>
                <w:sz w:val="1"/>
                <w:szCs w:val="1"/>
                <w:color w:val="auto"/>
              </w:rPr>
            </w:pPr>
          </w:p>
        </w:tc>
      </w:tr>
      <w:tr>
        <w:trPr>
          <w:trHeight w:val="129"/>
        </w:trPr>
        <w:tc>
          <w:tcPr>
            <w:tcW w:w="3740" w:type="dxa"/>
            <w:vAlign w:val="bottom"/>
            <w:tcBorders>
              <w:right w:val="single" w:sz="8" w:color="007CBA"/>
            </w:tcBorders>
          </w:tcPr>
          <w:p>
            <w:pPr>
              <w:ind w:left="220"/>
              <w:spacing w:after="0" w:line="129" w:lineRule="exact"/>
              <w:rPr>
                <w:sz w:val="20"/>
                <w:szCs w:val="20"/>
                <w:color w:val="auto"/>
              </w:rPr>
            </w:pPr>
            <w:r>
              <w:rPr>
                <w:rFonts w:ascii="Arial" w:cs="Arial" w:eastAsia="Arial" w:hAnsi="Arial"/>
                <w:sz w:val="14"/>
                <w:szCs w:val="14"/>
                <w:color w:val="auto"/>
              </w:rPr>
              <w:t>John J. Koraleski (Chair)</w:t>
            </w:r>
          </w:p>
        </w:tc>
        <w:tc>
          <w:tcPr>
            <w:tcW w:w="3740" w:type="dxa"/>
            <w:vAlign w:val="bottom"/>
            <w:tcBorders>
              <w:right w:val="single" w:sz="8" w:color="007CBA"/>
            </w:tcBorders>
            <w:vMerge w:val="continue"/>
          </w:tcPr>
          <w:p>
            <w:pPr>
              <w:spacing w:after="0"/>
              <w:rPr>
                <w:sz w:val="11"/>
                <w:szCs w:val="11"/>
                <w:color w:val="auto"/>
              </w:rPr>
            </w:pP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74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Thomas H. Pike</w:t>
            </w:r>
          </w:p>
        </w:tc>
        <w:tc>
          <w:tcPr>
            <w:tcW w:w="3740" w:type="dxa"/>
            <w:vAlign w:val="bottom"/>
            <w:tcBorders>
              <w:right w:val="single" w:sz="8" w:color="007CBA"/>
            </w:tcBorders>
          </w:tcPr>
          <w:p>
            <w:pPr>
              <w:jc w:val="right"/>
              <w:ind w:right="1669"/>
              <w:spacing w:after="0"/>
              <w:rPr>
                <w:sz w:val="20"/>
                <w:szCs w:val="20"/>
                <w:color w:val="auto"/>
              </w:rPr>
            </w:pPr>
            <w:r>
              <w:rPr>
                <w:rFonts w:ascii="Arial" w:cs="Arial" w:eastAsia="Arial" w:hAnsi="Arial"/>
                <w:sz w:val="14"/>
                <w:szCs w:val="14"/>
                <w:color w:val="auto"/>
              </w:rPr>
              <w:t>4</w:t>
            </w:r>
          </w:p>
        </w:tc>
        <w:tc>
          <w:tcPr>
            <w:tcW w:w="3400" w:type="dxa"/>
            <w:vAlign w:val="bottom"/>
          </w:tcPr>
          <w:p>
            <w:pPr>
              <w:jc w:val="right"/>
              <w:ind w:right="142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9"/>
        </w:trPr>
        <w:tc>
          <w:tcPr>
            <w:tcW w:w="374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Michael J. Quillen</w:t>
            </w:r>
          </w:p>
        </w:tc>
        <w:tc>
          <w:tcPr>
            <w:tcW w:w="3740" w:type="dxa"/>
            <w:vAlign w:val="bottom"/>
            <w:tcBorders>
              <w:bottom w:val="single" w:sz="8" w:color="007CBA"/>
              <w:right w:val="single" w:sz="8" w:color="007CBA"/>
            </w:tcBorders>
          </w:tcPr>
          <w:p>
            <w:pPr>
              <w:spacing w:after="0"/>
              <w:rPr>
                <w:sz w:val="14"/>
                <w:szCs w:val="14"/>
                <w:color w:val="auto"/>
              </w:rPr>
            </w:pPr>
          </w:p>
        </w:tc>
        <w:tc>
          <w:tcPr>
            <w:tcW w:w="340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7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40" w:hanging="227"/>
        <w:spacing w:after="0"/>
        <w:tabs>
          <w:tab w:leader="none" w:pos="64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Establishes an overall strategy with respect to compensation for officers and management to enable Martin Marietta to attract and retain qualified employees.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Reviews and oversees executive succession and management development plans.</w:t>
      </w:r>
    </w:p>
    <w:p>
      <w:pPr>
        <w:spacing w:after="0" w:line="78" w:lineRule="exact"/>
        <w:rPr>
          <w:rFonts w:ascii="Arial" w:cs="Arial" w:eastAsia="Arial" w:hAnsi="Arial"/>
          <w:sz w:val="14"/>
          <w:szCs w:val="14"/>
          <w:color w:val="007CBA"/>
        </w:rPr>
      </w:pPr>
    </w:p>
    <w:p>
      <w:pPr>
        <w:ind w:left="620" w:right="220" w:hanging="207"/>
        <w:spacing w:after="0" w:line="252" w:lineRule="auto"/>
        <w:tabs>
          <w:tab w:leader="none" w:pos="627"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Reviews and approves management’s assessment of the performance of executive officers, and reviews and approves the salary, incentive compensation, and other compensation of such officers.</w:t>
      </w:r>
    </w:p>
    <w:p>
      <w:pPr>
        <w:spacing w:after="0" w:line="61" w:lineRule="exact"/>
        <w:rPr>
          <w:rFonts w:ascii="Arial" w:cs="Arial" w:eastAsia="Arial" w:hAnsi="Arial"/>
          <w:sz w:val="14"/>
          <w:szCs w:val="14"/>
          <w:color w:val="007CBA"/>
        </w:rPr>
      </w:pPr>
    </w:p>
    <w:p>
      <w:pPr>
        <w:ind w:left="620" w:hanging="207"/>
        <w:spacing w:after="0"/>
        <w:tabs>
          <w:tab w:leader="none" w:pos="62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Approves and administers our equity and other plans relating to compensation of Martin Marietta’s directors and executive officers.</w:t>
      </w:r>
    </w:p>
    <w:p>
      <w:pPr>
        <w:spacing w:after="0" w:line="78" w:lineRule="exact"/>
        <w:rPr>
          <w:rFonts w:ascii="Arial" w:cs="Arial" w:eastAsia="Arial" w:hAnsi="Arial"/>
          <w:sz w:val="14"/>
          <w:szCs w:val="14"/>
          <w:color w:val="007CBA"/>
        </w:rPr>
      </w:pPr>
    </w:p>
    <w:p>
      <w:pPr>
        <w:ind w:left="620" w:right="220" w:hanging="207"/>
        <w:spacing w:after="0" w:line="252" w:lineRule="auto"/>
        <w:tabs>
          <w:tab w:leader="none" w:pos="627"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Reviews and discusses the Compensation Discussion and Analysis and produces a compensation committee report as required by the SEC to be included in this proxy statement.</w:t>
      </w:r>
    </w:p>
    <w:p>
      <w:pPr>
        <w:spacing w:after="0" w:line="61" w:lineRule="exact"/>
        <w:rPr>
          <w:rFonts w:ascii="Arial" w:cs="Arial" w:eastAsia="Arial" w:hAnsi="Arial"/>
          <w:sz w:val="14"/>
          <w:szCs w:val="14"/>
          <w:color w:val="007CBA"/>
        </w:rPr>
      </w:pPr>
    </w:p>
    <w:p>
      <w:pPr>
        <w:ind w:left="640" w:hanging="227"/>
        <w:spacing w:after="0"/>
        <w:tabs>
          <w:tab w:leader="none" w:pos="64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Provides oversight of our Benefit Plan Committee, which administers Martin Marietta’s defined benefit and contribution plans.</w:t>
      </w:r>
    </w:p>
    <w:p>
      <w:pPr>
        <w:spacing w:after="0" w:line="78" w:lineRule="exact"/>
        <w:rPr>
          <w:rFonts w:ascii="Arial" w:cs="Arial" w:eastAsia="Arial" w:hAnsi="Arial"/>
          <w:sz w:val="14"/>
          <w:szCs w:val="14"/>
          <w:color w:val="007CBA"/>
        </w:rPr>
      </w:pPr>
    </w:p>
    <w:p>
      <w:pPr>
        <w:ind w:left="620" w:right="220" w:hanging="207"/>
        <w:spacing w:after="0" w:line="252" w:lineRule="auto"/>
        <w:tabs>
          <w:tab w:leader="none" w:pos="627"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Reviews and approves the goals and objectives for the CEO’s compensation, evaluates the CEO’s performance in light of those goals and objectives, and determines and approves the CEO’s compensation.</w:t>
      </w:r>
    </w:p>
    <w:p>
      <w:pPr>
        <w:spacing w:after="0" w:line="61" w:lineRule="exact"/>
        <w:rPr>
          <w:rFonts w:ascii="Arial" w:cs="Arial" w:eastAsia="Arial" w:hAnsi="Arial"/>
          <w:sz w:val="14"/>
          <w:szCs w:val="14"/>
          <w:color w:val="007CBA"/>
        </w:rPr>
      </w:pPr>
    </w:p>
    <w:p>
      <w:pPr>
        <w:ind w:left="640" w:hanging="227"/>
        <w:spacing w:after="0"/>
        <w:tabs>
          <w:tab w:leader="none" w:pos="64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Makes recommendations to the Board on changes in the compensation of non-employee directors.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78" w:lineRule="exact"/>
        <w:rPr>
          <w:rFonts w:ascii="Arial" w:cs="Arial" w:eastAsia="Arial" w:hAnsi="Arial"/>
          <w:sz w:val="14"/>
          <w:szCs w:val="14"/>
          <w:color w:val="007CBA"/>
        </w:rPr>
      </w:pPr>
    </w:p>
    <w:p>
      <w:pPr>
        <w:ind w:left="620" w:right="220" w:hanging="207"/>
        <w:spacing w:after="0" w:line="252" w:lineRule="auto"/>
        <w:tabs>
          <w:tab w:leader="none" w:pos="627"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Has the authority, in its sole discretion, to retain, pay, and terminate any consulting firm, if any, used to assist in evaluating director, CEO, or senior executive compensation.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007CBA"/>
        </w:rPr>
        <w:t>Other Governance Matters:</w:t>
      </w:r>
    </w:p>
    <w:p>
      <w:pPr>
        <w:spacing w:after="0" w:line="15" w:lineRule="exact"/>
        <w:rPr>
          <w:sz w:val="20"/>
          <w:szCs w:val="20"/>
          <w:color w:val="auto"/>
        </w:rPr>
      </w:pPr>
    </w:p>
    <w:p>
      <w:pPr>
        <w:ind w:left="420" w:right="360"/>
        <w:spacing w:after="0" w:line="252" w:lineRule="auto"/>
        <w:rPr>
          <w:sz w:val="20"/>
          <w:szCs w:val="20"/>
          <w:color w:val="auto"/>
        </w:rPr>
      </w:pPr>
      <w:r>
        <w:rPr>
          <w:rFonts w:ascii="Arial" w:cs="Arial" w:eastAsia="Arial" w:hAnsi="Arial"/>
          <w:sz w:val="14"/>
          <w:szCs w:val="14"/>
          <w:color w:val="auto"/>
        </w:rPr>
        <w:t xml:space="preserve">All members are non-employee, independent Directors, as required by the rules of the NYSE, the Martin Marietta </w:t>
      </w:r>
      <w:r>
        <w:rPr>
          <w:rFonts w:ascii="Arial" w:cs="Arial" w:eastAsia="Arial" w:hAnsi="Arial"/>
          <w:sz w:val="14"/>
          <w:szCs w:val="14"/>
          <w:i w:val="1"/>
          <w:iCs w:val="1"/>
          <w:color w:val="auto"/>
        </w:rPr>
        <w:t>Guidelines for Director’s Independence</w:t>
      </w:r>
      <w:r>
        <w:rPr>
          <w:rFonts w:ascii="Arial" w:cs="Arial" w:eastAsia="Arial" w:hAnsi="Arial"/>
          <w:sz w:val="14"/>
          <w:szCs w:val="14"/>
          <w:color w:val="auto"/>
        </w:rPr>
        <w:t>, applicable rules of the SEC, and the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273050</wp:posOffset>
            </wp:positionV>
            <wp:extent cx="6913880" cy="2826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13880" cy="282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374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740" w:type="dxa"/>
            <w:vAlign w:val="bottom"/>
            <w:tcBorders>
              <w:right w:val="single" w:sz="8" w:color="007CBA"/>
            </w:tcBorders>
            <w:vMerge w:val="restart"/>
          </w:tcPr>
          <w:p>
            <w:pPr>
              <w:jc w:val="center"/>
              <w:ind w:left="89"/>
              <w:spacing w:after="0"/>
              <w:rPr>
                <w:sz w:val="20"/>
                <w:szCs w:val="20"/>
                <w:color w:val="auto"/>
              </w:rPr>
            </w:pPr>
            <w:r>
              <w:rPr>
                <w:rFonts w:ascii="Arial" w:cs="Arial" w:eastAsia="Arial" w:hAnsi="Arial"/>
                <w:sz w:val="14"/>
                <w:szCs w:val="14"/>
                <w:b w:val="1"/>
                <w:bCs w:val="1"/>
                <w:i w:val="1"/>
                <w:iCs w:val="1"/>
                <w:color w:val="007CBA"/>
              </w:rPr>
              <w:t>Meetings in 2019:</w:t>
            </w:r>
          </w:p>
        </w:tc>
        <w:tc>
          <w:tcPr>
            <w:tcW w:w="340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2019:</w:t>
            </w:r>
          </w:p>
        </w:tc>
        <w:tc>
          <w:tcPr>
            <w:tcW w:w="0" w:type="dxa"/>
            <w:vAlign w:val="bottom"/>
          </w:tcPr>
          <w:p>
            <w:pPr>
              <w:spacing w:after="0"/>
              <w:rPr>
                <w:sz w:val="1"/>
                <w:szCs w:val="1"/>
                <w:color w:val="auto"/>
              </w:rPr>
            </w:pPr>
          </w:p>
        </w:tc>
      </w:tr>
      <w:tr>
        <w:trPr>
          <w:trHeight w:val="129"/>
        </w:trPr>
        <w:tc>
          <w:tcPr>
            <w:tcW w:w="3740" w:type="dxa"/>
            <w:vAlign w:val="bottom"/>
            <w:tcBorders>
              <w:right w:val="single" w:sz="8" w:color="007CBA"/>
            </w:tcBorders>
          </w:tcPr>
          <w:p>
            <w:pPr>
              <w:ind w:left="220"/>
              <w:spacing w:after="0" w:line="129" w:lineRule="exact"/>
              <w:rPr>
                <w:sz w:val="20"/>
                <w:szCs w:val="20"/>
                <w:color w:val="auto"/>
              </w:rPr>
            </w:pPr>
            <w:r>
              <w:rPr>
                <w:rFonts w:ascii="Arial" w:cs="Arial" w:eastAsia="Arial" w:hAnsi="Arial"/>
                <w:sz w:val="14"/>
                <w:szCs w:val="14"/>
                <w:color w:val="auto"/>
              </w:rPr>
              <w:t>Donald W. Slager (Chair)</w:t>
            </w:r>
          </w:p>
        </w:tc>
        <w:tc>
          <w:tcPr>
            <w:tcW w:w="3740" w:type="dxa"/>
            <w:vAlign w:val="bottom"/>
            <w:tcBorders>
              <w:right w:val="single" w:sz="8" w:color="007CBA"/>
            </w:tcBorders>
            <w:vMerge w:val="continue"/>
          </w:tcPr>
          <w:p>
            <w:pPr>
              <w:spacing w:after="0"/>
              <w:rPr>
                <w:sz w:val="11"/>
                <w:szCs w:val="11"/>
                <w:color w:val="auto"/>
              </w:rPr>
            </w:pP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74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Sue W. Cole</w:t>
            </w:r>
          </w:p>
        </w:tc>
        <w:tc>
          <w:tcPr>
            <w:tcW w:w="3740" w:type="dxa"/>
            <w:vAlign w:val="bottom"/>
            <w:tcBorders>
              <w:right w:val="single" w:sz="8" w:color="007CBA"/>
            </w:tcBorders>
          </w:tcPr>
          <w:p>
            <w:pPr>
              <w:jc w:val="right"/>
              <w:ind w:right="1669"/>
              <w:spacing w:after="0"/>
              <w:rPr>
                <w:sz w:val="20"/>
                <w:szCs w:val="20"/>
                <w:color w:val="auto"/>
              </w:rPr>
            </w:pPr>
            <w:r>
              <w:rPr>
                <w:rFonts w:ascii="Arial" w:cs="Arial" w:eastAsia="Arial" w:hAnsi="Arial"/>
                <w:sz w:val="14"/>
                <w:szCs w:val="14"/>
                <w:color w:val="auto"/>
              </w:rPr>
              <w:t>5</w:t>
            </w:r>
          </w:p>
        </w:tc>
        <w:tc>
          <w:tcPr>
            <w:tcW w:w="3400" w:type="dxa"/>
            <w:vAlign w:val="bottom"/>
          </w:tcPr>
          <w:p>
            <w:pPr>
              <w:jc w:val="right"/>
              <w:ind w:right="142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9"/>
        </w:trPr>
        <w:tc>
          <w:tcPr>
            <w:tcW w:w="374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Smith W. Davis</w:t>
            </w:r>
          </w:p>
        </w:tc>
        <w:tc>
          <w:tcPr>
            <w:tcW w:w="3740" w:type="dxa"/>
            <w:vAlign w:val="bottom"/>
            <w:tcBorders>
              <w:bottom w:val="single" w:sz="8" w:color="007CBA"/>
              <w:right w:val="single" w:sz="8" w:color="007CBA"/>
            </w:tcBorders>
          </w:tcPr>
          <w:p>
            <w:pPr>
              <w:spacing w:after="0"/>
              <w:rPr>
                <w:sz w:val="14"/>
                <w:szCs w:val="14"/>
                <w:color w:val="auto"/>
              </w:rPr>
            </w:pPr>
          </w:p>
        </w:tc>
        <w:tc>
          <w:tcPr>
            <w:tcW w:w="340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7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20" w:right="380" w:hanging="207"/>
        <w:spacing w:after="0" w:line="252" w:lineRule="auto"/>
        <w:tabs>
          <w:tab w:leader="none" w:pos="627" w:val="left"/>
        </w:tabs>
        <w:numPr>
          <w:ilvl w:val="0"/>
          <w:numId w:val="40"/>
        </w:numPr>
        <w:rPr>
          <w:rFonts w:ascii="Arial" w:cs="Arial" w:eastAsia="Arial" w:hAnsi="Arial"/>
          <w:sz w:val="14"/>
          <w:szCs w:val="14"/>
          <w:color w:val="007CBA"/>
        </w:rPr>
      </w:pPr>
      <w:r>
        <w:rPr>
          <w:rFonts w:ascii="Arial" w:cs="Arial" w:eastAsia="Arial" w:hAnsi="Arial"/>
          <w:sz w:val="14"/>
          <w:szCs w:val="14"/>
          <w:color w:val="auto"/>
        </w:rPr>
        <w:t>Develops criteria for nominating and appointing directors, including Board size and composition, corporate governance policies, and individual director expertise, attributes and skills.</w:t>
      </w:r>
    </w:p>
    <w:p>
      <w:pPr>
        <w:spacing w:after="0" w:line="61" w:lineRule="exact"/>
        <w:rPr>
          <w:rFonts w:ascii="Arial" w:cs="Arial" w:eastAsia="Arial" w:hAnsi="Arial"/>
          <w:sz w:val="14"/>
          <w:szCs w:val="14"/>
          <w:color w:val="007CBA"/>
        </w:rPr>
      </w:pPr>
    </w:p>
    <w:p>
      <w:pPr>
        <w:ind w:left="640" w:hanging="227"/>
        <w:spacing w:after="0"/>
        <w:tabs>
          <w:tab w:leader="none" w:pos="640" w:val="left"/>
        </w:tabs>
        <w:numPr>
          <w:ilvl w:val="0"/>
          <w:numId w:val="40"/>
        </w:numPr>
        <w:rPr>
          <w:rFonts w:ascii="Arial" w:cs="Arial" w:eastAsia="Arial" w:hAnsi="Arial"/>
          <w:sz w:val="14"/>
          <w:szCs w:val="14"/>
          <w:color w:val="007CBA"/>
        </w:rPr>
      </w:pPr>
      <w:r>
        <w:rPr>
          <w:rFonts w:ascii="Arial" w:cs="Arial" w:eastAsia="Arial" w:hAnsi="Arial"/>
          <w:sz w:val="14"/>
          <w:szCs w:val="14"/>
          <w:color w:val="auto"/>
        </w:rPr>
        <w:t>Recommends to the Board the individuals to be nominated as directors.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40"/>
        </w:numPr>
        <w:rPr>
          <w:rFonts w:ascii="Arial" w:cs="Arial" w:eastAsia="Arial" w:hAnsi="Arial"/>
          <w:sz w:val="14"/>
          <w:szCs w:val="14"/>
          <w:color w:val="007CBA"/>
        </w:rPr>
      </w:pPr>
      <w:r>
        <w:rPr>
          <w:rFonts w:ascii="Arial" w:cs="Arial" w:eastAsia="Arial" w:hAnsi="Arial"/>
          <w:sz w:val="14"/>
          <w:szCs w:val="14"/>
          <w:color w:val="auto"/>
        </w:rPr>
        <w:t>Recommends to the Board the appointees to be selected for service on the Board Committees.</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40"/>
        </w:numPr>
        <w:rPr>
          <w:rFonts w:ascii="Arial" w:cs="Arial" w:eastAsia="Arial" w:hAnsi="Arial"/>
          <w:sz w:val="14"/>
          <w:szCs w:val="14"/>
          <w:color w:val="007CBA"/>
        </w:rPr>
      </w:pPr>
      <w:r>
        <w:rPr>
          <w:rFonts w:ascii="Arial" w:cs="Arial" w:eastAsia="Arial" w:hAnsi="Arial"/>
          <w:sz w:val="14"/>
          <w:szCs w:val="14"/>
          <w:color w:val="auto"/>
        </w:rPr>
        <w:t>Oversees an annual review of the performance of the Board and each Committee.</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40"/>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78" w:lineRule="exact"/>
        <w:rPr>
          <w:rFonts w:ascii="Arial" w:cs="Arial" w:eastAsia="Arial" w:hAnsi="Arial"/>
          <w:sz w:val="14"/>
          <w:szCs w:val="14"/>
          <w:color w:val="007CBA"/>
        </w:rPr>
      </w:pPr>
    </w:p>
    <w:p>
      <w:pPr>
        <w:ind w:left="640" w:hanging="227"/>
        <w:spacing w:after="0"/>
        <w:tabs>
          <w:tab w:leader="none" w:pos="640" w:val="left"/>
        </w:tabs>
        <w:numPr>
          <w:ilvl w:val="0"/>
          <w:numId w:val="40"/>
        </w:numPr>
        <w:rPr>
          <w:rFonts w:ascii="Arial" w:cs="Arial" w:eastAsia="Arial" w:hAnsi="Arial"/>
          <w:sz w:val="14"/>
          <w:szCs w:val="14"/>
          <w:color w:val="007CBA"/>
        </w:rPr>
      </w:pPr>
      <w:r>
        <w:rPr>
          <w:rFonts w:ascii="Arial" w:cs="Arial" w:eastAsia="Arial" w:hAnsi="Arial"/>
          <w:sz w:val="14"/>
          <w:szCs w:val="14"/>
          <w:color w:val="auto"/>
        </w:rPr>
        <w:t>Oversees the development and implementation of a set of corporate governance principles applicable to Martin Marietta.</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007CBA"/>
        </w:rPr>
        <w:t>Other Governance Matters: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All members are non-employee, independent Directors, as required by the rules of the NYSE.</w:t>
      </w:r>
    </w:p>
    <w:p>
      <w:pPr>
        <w:spacing w:after="0" w:line="65" w:lineRule="exact"/>
        <w:rPr>
          <w:sz w:val="20"/>
          <w:szCs w:val="20"/>
          <w:color w:val="auto"/>
        </w:rPr>
      </w:pPr>
    </w:p>
    <w:p>
      <w:pPr>
        <w:jc w:val="both"/>
        <w:ind w:left="420" w:right="160"/>
        <w:spacing w:after="0" w:line="255" w:lineRule="auto"/>
        <w:rPr>
          <w:sz w:val="20"/>
          <w:szCs w:val="20"/>
          <w:color w:val="auto"/>
        </w:rPr>
      </w:pPr>
      <w:r>
        <w:rPr>
          <w:rFonts w:ascii="Arial" w:cs="Arial" w:eastAsia="Arial" w:hAnsi="Arial"/>
          <w:sz w:val="14"/>
          <w:szCs w:val="14"/>
          <w:color w:val="auto"/>
        </w:rPr>
        <w:t xml:space="preserve">Upon recommendation of this Committee, the Board of Directors has adopted a set of </w:t>
      </w:r>
      <w:r>
        <w:rPr>
          <w:rFonts w:ascii="Arial" w:cs="Arial" w:eastAsia="Arial" w:hAnsi="Arial"/>
          <w:sz w:val="14"/>
          <w:szCs w:val="14"/>
          <w:i w:val="1"/>
          <w:iCs w:val="1"/>
          <w:color w:val="auto"/>
        </w:rPr>
        <w:t>Corporate Governance Guidelines</w:t>
      </w:r>
      <w:r>
        <w:rPr>
          <w:rFonts w:ascii="Arial" w:cs="Arial" w:eastAsia="Arial" w:hAnsi="Arial"/>
          <w:sz w:val="14"/>
          <w:szCs w:val="14"/>
          <w:color w:val="auto"/>
        </w:rPr>
        <w:t xml:space="preserve"> for Martin Marietta. The Guidelines are posted and available for public viewing on our website at </w:t>
      </w:r>
      <w:r>
        <w:rPr>
          <w:rFonts w:ascii="Arial" w:cs="Arial" w:eastAsia="Arial" w:hAnsi="Arial"/>
          <w:sz w:val="14"/>
          <w:szCs w:val="14"/>
          <w:i w:val="1"/>
          <w:iCs w:val="1"/>
          <w:color w:val="auto"/>
        </w:rPr>
        <w:t>https://ir.martinmarietta.com/corporate-governance.</w:t>
      </w:r>
      <w:r>
        <w:rPr>
          <w:rFonts w:ascii="Arial" w:cs="Arial" w:eastAsia="Arial" w:hAnsi="Arial"/>
          <w:sz w:val="14"/>
          <w:szCs w:val="14"/>
          <w:color w:val="auto"/>
        </w:rPr>
        <w:t xml:space="preserve"> A copy may also be obtained upon request from Martin Marietta’s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145415</wp:posOffset>
            </wp:positionV>
            <wp:extent cx="406400" cy="245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43" w:lineRule="exact"/>
        <w:rPr>
          <w:sz w:val="20"/>
          <w:szCs w:val="20"/>
          <w:color w:val="auto"/>
        </w:rPr>
      </w:pPr>
    </w:p>
    <w:p>
      <w:pPr>
        <w:ind w:left="620" w:hanging="433"/>
        <w:spacing w:after="0"/>
        <w:tabs>
          <w:tab w:leader="none" w:pos="620" w:val="left"/>
        </w:tabs>
        <w:numPr>
          <w:ilvl w:val="0"/>
          <w:numId w:val="41"/>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80"/>
          </w:cols>
          <w:pgMar w:left="320" w:top="455"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0"/>
        <w:spacing w:after="0"/>
        <w:rPr>
          <w:sz w:val="20"/>
          <w:szCs w:val="20"/>
          <w:color w:val="auto"/>
        </w:rPr>
      </w:pPr>
      <w:r>
        <w:rPr>
          <w:rFonts w:ascii="Arial" w:cs="Arial" w:eastAsia="Arial" w:hAnsi="Arial"/>
          <w:sz w:val="43"/>
          <w:szCs w:val="43"/>
          <w:color w:val="auto"/>
        </w:rPr>
        <w:t>Proposal 1</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Election of Directors</w:t>
      </w:r>
    </w:p>
    <w:p>
      <w:pPr>
        <w:spacing w:after="0" w:line="249"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following sets forth the age, experience, key attributes and other biographical information for each nominee for election as a director for a one-year term until 2021.</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line="230" w:lineRule="exact"/>
        <w:rPr>
          <w:sz w:val="20"/>
          <w:szCs w:val="20"/>
          <w:color w:val="auto"/>
        </w:rPr>
      </w:pPr>
      <w:r>
        <w:rPr>
          <w:rFonts w:ascii="MS PGothic" w:cs="MS PGothic" w:eastAsia="MS PGothic" w:hAnsi="MS PGothic"/>
          <w:sz w:val="20"/>
          <w:szCs w:val="20"/>
          <w:color w:val="007CBA"/>
        </w:rPr>
        <w:t>◆</w:t>
      </w:r>
      <w:r>
        <w:rPr>
          <w:rFonts w:ascii="Arial" w:cs="Arial" w:eastAsia="Arial" w:hAnsi="Arial"/>
          <w:sz w:val="20"/>
          <w:szCs w:val="20"/>
          <w:b w:val="1"/>
          <w:bCs w:val="1"/>
          <w:color w:val="007CBA"/>
        </w:rPr>
        <w:t>DOROTHY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-1553845</wp:posOffset>
            </wp:positionV>
            <wp:extent cx="1108710" cy="1438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45"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007CBA"/>
        </w:rPr>
        <w:t>ABLES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304800" cy="304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480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Ms. Ables joined the Martin Marietta Board in November 2018. Ms. Ables held a number of executive positions with Spectra Energy and predecessor companies, including serving from 2008 to 2017 as the Chief Administrative Officer of Spectra Energy Corp., a North American energy infrastructure company, where she was responsible for human resources, information technology, support services, community relations and audit services. Prior to that, she served as Vice President of Audit Services and Chief Ethics and Compliance Officer for Spectra Energy, Vice President and Chief Compliance Officer for Duke Energy Corporation, an American electric power holding company, and Senior Vice President and Chief Financial Officer for Duke Energy Gas Transmission. Spectra Energy was a Fortune 500 Company and one of North America’s leading pipeline and midstream companies prior to its acquisition by Enbridge Inc. in 2017. Ms. Ables started her career in the audit department of Peat, Marwick, Mitchell &amp; Co.</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Ms. Ables serves as an Independent Director of Cabot Oil &amp; Gas Corporation, an independent oil and gas company, where she is Chair of the audit committee and a member of the compensation committee. She served as a Director of Spectra Energy Partners, an affiliate of Spectra Energy Corp., from 2013 to 2017. Ms. Ables attended the University of Texas at Austin where she earned a Bachelor of Business Administration degree in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425450</wp:posOffset>
            </wp:positionV>
            <wp:extent cx="69056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280" w:hanging="168"/>
        <w:spacing w:after="0" w:line="254" w:lineRule="auto"/>
        <w:tabs>
          <w:tab w:leader="none" w:pos="260" w:val="left"/>
        </w:tabs>
        <w:numPr>
          <w:ilvl w:val="0"/>
          <w:numId w:val="42"/>
        </w:numPr>
        <w:rPr>
          <w:rFonts w:ascii="Arial" w:cs="Arial" w:eastAsia="Arial" w:hAnsi="Arial"/>
          <w:sz w:val="16"/>
          <w:szCs w:val="16"/>
          <w:color w:val="007CBA"/>
        </w:rPr>
      </w:pPr>
      <w:r>
        <w:rPr>
          <w:rFonts w:ascii="Arial" w:cs="Arial" w:eastAsia="Arial" w:hAnsi="Arial"/>
          <w:sz w:val="16"/>
          <w:szCs w:val="16"/>
          <w:color w:val="auto"/>
        </w:rPr>
        <w:t>More than 8 years of C-Suite experience</w:t>
      </w:r>
    </w:p>
    <w:p>
      <w:pPr>
        <w:spacing w:after="0" w:line="50" w:lineRule="exact"/>
        <w:rPr>
          <w:rFonts w:ascii="Arial" w:cs="Arial" w:eastAsia="Arial" w:hAnsi="Arial"/>
          <w:sz w:val="16"/>
          <w:szCs w:val="16"/>
          <w:color w:val="007CBA"/>
        </w:rPr>
      </w:pPr>
    </w:p>
    <w:p>
      <w:pPr>
        <w:ind w:left="260" w:right="40" w:hanging="168"/>
        <w:spacing w:after="0" w:line="245" w:lineRule="auto"/>
        <w:tabs>
          <w:tab w:leader="none" w:pos="260" w:val="left"/>
        </w:tabs>
        <w:numPr>
          <w:ilvl w:val="0"/>
          <w:numId w:val="42"/>
        </w:numPr>
        <w:rPr>
          <w:rFonts w:ascii="Arial" w:cs="Arial" w:eastAsia="Arial" w:hAnsi="Arial"/>
          <w:sz w:val="16"/>
          <w:szCs w:val="16"/>
          <w:color w:val="007CBA"/>
        </w:rPr>
      </w:pPr>
      <w:r>
        <w:rPr>
          <w:rFonts w:ascii="Arial" w:cs="Arial" w:eastAsia="Arial" w:hAnsi="Arial"/>
          <w:sz w:val="16"/>
          <w:szCs w:val="16"/>
          <w:color w:val="auto"/>
        </w:rPr>
        <w:t>Financial expertise acquired through serving as CFO of Duke Energy Gas Transmission and as Vice President of Audit Services and Chief Compliance Officer of Spectra Energy Corp. and Duke Energy Corporation</w:t>
      </w:r>
    </w:p>
    <w:p>
      <w:pPr>
        <w:spacing w:after="0" w:line="57" w:lineRule="exact"/>
        <w:rPr>
          <w:rFonts w:ascii="Arial" w:cs="Arial" w:eastAsia="Arial" w:hAnsi="Arial"/>
          <w:sz w:val="16"/>
          <w:szCs w:val="16"/>
          <w:color w:val="007CBA"/>
        </w:rPr>
      </w:pPr>
    </w:p>
    <w:p>
      <w:pPr>
        <w:ind w:left="260" w:right="20" w:hanging="168"/>
        <w:spacing w:after="0" w:line="269" w:lineRule="auto"/>
        <w:tabs>
          <w:tab w:leader="none" w:pos="260" w:val="left"/>
        </w:tabs>
        <w:numPr>
          <w:ilvl w:val="0"/>
          <w:numId w:val="42"/>
        </w:numPr>
        <w:rPr>
          <w:rFonts w:ascii="Arial" w:cs="Arial" w:eastAsia="Arial" w:hAnsi="Arial"/>
          <w:sz w:val="15"/>
          <w:szCs w:val="15"/>
          <w:color w:val="007CBA"/>
        </w:rPr>
      </w:pPr>
      <w:r>
        <w:rPr>
          <w:rFonts w:ascii="Arial" w:cs="Arial" w:eastAsia="Arial" w:hAnsi="Arial"/>
          <w:sz w:val="15"/>
          <w:szCs w:val="15"/>
          <w:color w:val="auto"/>
        </w:rPr>
        <w:t>Valuable business leadership in human resources, information technology, community relations, finance and financial statements</w:t>
      </w:r>
    </w:p>
    <w:p>
      <w:pPr>
        <w:spacing w:after="0" w:line="39" w:lineRule="exact"/>
        <w:rPr>
          <w:rFonts w:ascii="Arial" w:cs="Arial" w:eastAsia="Arial" w:hAnsi="Arial"/>
          <w:sz w:val="15"/>
          <w:szCs w:val="15"/>
          <w:color w:val="007CBA"/>
        </w:rPr>
      </w:pPr>
    </w:p>
    <w:p>
      <w:pPr>
        <w:ind w:left="260" w:right="40" w:hanging="168"/>
        <w:spacing w:after="0" w:line="249" w:lineRule="auto"/>
        <w:tabs>
          <w:tab w:leader="none" w:pos="260" w:val="left"/>
        </w:tabs>
        <w:numPr>
          <w:ilvl w:val="0"/>
          <w:numId w:val="42"/>
        </w:numPr>
        <w:rPr>
          <w:rFonts w:ascii="Arial" w:cs="Arial" w:eastAsia="Arial" w:hAnsi="Arial"/>
          <w:sz w:val="16"/>
          <w:szCs w:val="16"/>
          <w:color w:val="007CBA"/>
        </w:rPr>
      </w:pPr>
      <w:r>
        <w:rPr>
          <w:rFonts w:ascii="Arial" w:cs="Arial" w:eastAsia="Arial" w:hAnsi="Arial"/>
          <w:sz w:val="16"/>
          <w:szCs w:val="16"/>
          <w:color w:val="auto"/>
        </w:rPr>
        <w:t>Strong leadership skills and familiarity with Texas, an important state for the Company</w:t>
      </w:r>
    </w:p>
    <w:p>
      <w:pPr>
        <w:spacing w:after="0" w:line="407" w:lineRule="exact"/>
        <w:rPr>
          <w:sz w:val="20"/>
          <w:szCs w:val="20"/>
          <w:color w:val="auto"/>
        </w:rPr>
      </w:pPr>
    </w:p>
    <w:p>
      <w:pPr>
        <w:sectPr>
          <w:pgSz w:w="11900" w:h="16838" w:orient="portrait"/>
          <w:cols w:equalWidth="0" w:num="3">
            <w:col w:w="1820" w:space="720"/>
            <w:col w:w="5660" w:space="260"/>
            <w:col w:w="260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line="230" w:lineRule="exact"/>
        <w:rPr>
          <w:sz w:val="20"/>
          <w:szCs w:val="20"/>
          <w:color w:val="auto"/>
        </w:rPr>
      </w:pPr>
      <w:r>
        <w:rPr>
          <w:rFonts w:ascii="MS PGothic" w:cs="MS PGothic" w:eastAsia="MS PGothic" w:hAnsi="MS PGothic"/>
          <w:sz w:val="20"/>
          <w:szCs w:val="20"/>
          <w:color w:val="007CBA"/>
        </w:rPr>
        <w:t>◆</w:t>
      </w:r>
      <w:r>
        <w:rPr>
          <w:rFonts w:ascii="Arial" w:cs="Arial" w:eastAsia="Arial" w:hAnsi="Arial"/>
          <w:sz w:val="20"/>
          <w:szCs w:val="20"/>
          <w:b w:val="1"/>
          <w:bCs w:val="1"/>
          <w:color w:val="007CBA"/>
        </w:rPr>
        <w:t>SUE W.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-1553845</wp:posOffset>
            </wp:positionV>
            <wp:extent cx="1108710" cy="1438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2002</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727710" cy="304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71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advisory firm,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serves as Chair of the compensation committee of Biscuitville, Inc., where she was previously Chairman of the Board. Ms. Cole has previously served on the public-company board of UNIFI, Inc. She has also been active in community and charitable organizations, including previously serving as Chairman of the North Carolina Chamber of Commerce, on the investment committee of the University of North Carolina at Greensboro and as a member on the North Carolina Economic Development Board. Ms. Cole attended the University of North Carolina at Greensboro where she earned a Bachelor of Science degree in Business Administration and a Masters in Business Administration in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670560</wp:posOffset>
            </wp:positionV>
            <wp:extent cx="6956425" cy="533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6425" cy="53340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1296670</wp:posOffset>
            </wp:positionV>
            <wp:extent cx="406400" cy="245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32" w:lineRule="exact"/>
        <w:rPr>
          <w:sz w:val="20"/>
          <w:szCs w:val="20"/>
          <w:color w:val="auto"/>
        </w:rPr>
      </w:pPr>
    </w:p>
    <w:p>
      <w:pPr>
        <w:ind w:left="260" w:hanging="168"/>
        <w:spacing w:after="0" w:line="246" w:lineRule="auto"/>
        <w:tabs>
          <w:tab w:leader="none" w:pos="260" w:val="left"/>
        </w:tabs>
        <w:numPr>
          <w:ilvl w:val="0"/>
          <w:numId w:val="43"/>
        </w:numPr>
        <w:rPr>
          <w:rFonts w:ascii="Arial" w:cs="Arial" w:eastAsia="Arial" w:hAnsi="Arial"/>
          <w:sz w:val="16"/>
          <w:szCs w:val="16"/>
          <w:color w:val="007CBA"/>
        </w:rPr>
      </w:pPr>
      <w:r>
        <w:rPr>
          <w:rFonts w:ascii="Arial" w:cs="Arial" w:eastAsia="Arial" w:hAnsi="Arial"/>
          <w:sz w:val="16"/>
          <w:szCs w:val="16"/>
          <w:color w:val="auto"/>
        </w:rPr>
        <w:t>Valuable experience in executive compensation, corporate governance, human resources, finance and financial statements, and customer service</w:t>
      </w:r>
    </w:p>
    <w:p>
      <w:pPr>
        <w:spacing w:after="0" w:line="56" w:lineRule="exact"/>
        <w:rPr>
          <w:rFonts w:ascii="Arial" w:cs="Arial" w:eastAsia="Arial" w:hAnsi="Arial"/>
          <w:sz w:val="16"/>
          <w:szCs w:val="16"/>
          <w:color w:val="007CBA"/>
        </w:rPr>
      </w:pPr>
    </w:p>
    <w:p>
      <w:pPr>
        <w:ind w:left="260" w:right="20" w:hanging="168"/>
        <w:spacing w:after="0" w:line="247" w:lineRule="auto"/>
        <w:tabs>
          <w:tab w:leader="none" w:pos="260" w:val="left"/>
        </w:tabs>
        <w:numPr>
          <w:ilvl w:val="0"/>
          <w:numId w:val="43"/>
        </w:numPr>
        <w:rPr>
          <w:rFonts w:ascii="Arial" w:cs="Arial" w:eastAsia="Arial" w:hAnsi="Arial"/>
          <w:sz w:val="16"/>
          <w:szCs w:val="16"/>
          <w:color w:val="007CBA"/>
        </w:rPr>
      </w:pPr>
      <w:r>
        <w:rPr>
          <w:rFonts w:ascii="Arial" w:cs="Arial" w:eastAsia="Arial" w:hAnsi="Arial"/>
          <w:sz w:val="16"/>
          <w:szCs w:val="16"/>
          <w:color w:val="auto"/>
        </w:rPr>
        <w:t>Chief executive officer of several financial services businesses as well as several non-profit organizations</w:t>
      </w:r>
    </w:p>
    <w:p>
      <w:pPr>
        <w:spacing w:after="0" w:line="55" w:lineRule="exact"/>
        <w:rPr>
          <w:rFonts w:ascii="Arial" w:cs="Arial" w:eastAsia="Arial" w:hAnsi="Arial"/>
          <w:sz w:val="16"/>
          <w:szCs w:val="16"/>
          <w:color w:val="007CBA"/>
        </w:rPr>
      </w:pPr>
    </w:p>
    <w:p>
      <w:pPr>
        <w:ind w:left="260" w:right="200" w:hanging="168"/>
        <w:spacing w:after="0" w:line="247" w:lineRule="auto"/>
        <w:tabs>
          <w:tab w:leader="none" w:pos="260" w:val="left"/>
        </w:tabs>
        <w:numPr>
          <w:ilvl w:val="0"/>
          <w:numId w:val="43"/>
        </w:numPr>
        <w:rPr>
          <w:rFonts w:ascii="Arial" w:cs="Arial" w:eastAsia="Arial" w:hAnsi="Arial"/>
          <w:sz w:val="16"/>
          <w:szCs w:val="16"/>
          <w:color w:val="007CBA"/>
        </w:rPr>
      </w:pPr>
      <w:r>
        <w:rPr>
          <w:rFonts w:ascii="Arial" w:cs="Arial" w:eastAsia="Arial" w:hAnsi="Arial"/>
          <w:sz w:val="16"/>
          <w:szCs w:val="16"/>
          <w:color w:val="auto"/>
        </w:rPr>
        <w:t>Strong leadership skills and familiarity with North Carolina, an important state for the Company</w:t>
      </w:r>
    </w:p>
    <w:p>
      <w:pPr>
        <w:spacing w:after="0" w:line="566" w:lineRule="exact"/>
        <w:rPr>
          <w:sz w:val="20"/>
          <w:szCs w:val="20"/>
          <w:color w:val="auto"/>
        </w:rPr>
      </w:pPr>
    </w:p>
    <w:p>
      <w:pPr>
        <w:sectPr>
          <w:pgSz w:w="11900" w:h="16838" w:orient="portrait"/>
          <w:cols w:equalWidth="0" w:num="3">
            <w:col w:w="1820" w:space="720"/>
            <w:col w:w="5660" w:space="260"/>
            <w:col w:w="260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17</w:t>
            </w:r>
          </w:p>
        </w:tc>
      </w:tr>
    </w:tbl>
    <w:p>
      <w:pPr>
        <w:sectPr>
          <w:pgSz w:w="11900" w:h="16838" w:orient="portrait"/>
          <w:cols w:equalWidth="0" w:num="1">
            <w:col w:w="11060"/>
          </w:cols>
          <w:pgMar w:left="320" w:top="455" w:right="519" w:bottom="1440" w:gutter="0" w:footer="0" w:header="0"/>
          <w:type w:val="continuous"/>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040"/>
          </w:cols>
          <w:pgMar w:left="320" w:top="455" w:right="539" w:bottom="1440" w:gutter="0" w:footer="0" w:header="0"/>
        </w:sectPr>
      </w:pPr>
    </w:p>
    <w:p>
      <w:pPr>
        <w:spacing w:after="0" w:line="289"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Proposal 1: Election of Directors </w:t>
      </w:r>
      <w:r>
        <w:rPr>
          <w:rFonts w:ascii="MS PGothic" w:cs="MS PGothic" w:eastAsia="MS PGothic" w:hAnsi="MS PGothic"/>
          <w:sz w:val="24"/>
          <w:szCs w:val="24"/>
          <w:color w:val="007CB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219710</wp:posOffset>
            </wp:positionV>
            <wp:extent cx="1108710" cy="1438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line="242" w:lineRule="exact"/>
        <w:tabs>
          <w:tab w:leader="none" w:pos="1600" w:val="left"/>
        </w:tabs>
        <w:rPr>
          <w:sz w:val="20"/>
          <w:szCs w:val="20"/>
          <w:color w:val="auto"/>
        </w:rPr>
      </w:pPr>
      <w:r>
        <w:rPr>
          <w:rFonts w:ascii="MS PGothic" w:cs="MS PGothic" w:eastAsia="MS PGothic" w:hAnsi="MS PGothic"/>
          <w:sz w:val="21"/>
          <w:szCs w:val="21"/>
          <w:color w:val="007CBA"/>
        </w:rPr>
        <w:t>◆</w:t>
      </w:r>
      <w:r>
        <w:rPr>
          <w:rFonts w:ascii="Arial" w:cs="Arial" w:eastAsia="Arial" w:hAnsi="Arial"/>
          <w:sz w:val="21"/>
          <w:szCs w:val="21"/>
          <w:b w:val="1"/>
          <w:bCs w:val="1"/>
          <w:color w:val="007CBA"/>
        </w:rPr>
        <w:t>SMITH W.</w:t>
      </w:r>
      <w:r>
        <w:rPr>
          <w:sz w:val="20"/>
          <w:szCs w:val="20"/>
          <w:color w:val="auto"/>
        </w:rPr>
        <w:tab/>
      </w:r>
      <w:r>
        <w:rPr>
          <w:rFonts w:ascii="Arial" w:cs="Arial" w:eastAsia="Arial" w:hAnsi="Arial"/>
          <w:sz w:val="20"/>
          <w:szCs w:val="20"/>
          <w:b w:val="1"/>
          <w:bCs w:val="1"/>
          <w:color w:val="007CBA"/>
        </w:rPr>
        <w:t>DAVIS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727710" cy="304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71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Director Nominees</w:t>
      </w:r>
    </w:p>
    <w:p>
      <w:pPr>
        <w:spacing w:after="0" w:line="186" w:lineRule="exact"/>
        <w:rPr>
          <w:sz w:val="20"/>
          <w:szCs w:val="20"/>
          <w:color w:val="auto"/>
        </w:rPr>
      </w:pPr>
    </w:p>
    <w:p>
      <w:pPr>
        <w:jc w:val="both"/>
        <w:ind w:left="100"/>
        <w:spacing w:after="0" w:line="244" w:lineRule="auto"/>
        <w:rPr>
          <w:sz w:val="20"/>
          <w:szCs w:val="20"/>
          <w:color w:val="auto"/>
        </w:rPr>
      </w:pPr>
      <w:r>
        <w:rPr>
          <w:rFonts w:ascii="Arial" w:cs="Arial" w:eastAsia="Arial" w:hAnsi="Arial"/>
          <w:sz w:val="16"/>
          <w:szCs w:val="16"/>
          <w:color w:val="auto"/>
        </w:rPr>
        <w:t>Mr. Davis is a shareholder at Greenberg Traurig, LLP, an international law firm, where he focuses his practice on both legal reform (litigation-related policy matters) across a broad range of industries and issues related to natural gas pipelines. His work with respect to pipelines has centered on multiemployer pension policy and environmental issues. Previously, Mr. Davis served as senior partner at Akin Gump Strauss Hauer &amp; Feld LLP, an international law firm focused on lobbying, where he provided counsel on a wide variety of legislative and regulatory matters, including those before a variety of congressional committees. Mr. Davis joined Akin Gump in 1979, and his practice included advising on legal matters relating to environmental issues, financial institutions, mergers and acquisitions, and pension reform. Mr. Davis also served on Akin Gump’s compensation and management committees. Prior to joining Akin Gump, Mr. Davis served as a counsel to the House Judiciary Committee. Mr. Davis attended Yale University where he received a Bachelors of Arts degree, magna cum laude, and Yale Law School where he received his Juris Doctor degree.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200" w:hanging="168"/>
        <w:spacing w:after="0" w:line="249"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Extensive experience in legal, compliance, and corporate governance</w:t>
      </w:r>
    </w:p>
    <w:p>
      <w:pPr>
        <w:spacing w:after="0" w:line="67" w:lineRule="exact"/>
        <w:rPr>
          <w:rFonts w:ascii="Arial" w:cs="Arial" w:eastAsia="Arial" w:hAnsi="Arial"/>
          <w:sz w:val="16"/>
          <w:szCs w:val="16"/>
          <w:color w:val="007CBA"/>
        </w:rPr>
      </w:pPr>
    </w:p>
    <w:p>
      <w:pPr>
        <w:ind w:left="260" w:right="80" w:hanging="168"/>
        <w:spacing w:after="0" w:line="245"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Strong leadership skills and expertise in governmental and regulatory issues, safety, health and environmental matters, mergers and acquisitions, executive compensation, financial affairs, and risk assessment</w:t>
      </w:r>
    </w:p>
    <w:p>
      <w:pPr>
        <w:spacing w:after="0" w:line="70" w:lineRule="exact"/>
        <w:rPr>
          <w:rFonts w:ascii="Arial" w:cs="Arial" w:eastAsia="Arial" w:hAnsi="Arial"/>
          <w:sz w:val="16"/>
          <w:szCs w:val="16"/>
          <w:color w:val="007CBA"/>
        </w:rPr>
      </w:pPr>
    </w:p>
    <w:p>
      <w:pPr>
        <w:ind w:left="260" w:right="80" w:hanging="168"/>
        <w:spacing w:after="0" w:line="249"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Brings additional perspective to the Board on diversity and corporate citizenship</w:t>
      </w:r>
    </w:p>
    <w:p>
      <w:pPr>
        <w:spacing w:after="0" w:line="417" w:lineRule="exact"/>
        <w:rPr>
          <w:sz w:val="20"/>
          <w:szCs w:val="20"/>
          <w:color w:val="auto"/>
        </w:rPr>
      </w:pPr>
    </w:p>
    <w:p>
      <w:pPr>
        <w:sectPr>
          <w:pgSz w:w="11900" w:h="16838" w:orient="portrait"/>
          <w:cols w:equalWidth="0" w:num="3">
            <w:col w:w="2360" w:space="80"/>
            <w:col w:w="5760" w:space="260"/>
            <w:col w:w="2580"/>
          </w:cols>
          <w:pgMar w:left="320" w:top="455" w:right="5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263525</wp:posOffset>
            </wp:positionV>
            <wp:extent cx="69056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line="242" w:lineRule="exact"/>
        <w:rPr>
          <w:sz w:val="20"/>
          <w:szCs w:val="20"/>
          <w:color w:val="auto"/>
        </w:rPr>
      </w:pPr>
      <w:r>
        <w:rPr>
          <w:rFonts w:ascii="MS PGothic" w:cs="MS PGothic" w:eastAsia="MS PGothic" w:hAnsi="MS PGothic"/>
          <w:sz w:val="21"/>
          <w:szCs w:val="21"/>
          <w:color w:val="007CBA"/>
        </w:rPr>
        <w:t>◆</w:t>
      </w:r>
      <w:r>
        <w:rPr>
          <w:rFonts w:ascii="Arial" w:cs="Arial" w:eastAsia="Arial" w:hAnsi="Arial"/>
          <w:sz w:val="21"/>
          <w:szCs w:val="21"/>
          <w:b w:val="1"/>
          <w:bCs w:val="1"/>
          <w:color w:val="007CBA"/>
        </w:rPr>
        <w:t>JOHN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-1560830</wp:posOffset>
            </wp:positionV>
            <wp:extent cx="1108710" cy="1438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33"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007CBA"/>
        </w:rPr>
        <w:t>KORALESKI</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1159510" cy="304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59510" cy="30480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Koraleski joined the Martin Marietta Board in 2016. Mr. Koraleski served from February 2015 through his retirement in September 2015 as executive Chairman of the Board of the Union Pacific Corporation (UP), which through its subsidiaries operates North America’s premier railroad franchise, covering 23 states across the western two-thirds of the United States. Prior to that, he was named President and Chief Executive Officer of the UP in March 2012, elected as a Director of the UP in July 2012 and appointed Chairman of the Board in 2014. Since joining the Union Pacific (Railroad) in 1972, Mr. Koraleski held a number of executive positions in the UP and the Railroad, including, Executive Vice President – Marketing and Sales from 1999 to 2012, Executive Vice President – Finance and Information Technology, Chief Financial Officer and Controller. Mr. Koraleski served as the Chairman of The Bridges Investment Fund, Inc., a general equity fund whose primary investment objective is to seek long-term capital appreciation, from 2005 through March 2012 and is a past Chairman of the Association of American Railroads. Mr. Koraleski earned a Bachelor’s and Master’s degree in business administration from the University of Nebraska at Omaha.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1483360</wp:posOffset>
            </wp:positionV>
            <wp:extent cx="6956425" cy="533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6425" cy="533400"/>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2109470</wp:posOffset>
            </wp:positionV>
            <wp:extent cx="406400" cy="2451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hanging="168"/>
        <w:spacing w:after="0" w:line="245" w:lineRule="auto"/>
        <w:tabs>
          <w:tab w:leader="none" w:pos="26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Experience with the demands and challenges associated with managing a large publicly-traded organization from his experience as Chairman and CEO of Union Pacific</w:t>
      </w:r>
    </w:p>
    <w:p>
      <w:pPr>
        <w:spacing w:after="0" w:line="72" w:lineRule="exact"/>
        <w:rPr>
          <w:rFonts w:ascii="Arial" w:cs="Arial" w:eastAsia="Arial" w:hAnsi="Arial"/>
          <w:sz w:val="16"/>
          <w:szCs w:val="16"/>
          <w:color w:val="007CBA"/>
        </w:rPr>
      </w:pPr>
    </w:p>
    <w:p>
      <w:pPr>
        <w:ind w:left="260" w:hanging="168"/>
        <w:spacing w:after="0" w:line="246" w:lineRule="auto"/>
        <w:tabs>
          <w:tab w:leader="none" w:pos="26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Extensive knowledge of financial system management, public company accounting, disclosure requirements and financial markets</w:t>
      </w:r>
    </w:p>
    <w:p>
      <w:pPr>
        <w:spacing w:after="0" w:line="69" w:lineRule="exact"/>
        <w:rPr>
          <w:rFonts w:ascii="Arial" w:cs="Arial" w:eastAsia="Arial" w:hAnsi="Arial"/>
          <w:sz w:val="16"/>
          <w:szCs w:val="16"/>
          <w:color w:val="007CBA"/>
        </w:rPr>
      </w:pPr>
    </w:p>
    <w:p>
      <w:pPr>
        <w:ind w:left="260" w:right="240" w:hanging="168"/>
        <w:spacing w:after="0" w:line="247" w:lineRule="auto"/>
        <w:tabs>
          <w:tab w:leader="none" w:pos="26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Valuable expertise in talent management, compensation, governance and succession planning</w:t>
      </w:r>
    </w:p>
    <w:p>
      <w:pPr>
        <w:spacing w:after="0" w:line="68" w:lineRule="exact"/>
        <w:rPr>
          <w:rFonts w:ascii="Arial" w:cs="Arial" w:eastAsia="Arial" w:hAnsi="Arial"/>
          <w:sz w:val="16"/>
          <w:szCs w:val="16"/>
          <w:color w:val="007CBA"/>
        </w:rPr>
      </w:pPr>
    </w:p>
    <w:p>
      <w:pPr>
        <w:ind w:left="260" w:right="200" w:hanging="168"/>
        <w:spacing w:after="0" w:line="249" w:lineRule="auto"/>
        <w:tabs>
          <w:tab w:leader="none" w:pos="26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Understanding of complex logistic operations, safety and rail operations</w:t>
      </w:r>
    </w:p>
    <w:p>
      <w:pPr>
        <w:spacing w:after="0" w:line="67" w:lineRule="exact"/>
        <w:rPr>
          <w:rFonts w:ascii="Arial" w:cs="Arial" w:eastAsia="Arial" w:hAnsi="Arial"/>
          <w:sz w:val="16"/>
          <w:szCs w:val="16"/>
          <w:color w:val="007CBA"/>
        </w:rPr>
      </w:pPr>
    </w:p>
    <w:p>
      <w:pPr>
        <w:ind w:left="260" w:right="280" w:hanging="168"/>
        <w:spacing w:after="0" w:line="247" w:lineRule="auto"/>
        <w:tabs>
          <w:tab w:leader="none" w:pos="26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Broad strategic analysis and experience with acquisitions, integration, marketing and information technologies</w:t>
      </w:r>
    </w:p>
    <w:p>
      <w:pPr>
        <w:spacing w:after="0" w:line="200" w:lineRule="exact"/>
        <w:rPr>
          <w:sz w:val="20"/>
          <w:szCs w:val="20"/>
          <w:color w:val="auto"/>
        </w:rPr>
      </w:pPr>
    </w:p>
    <w:p>
      <w:pPr>
        <w:sectPr>
          <w:pgSz w:w="11900" w:h="16838" w:orient="portrait"/>
          <w:cols w:equalWidth="0" w:num="3">
            <w:col w:w="1820" w:space="720"/>
            <w:col w:w="5660" w:space="260"/>
            <w:col w:w="2580"/>
          </w:cols>
          <w:pgMar w:left="320" w:top="45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hanging="433"/>
        <w:spacing w:after="0"/>
        <w:tabs>
          <w:tab w:leader="none" w:pos="620" w:val="left"/>
        </w:tabs>
        <w:numPr>
          <w:ilvl w:val="0"/>
          <w:numId w:val="46"/>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40"/>
          </w:cols>
          <w:pgMar w:left="320" w:top="455" w:right="5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Director Nominees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Proposal 1: Election of Directors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line="230" w:lineRule="exact"/>
        <w:rPr>
          <w:sz w:val="20"/>
          <w:szCs w:val="20"/>
          <w:color w:val="auto"/>
        </w:rPr>
      </w:pPr>
      <w:r>
        <w:rPr>
          <w:rFonts w:ascii="MS PGothic" w:cs="MS PGothic" w:eastAsia="MS PGothic" w:hAnsi="MS PGothic"/>
          <w:sz w:val="20"/>
          <w:szCs w:val="20"/>
          <w:color w:val="007CBA"/>
        </w:rPr>
        <w:t>◆</w:t>
      </w:r>
      <w:r>
        <w:rPr>
          <w:rFonts w:ascii="Arial" w:cs="Arial" w:eastAsia="Arial" w:hAnsi="Arial"/>
          <w:sz w:val="20"/>
          <w:szCs w:val="20"/>
          <w:b w:val="1"/>
          <w:bCs w:val="1"/>
          <w:color w:val="007CBA"/>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-1630045</wp:posOffset>
            </wp:positionV>
            <wp:extent cx="1108710" cy="1438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Chairman of the Board</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304800" cy="304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4800" cy="30480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Mr. Nye has served as Chairman of the Board since 2014, as President of Martin Marietta since 2006 and as Chief Executive Officer and a Director since 2010. Mr. Nye previously served as Chief Operating Officer from 2006 to 2009. Prior to joining Martin Marietta in 2006, Mr. Nye spent nearly 13 years in a series of increasingly responsible positions with Hanson PLC, an international building materials company, including as Executive Vice President of its North American building materials business. Mr. Nye received a Bachelor’s degree from Duke University and a Juris Doctor degree from Wake Forest University. In addition to his educational, professional, executive and related roles, Mr. Nye is a past Chairman of the Board of the National Stone, Sand &amp; Gravel Association (NSSGA); he presently serves as Chairman of the North Carolina Chamber and as Vice Chairman of the American Road &amp; Transportation Builders Association (ARTBA). Mr. Nye is also a member of the Board of Directors of the United States Chamber of Commerce, the world’s largest business organization. Since 2018, Mr. Nye has been a member of the Board of Directors of General Dynamics Corporation (NYSE: GD), a global aerospace and defense company. From 2015 to 2018, Mr. Nye was also an independent director for Cree, Inc. (NASDAQ: CREE), an American manufacturer and marketer of lighting-class lighting products. In 2019, Forbes magazine recognized Mr. Nye as one of America’s Most Innovative Leaders; he was previously recognized by both Aggregates Manager and Pit &amp; Quarry magazines, as Aggman of the Year and a Hall of Fame inductee, respectively. Mr. Nye has also served on numerous other state, local and/or philanthropic organizations including the North Carolina Business Council of Management and Development, Inc., Co-Chair of the NC FIRST Commission (evaluating North Carolina’s current and future transportation investment needs), and as a gubernatorial appointee to the North Carolina Mining Commission. He has also served on the Alumni Boards at Duke University and Wake Forest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249555</wp:posOffset>
            </wp:positionV>
            <wp:extent cx="69056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20" w:hanging="168"/>
        <w:spacing w:after="0" w:line="254"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Extensive knowledge of the construction aggregates industry</w:t>
      </w:r>
    </w:p>
    <w:p>
      <w:pPr>
        <w:spacing w:after="0" w:line="63" w:lineRule="exact"/>
        <w:rPr>
          <w:rFonts w:ascii="Arial" w:cs="Arial" w:eastAsia="Arial" w:hAnsi="Arial"/>
          <w:sz w:val="16"/>
          <w:szCs w:val="16"/>
          <w:color w:val="007CBA"/>
        </w:rPr>
      </w:pPr>
    </w:p>
    <w:p>
      <w:pPr>
        <w:ind w:left="260" w:right="100" w:hanging="168"/>
        <w:spacing w:after="0" w:line="266" w:lineRule="auto"/>
        <w:tabs>
          <w:tab w:leader="none" w:pos="260" w:val="left"/>
        </w:tabs>
        <w:numPr>
          <w:ilvl w:val="0"/>
          <w:numId w:val="47"/>
        </w:numPr>
        <w:rPr>
          <w:rFonts w:ascii="Arial" w:cs="Arial" w:eastAsia="Arial" w:hAnsi="Arial"/>
          <w:sz w:val="15"/>
          <w:szCs w:val="15"/>
          <w:color w:val="007CBA"/>
        </w:rPr>
      </w:pPr>
      <w:r>
        <w:rPr>
          <w:rFonts w:ascii="Arial" w:cs="Arial" w:eastAsia="Arial" w:hAnsi="Arial"/>
          <w:sz w:val="15"/>
          <w:szCs w:val="15"/>
          <w:color w:val="auto"/>
        </w:rPr>
        <w:t>Extensive leadership, business, operating, marketing, mergers and acquisitions, legal, customer-relations, and safety and environmental experience</w:t>
      </w:r>
    </w:p>
    <w:p>
      <w:pPr>
        <w:spacing w:after="0" w:line="57" w:lineRule="exact"/>
        <w:rPr>
          <w:rFonts w:ascii="Arial" w:cs="Arial" w:eastAsia="Arial" w:hAnsi="Arial"/>
          <w:sz w:val="15"/>
          <w:szCs w:val="15"/>
          <w:color w:val="007CBA"/>
        </w:rPr>
      </w:pPr>
    </w:p>
    <w:p>
      <w:pPr>
        <w:ind w:left="260" w:right="20" w:hanging="168"/>
        <w:spacing w:after="0" w:line="246"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Understands the competitive nature of the business and has strong management skills, broad executive experience, and corporate governance expertise</w:t>
      </w:r>
    </w:p>
    <w:p>
      <w:pPr>
        <w:spacing w:after="0" w:line="69" w:lineRule="exact"/>
        <w:rPr>
          <w:rFonts w:ascii="Arial" w:cs="Arial" w:eastAsia="Arial" w:hAnsi="Arial"/>
          <w:sz w:val="16"/>
          <w:szCs w:val="16"/>
          <w:color w:val="007CBA"/>
        </w:rPr>
      </w:pPr>
    </w:p>
    <w:p>
      <w:pPr>
        <w:ind w:left="260" w:right="100" w:hanging="168"/>
        <w:spacing w:after="0" w:line="254"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Broad strategic vision for the future growth of Martin Marietta</w:t>
      </w:r>
    </w:p>
    <w:p>
      <w:pPr>
        <w:spacing w:after="0" w:line="2094" w:lineRule="exact"/>
        <w:rPr>
          <w:sz w:val="20"/>
          <w:szCs w:val="20"/>
          <w:color w:val="auto"/>
        </w:rPr>
      </w:pPr>
    </w:p>
    <w:p>
      <w:pPr>
        <w:sectPr>
          <w:pgSz w:w="11900" w:h="16838" w:orient="portrait"/>
          <w:cols w:equalWidth="0" w:num="3">
            <w:col w:w="2080" w:space="360"/>
            <w:col w:w="5780" w:space="240"/>
            <w:col w:w="260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line="230" w:lineRule="exact"/>
        <w:rPr>
          <w:sz w:val="20"/>
          <w:szCs w:val="20"/>
          <w:color w:val="auto"/>
        </w:rPr>
      </w:pPr>
      <w:r>
        <w:rPr>
          <w:rFonts w:ascii="MS PGothic" w:cs="MS PGothic" w:eastAsia="MS PGothic" w:hAnsi="MS PGothic"/>
          <w:sz w:val="20"/>
          <w:szCs w:val="20"/>
          <w:color w:val="007CBA"/>
        </w:rPr>
        <w:t>◆</w:t>
      </w:r>
      <w:r>
        <w:rPr>
          <w:rFonts w:ascii="Arial" w:cs="Arial" w:eastAsia="Arial" w:hAnsi="Arial"/>
          <w:sz w:val="20"/>
          <w:szCs w:val="20"/>
          <w:b w:val="1"/>
          <w:bCs w:val="1"/>
          <w:color w:val="007CBA"/>
        </w:rPr>
        <w:t>LAREE 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-1630045</wp:posOffset>
            </wp:positionV>
            <wp:extent cx="1108710" cy="1438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727710" cy="304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71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Ms. Perez is an investment consultant with DeRoy &amp; Devereaux, an independent investment adviser, where she has provided client consulting services since 2015. She was previously Owner and Managing Partner of The Medallion Company, LLC, a consulting firm, from 2003 to 2015.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240" w:hanging="168"/>
        <w:spacing w:after="0" w:line="249" w:lineRule="auto"/>
        <w:tabs>
          <w:tab w:leader="none" w:pos="26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Significant business, financial and private investment experience</w:t>
      </w:r>
    </w:p>
    <w:p>
      <w:pPr>
        <w:spacing w:after="0" w:line="67" w:lineRule="exact"/>
        <w:rPr>
          <w:rFonts w:ascii="Arial" w:cs="Arial" w:eastAsia="Arial" w:hAnsi="Arial"/>
          <w:sz w:val="16"/>
          <w:szCs w:val="16"/>
          <w:color w:val="007CBA"/>
        </w:rPr>
      </w:pPr>
    </w:p>
    <w:p>
      <w:pPr>
        <w:ind w:left="260" w:hanging="168"/>
        <w:spacing w:after="0" w:line="245" w:lineRule="auto"/>
        <w:tabs>
          <w:tab w:leader="none" w:pos="26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Significant expertise with respect to financial statements, corporate finance, accounting and capital markets, mergers and acquisitions, and strategic analysis</w:t>
      </w:r>
    </w:p>
    <w:p>
      <w:pPr>
        <w:spacing w:after="0" w:line="72" w:lineRule="exact"/>
        <w:rPr>
          <w:rFonts w:ascii="Arial" w:cs="Arial" w:eastAsia="Arial" w:hAnsi="Arial"/>
          <w:sz w:val="16"/>
          <w:szCs w:val="16"/>
          <w:color w:val="007CBA"/>
        </w:rPr>
      </w:pPr>
    </w:p>
    <w:p>
      <w:pPr>
        <w:ind w:left="260" w:right="600" w:hanging="168"/>
        <w:spacing w:after="0" w:line="254" w:lineRule="auto"/>
        <w:tabs>
          <w:tab w:leader="none" w:pos="26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Insight into auditing best practices</w:t>
      </w:r>
    </w:p>
    <w:p>
      <w:pPr>
        <w:spacing w:after="0" w:line="63" w:lineRule="exact"/>
        <w:rPr>
          <w:rFonts w:ascii="Arial" w:cs="Arial" w:eastAsia="Arial" w:hAnsi="Arial"/>
          <w:sz w:val="16"/>
          <w:szCs w:val="16"/>
          <w:color w:val="007CBA"/>
        </w:rPr>
      </w:pPr>
    </w:p>
    <w:p>
      <w:pPr>
        <w:ind w:left="260" w:right="20" w:hanging="168"/>
        <w:spacing w:after="0" w:line="254" w:lineRule="auto"/>
        <w:tabs>
          <w:tab w:leader="none" w:pos="26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Familiarity with the southwestern United States</w:t>
      </w:r>
    </w:p>
    <w:p>
      <w:pPr>
        <w:spacing w:after="0" w:line="520" w:lineRule="exact"/>
        <w:rPr>
          <w:sz w:val="20"/>
          <w:szCs w:val="20"/>
          <w:color w:val="auto"/>
        </w:rPr>
      </w:pPr>
    </w:p>
    <w:p>
      <w:pPr>
        <w:sectPr>
          <w:pgSz w:w="11900" w:h="16838" w:orient="portrait"/>
          <w:cols w:equalWidth="0" w:num="3">
            <w:col w:w="2100" w:space="340"/>
            <w:col w:w="5780" w:space="240"/>
            <w:col w:w="2600"/>
          </w:cols>
          <w:pgMar w:left="320" w:top="455" w:right="51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95250</wp:posOffset>
            </wp:positionV>
            <wp:extent cx="6956425" cy="533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56425" cy="533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721360</wp:posOffset>
            </wp:positionV>
            <wp:extent cx="406400" cy="2451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19</w:t>
            </w:r>
          </w:p>
        </w:tc>
      </w:tr>
    </w:tbl>
    <w:p>
      <w:pPr>
        <w:sectPr>
          <w:pgSz w:w="11900" w:h="16838" w:orient="portrait"/>
          <w:cols w:equalWidth="0" w:num="1">
            <w:col w:w="11060"/>
          </w:cols>
          <w:pgMar w:left="320" w:top="455" w:right="519" w:bottom="1440" w:gutter="0" w:footer="0" w:header="0"/>
          <w:type w:val="continuous"/>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3"/>
          <w:szCs w:val="13"/>
          <w:color w:val="007CB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193040</wp:posOffset>
            </wp:positionV>
            <wp:extent cx="1108710" cy="1438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line="242" w:lineRule="exact"/>
        <w:rPr>
          <w:sz w:val="20"/>
          <w:szCs w:val="20"/>
          <w:color w:val="auto"/>
        </w:rPr>
      </w:pPr>
      <w:r>
        <w:rPr>
          <w:rFonts w:ascii="MS PGothic" w:cs="MS PGothic" w:eastAsia="MS PGothic" w:hAnsi="MS PGothic"/>
          <w:sz w:val="21"/>
          <w:szCs w:val="21"/>
          <w:color w:val="007CBA"/>
        </w:rPr>
        <w:t>◆</w:t>
      </w:r>
      <w:r>
        <w:rPr>
          <w:rFonts w:ascii="Arial" w:cs="Arial" w:eastAsia="Arial" w:hAnsi="Arial"/>
          <w:sz w:val="21"/>
          <w:szCs w:val="21"/>
          <w:b w:val="1"/>
          <w:bCs w:val="1"/>
          <w:color w:val="007CBA"/>
        </w:rPr>
        <w:t>THOMAS H.</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007CBA"/>
        </w:rPr>
        <w:t>PIKE</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304800" cy="304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480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76" w:hanging="276"/>
        <w:spacing w:after="0"/>
        <w:tabs>
          <w:tab w:leader="none" w:pos="276" w:val="left"/>
        </w:tabs>
        <w:numPr>
          <w:ilvl w:val="0"/>
          <w:numId w:val="49"/>
        </w:numPr>
        <w:rPr>
          <w:rFonts w:ascii="MS PGothic" w:cs="MS PGothic" w:eastAsia="MS PGothic" w:hAnsi="MS PGothic"/>
          <w:sz w:val="25"/>
          <w:szCs w:val="25"/>
          <w:color w:val="007CBA"/>
        </w:rPr>
      </w:pPr>
      <w:r>
        <w:rPr>
          <w:rFonts w:ascii="Arial" w:cs="Arial" w:eastAsia="Arial" w:hAnsi="Arial"/>
          <w:sz w:val="13"/>
          <w:szCs w:val="13"/>
          <w:color w:val="auto"/>
        </w:rPr>
        <w:t>Director Nominees</w:t>
      </w:r>
    </w:p>
    <w:p>
      <w:pPr>
        <w:spacing w:after="0" w:line="255" w:lineRule="exact"/>
        <w:rPr>
          <w:sz w:val="20"/>
          <w:szCs w:val="20"/>
          <w:color w:val="auto"/>
        </w:rPr>
      </w:pPr>
    </w:p>
    <w:p>
      <w:pPr>
        <w:jc w:val="both"/>
        <w:ind w:left="276"/>
        <w:spacing w:after="0" w:line="243" w:lineRule="auto"/>
        <w:rPr>
          <w:sz w:val="20"/>
          <w:szCs w:val="20"/>
          <w:color w:val="auto"/>
        </w:rPr>
      </w:pPr>
      <w:r>
        <w:rPr>
          <w:rFonts w:ascii="Arial" w:cs="Arial" w:eastAsia="Arial" w:hAnsi="Arial"/>
          <w:sz w:val="16"/>
          <w:szCs w:val="16"/>
          <w:color w:val="auto"/>
        </w:rPr>
        <w:t>Mr. Pike joined the Martin Marietta Board in July 2019. Mr. Pike served as Chief Executive Officer and a member of the Board of Directors of Quintiles Transnational Holdings, Inc. (Quintiles) from April 2012 until its merger with IMS Health in December 2016 to create IQVIA (NYSE:IQV). Before its merger with IMS, Quintiles had a network of more than 35,000 employees conducting business in approximately 100 countries. Mr. Pike led Quintiles through a successful public offering and helped it grow into a Fortune 500 company. Under Mr. Pike’s leadership, Quintiles was named one of the world’s Most Ethical Companies in 2016. Prior to Quintiles, Mr. Pike spent 22 years at Accenture (NYSE: ACN), a leading global professional services company, providing a broad range of services and solutions in strategy, consulting, digital, technology and operations, until December 2009. At Accenture, Mr. Pike’s roles included serving as Chief Risk Officer and Managing Director of the North America Health and Products business areas. He previously served as the global Chief Operating Officer for Accenture’s Resources operating group and had also served as Accenture’s Chief Strategy Officer. Since leaving Accenture in December 2009 and until joining Quintiles in April 2012, Mr. Pike was involved with a number of start-ups in the technology and healthcare sectors. Early in his career Mr. Pike was a consultant with McKinsey &amp; Company. Mr. Pike earned his Bachelor’s degree in accounting from the University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620395</wp:posOffset>
            </wp:positionV>
            <wp:extent cx="69056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180" w:hanging="168"/>
        <w:spacing w:after="0" w:line="254" w:lineRule="auto"/>
        <w:tabs>
          <w:tab w:leader="none" w:pos="26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More than 14 years of C-Suite experience</w:t>
      </w:r>
    </w:p>
    <w:p>
      <w:pPr>
        <w:spacing w:after="0" w:line="63" w:lineRule="exact"/>
        <w:rPr>
          <w:rFonts w:ascii="Arial" w:cs="Arial" w:eastAsia="Arial" w:hAnsi="Arial"/>
          <w:sz w:val="16"/>
          <w:szCs w:val="16"/>
          <w:color w:val="007CBA"/>
        </w:rPr>
      </w:pPr>
    </w:p>
    <w:p>
      <w:pPr>
        <w:ind w:left="260" w:right="300" w:hanging="168"/>
        <w:spacing w:after="0" w:line="254" w:lineRule="auto"/>
        <w:tabs>
          <w:tab w:leader="none" w:pos="26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Broad strategic and financial experience</w:t>
      </w:r>
    </w:p>
    <w:p>
      <w:pPr>
        <w:spacing w:after="0" w:line="63" w:lineRule="exact"/>
        <w:rPr>
          <w:rFonts w:ascii="Arial" w:cs="Arial" w:eastAsia="Arial" w:hAnsi="Arial"/>
          <w:sz w:val="16"/>
          <w:szCs w:val="16"/>
          <w:color w:val="007CBA"/>
        </w:rPr>
      </w:pPr>
    </w:p>
    <w:p>
      <w:pPr>
        <w:ind w:left="260" w:hanging="168"/>
        <w:spacing w:after="0" w:line="247" w:lineRule="auto"/>
        <w:tabs>
          <w:tab w:leader="none" w:pos="26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Extensive experience in mergers and acquisitions, integration, and strategic development and analysis</w:t>
      </w:r>
    </w:p>
    <w:p>
      <w:pPr>
        <w:spacing w:after="0" w:line="68" w:lineRule="exact"/>
        <w:rPr>
          <w:rFonts w:ascii="Arial" w:cs="Arial" w:eastAsia="Arial" w:hAnsi="Arial"/>
          <w:sz w:val="16"/>
          <w:szCs w:val="16"/>
          <w:color w:val="007CBA"/>
        </w:rPr>
      </w:pPr>
    </w:p>
    <w:p>
      <w:pPr>
        <w:ind w:left="260" w:right="20" w:hanging="168"/>
        <w:spacing w:after="0" w:line="249" w:lineRule="auto"/>
        <w:tabs>
          <w:tab w:leader="none" w:pos="26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Significant mentorship, business and operating experience in a public company</w:t>
      </w:r>
    </w:p>
    <w:p>
      <w:pPr>
        <w:spacing w:after="0" w:line="67" w:lineRule="exact"/>
        <w:rPr>
          <w:rFonts w:ascii="Arial" w:cs="Arial" w:eastAsia="Arial" w:hAnsi="Arial"/>
          <w:sz w:val="16"/>
          <w:szCs w:val="16"/>
          <w:color w:val="007CBA"/>
        </w:rPr>
      </w:pPr>
    </w:p>
    <w:p>
      <w:pPr>
        <w:ind w:left="260" w:right="40" w:hanging="168"/>
        <w:spacing w:after="0" w:line="246" w:lineRule="auto"/>
        <w:tabs>
          <w:tab w:leader="none" w:pos="26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Valuable knowledge of financial system management, public company accounting, disclosure requirements and financial markets</w:t>
      </w:r>
    </w:p>
    <w:p>
      <w:pPr>
        <w:spacing w:after="0" w:line="200" w:lineRule="exact"/>
        <w:rPr>
          <w:sz w:val="20"/>
          <w:szCs w:val="20"/>
          <w:color w:val="auto"/>
        </w:rPr>
      </w:pPr>
    </w:p>
    <w:p>
      <w:pPr>
        <w:sectPr>
          <w:pgSz w:w="11900" w:h="16838" w:orient="portrait"/>
          <w:cols w:equalWidth="0" w:num="3">
            <w:col w:w="2100" w:space="64"/>
            <w:col w:w="6056" w:space="240"/>
            <w:col w:w="2580"/>
          </w:cols>
          <w:pgMar w:left="320" w:top="45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spacing w:after="0" w:line="242" w:lineRule="exact"/>
        <w:rPr>
          <w:sz w:val="20"/>
          <w:szCs w:val="20"/>
          <w:color w:val="auto"/>
        </w:rPr>
      </w:pPr>
      <w:r>
        <w:rPr>
          <w:rFonts w:ascii="MS PGothic" w:cs="MS PGothic" w:eastAsia="MS PGothic" w:hAnsi="MS PGothic"/>
          <w:sz w:val="21"/>
          <w:szCs w:val="21"/>
          <w:color w:val="007CBA"/>
        </w:rPr>
        <w:t>◆</w:t>
      </w:r>
      <w:r>
        <w:rPr>
          <w:rFonts w:ascii="Arial" w:cs="Arial" w:eastAsia="Arial" w:hAnsi="Arial"/>
          <w:sz w:val="21"/>
          <w:szCs w:val="21"/>
          <w:b w:val="1"/>
          <w:bCs w:val="1"/>
          <w:color w:val="007CBA"/>
        </w:rPr>
        <w:t>MICHAEL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-1637030</wp:posOffset>
            </wp:positionV>
            <wp:extent cx="1108710" cy="1438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33"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007CBA"/>
        </w:rPr>
        <w:t>QUILLEN</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Lead Independent Director</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1159510" cy="304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5951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Quillen was the founder and served as Chief Executive Officer of Alpha Natural Resources, Inc. (NYSE: ANR), a leading eastern United States coal supplier, since its formation in 2004 until its merger with Foundation Coal Holdings, Inc. in July 2009, and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2018.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2279015</wp:posOffset>
            </wp:positionV>
            <wp:extent cx="6956425" cy="533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56425" cy="53340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2905760</wp:posOffset>
            </wp:positionV>
            <wp:extent cx="406400" cy="245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165" w:lineRule="exact"/>
        <w:rPr>
          <w:sz w:val="20"/>
          <w:szCs w:val="20"/>
          <w:color w:val="auto"/>
        </w:rPr>
      </w:pPr>
    </w:p>
    <w:p>
      <w:pPr>
        <w:ind w:left="260" w:right="160" w:hanging="168"/>
        <w:spacing w:after="0" w:line="247"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Valuable business, leadership, management, financial, and mergers and acquisitions experience</w:t>
      </w:r>
    </w:p>
    <w:p>
      <w:pPr>
        <w:spacing w:after="0" w:line="68" w:lineRule="exact"/>
        <w:rPr>
          <w:rFonts w:ascii="Arial" w:cs="Arial" w:eastAsia="Arial" w:hAnsi="Arial"/>
          <w:sz w:val="16"/>
          <w:szCs w:val="16"/>
          <w:color w:val="007CBA"/>
        </w:rPr>
      </w:pPr>
    </w:p>
    <w:p>
      <w:pPr>
        <w:ind w:left="260" w:right="80" w:hanging="168"/>
        <w:spacing w:after="0" w:line="246"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Extensive experience related to mining companies, governmental and regulatory issues, safety, health and environmental matters</w:t>
      </w:r>
    </w:p>
    <w:p>
      <w:pPr>
        <w:spacing w:after="0" w:line="69" w:lineRule="exact"/>
        <w:rPr>
          <w:rFonts w:ascii="Arial" w:cs="Arial" w:eastAsia="Arial" w:hAnsi="Arial"/>
          <w:sz w:val="16"/>
          <w:szCs w:val="16"/>
          <w:color w:val="007CBA"/>
        </w:rPr>
      </w:pPr>
    </w:p>
    <w:p>
      <w:pPr>
        <w:ind w:left="260" w:right="120" w:hanging="168"/>
        <w:spacing w:after="0" w:line="247" w:lineRule="auto"/>
        <w:tabs>
          <w:tab w:leader="none" w:pos="257"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Tremendous insight and expertise with respect to strategic analysis, the natural resources industry, and energy</w:t>
      </w:r>
    </w:p>
    <w:p>
      <w:pPr>
        <w:spacing w:after="0" w:line="68" w:lineRule="exact"/>
        <w:rPr>
          <w:rFonts w:ascii="Arial" w:cs="Arial" w:eastAsia="Arial" w:hAnsi="Arial"/>
          <w:sz w:val="16"/>
          <w:szCs w:val="16"/>
          <w:color w:val="007CBA"/>
        </w:rPr>
      </w:pPr>
    </w:p>
    <w:p>
      <w:pPr>
        <w:ind w:left="260" w:right="120" w:hanging="168"/>
        <w:spacing w:after="0" w:line="254"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Wealth of knowledge related to transportation</w:t>
      </w:r>
    </w:p>
    <w:p>
      <w:pPr>
        <w:spacing w:after="0" w:line="560" w:lineRule="exact"/>
        <w:rPr>
          <w:sz w:val="20"/>
          <w:szCs w:val="20"/>
          <w:color w:val="auto"/>
        </w:rPr>
      </w:pPr>
    </w:p>
    <w:p>
      <w:pPr>
        <w:sectPr>
          <w:pgSz w:w="11900" w:h="16838" w:orient="portrait"/>
          <w:cols w:equalWidth="0" w:num="3">
            <w:col w:w="2080" w:space="360"/>
            <w:col w:w="5780" w:space="240"/>
            <w:col w:w="2580"/>
          </w:cols>
          <w:pgMar w:left="320" w:top="45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433"/>
        <w:spacing w:after="0"/>
        <w:tabs>
          <w:tab w:leader="none" w:pos="62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40"/>
          </w:cols>
          <w:pgMar w:left="320" w:top="455" w:right="5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Director Nominees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Proposal 1: Election of Directors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20"/>
        <w:spacing w:after="0" w:line="230" w:lineRule="exact"/>
        <w:rPr>
          <w:sz w:val="20"/>
          <w:szCs w:val="20"/>
          <w:color w:val="auto"/>
        </w:rPr>
      </w:pPr>
      <w:r>
        <w:rPr>
          <w:rFonts w:ascii="MS PGothic" w:cs="MS PGothic" w:eastAsia="MS PGothic" w:hAnsi="MS PGothic"/>
          <w:sz w:val="20"/>
          <w:szCs w:val="20"/>
          <w:color w:val="007CBA"/>
        </w:rPr>
        <w:t>◆</w:t>
      </w:r>
      <w:r>
        <w:rPr>
          <w:rFonts w:ascii="Arial" w:cs="Arial" w:eastAsia="Arial" w:hAnsi="Arial"/>
          <w:sz w:val="20"/>
          <w:szCs w:val="20"/>
          <w:b w:val="1"/>
          <w:bCs w:val="1"/>
          <w:color w:val="007CBA"/>
        </w:rPr>
        <w:t>DONALD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-1630045</wp:posOffset>
            </wp:positionV>
            <wp:extent cx="1108710" cy="1438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CBA"/>
        </w:rPr>
        <w:t>SLAGER</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64135</wp:posOffset>
            </wp:positionV>
            <wp:extent cx="727710" cy="304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710" cy="30480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Mr. Slager serves as President and Chief Executive Officer of Republic Services, Inc. (Republic), a service provider in the non-hazardous solid waste industry, holding this position since January 2011. Prior to this, he served as President and Chief Operating Officer of Republic from December 2008 until his promotion to CEO. Prior to that, Mr. Slager served in the same capacity for Allied Waste Industries, Inc. (Allied Waste), from 2005 to 2008, prior to its merger with Republic.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contract logistics, customs brokerage, distribution, inbound logistics, truckload brokerage and other supply chain management services until it was acquired by DSV A/S, a third-party logistics services provider, in January 2016. Mr. Slager has completed the Northwestern University Kellogg School Advanced Executive Program and holds a certificate from the Stanford University Board Consortium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561340</wp:posOffset>
            </wp:positionV>
            <wp:extent cx="69056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200" w:hanging="168"/>
        <w:spacing w:after="0" w:line="254" w:lineRule="auto"/>
        <w:tabs>
          <w:tab w:leader="none" w:pos="26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More than 15 years of C-Suite experience</w:t>
      </w:r>
    </w:p>
    <w:p>
      <w:pPr>
        <w:spacing w:after="0" w:line="63" w:lineRule="exact"/>
        <w:rPr>
          <w:rFonts w:ascii="Arial" w:cs="Arial" w:eastAsia="Arial" w:hAnsi="Arial"/>
          <w:sz w:val="16"/>
          <w:szCs w:val="16"/>
          <w:color w:val="007CBA"/>
        </w:rPr>
      </w:pPr>
    </w:p>
    <w:p>
      <w:pPr>
        <w:ind w:left="260" w:right="200" w:hanging="168"/>
        <w:spacing w:after="0" w:line="247" w:lineRule="auto"/>
        <w:tabs>
          <w:tab w:leader="none" w:pos="26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More than 28 years of general management experience in a complex, capital intensive and logistics business</w:t>
      </w:r>
    </w:p>
    <w:p>
      <w:pPr>
        <w:spacing w:after="0" w:line="68" w:lineRule="exact"/>
        <w:rPr>
          <w:rFonts w:ascii="Arial" w:cs="Arial" w:eastAsia="Arial" w:hAnsi="Arial"/>
          <w:sz w:val="16"/>
          <w:szCs w:val="16"/>
          <w:color w:val="007CBA"/>
        </w:rPr>
      </w:pPr>
    </w:p>
    <w:p>
      <w:pPr>
        <w:ind w:left="260" w:right="20" w:hanging="168"/>
        <w:spacing w:after="0" w:line="247" w:lineRule="auto"/>
        <w:tabs>
          <w:tab w:leader="none" w:pos="26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Extensive experience in mergers and acquisitions, integration, and strategic development and analysis</w:t>
      </w:r>
    </w:p>
    <w:p>
      <w:pPr>
        <w:spacing w:after="0" w:line="68" w:lineRule="exact"/>
        <w:rPr>
          <w:rFonts w:ascii="Arial" w:cs="Arial" w:eastAsia="Arial" w:hAnsi="Arial"/>
          <w:sz w:val="16"/>
          <w:szCs w:val="16"/>
          <w:color w:val="007CBA"/>
        </w:rPr>
      </w:pPr>
    </w:p>
    <w:p>
      <w:pPr>
        <w:jc w:val="both"/>
        <w:ind w:left="260" w:right="280" w:hanging="168"/>
        <w:spacing w:after="0" w:line="273" w:lineRule="auto"/>
        <w:tabs>
          <w:tab w:leader="none" w:pos="260" w:val="left"/>
        </w:tabs>
        <w:numPr>
          <w:ilvl w:val="0"/>
          <w:numId w:val="53"/>
        </w:numPr>
        <w:rPr>
          <w:rFonts w:ascii="Arial" w:cs="Arial" w:eastAsia="Arial" w:hAnsi="Arial"/>
          <w:sz w:val="15"/>
          <w:szCs w:val="15"/>
          <w:color w:val="007CBA"/>
        </w:rPr>
      </w:pPr>
      <w:r>
        <w:rPr>
          <w:rFonts w:ascii="Arial" w:cs="Arial" w:eastAsia="Arial" w:hAnsi="Arial"/>
          <w:sz w:val="15"/>
          <w:szCs w:val="15"/>
          <w:color w:val="auto"/>
        </w:rPr>
        <w:t>Valuable experience from his membership on two publicly-traded board of directors</w:t>
      </w:r>
    </w:p>
    <w:p>
      <w:pPr>
        <w:spacing w:after="0" w:line="1658" w:lineRule="exact"/>
        <w:rPr>
          <w:sz w:val="20"/>
          <w:szCs w:val="20"/>
          <w:color w:val="auto"/>
        </w:rPr>
      </w:pPr>
    </w:p>
    <w:p>
      <w:pPr>
        <w:sectPr>
          <w:pgSz w:w="11900" w:h="16838" w:orient="portrait"/>
          <w:cols w:equalWidth="0" w:num="3">
            <w:col w:w="1720" w:space="720"/>
            <w:col w:w="5780" w:space="240"/>
            <w:col w:w="260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line="242" w:lineRule="exact"/>
        <w:rPr>
          <w:sz w:val="20"/>
          <w:szCs w:val="20"/>
          <w:color w:val="auto"/>
        </w:rPr>
      </w:pPr>
      <w:r>
        <w:rPr>
          <w:rFonts w:ascii="MS PGothic" w:cs="MS PGothic" w:eastAsia="MS PGothic" w:hAnsi="MS PGothic"/>
          <w:sz w:val="21"/>
          <w:szCs w:val="21"/>
          <w:color w:val="007CBA"/>
        </w:rPr>
        <w:t>◆</w:t>
      </w:r>
      <w:r>
        <w:rPr>
          <w:rFonts w:ascii="Arial" w:cs="Arial" w:eastAsia="Arial" w:hAnsi="Arial"/>
          <w:sz w:val="21"/>
          <w:szCs w:val="21"/>
          <w:b w:val="1"/>
          <w:bCs w:val="1"/>
          <w:color w:val="007CBA"/>
        </w:rPr>
        <w:t>DAVID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-1637030</wp:posOffset>
            </wp:positionV>
            <wp:extent cx="1108710" cy="1438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08710" cy="1438910"/>
                    </a:xfrm>
                    <a:prstGeom prst="rect">
                      <a:avLst/>
                    </a:prstGeom>
                    <a:noFill/>
                  </pic:spPr>
                </pic:pic>
              </a:graphicData>
            </a:graphic>
          </wp:anchor>
        </w:drawing>
      </w:r>
    </w:p>
    <w:p>
      <w:pPr>
        <w:spacing w:after="0" w:line="33" w:lineRule="exact"/>
        <w:rPr>
          <w:sz w:val="20"/>
          <w:szCs w:val="20"/>
          <w:color w:val="auto"/>
        </w:rPr>
      </w:pPr>
    </w:p>
    <w:p>
      <w:pPr>
        <w:jc w:val="right"/>
        <w:ind w:right="70"/>
        <w:spacing w:after="0"/>
        <w:rPr>
          <w:sz w:val="20"/>
          <w:szCs w:val="20"/>
          <w:color w:val="auto"/>
        </w:rPr>
      </w:pPr>
      <w:r>
        <w:rPr>
          <w:rFonts w:ascii="Arial" w:cs="Arial" w:eastAsia="Arial" w:hAnsi="Arial"/>
          <w:sz w:val="21"/>
          <w:szCs w:val="21"/>
          <w:b w:val="1"/>
          <w:bCs w:val="1"/>
          <w:color w:val="007CBA"/>
        </w:rPr>
        <w:t>WAJSGRAS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N/A</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Mr. Wajsgras served as Raytheon Company (NYSE: RTN) vice president and president of the Intelligence, lnformation and Services (IIS) business from March 2015 to April 2020. Raytheon is a major U.S. defense contractor and industrial corporation. IIS provides a full range of technical and professional services to intelligence, defense, federal and commercial customers worldwide. The business specializes in global Intelligence, Surveillance and Reconnaissance; navigation; Department of Defense space and weather solutions; cybersecurity; analytics; training; logistics; mission support; engineering; automation and sustainment solutions; and international and domestic Air Traffic Management systems. Prior to this role, he was senior vice president and chief financial officer (CFO) of Raytheon from March 2006 to March 2015. Before joining Raytheon, Mr. Wajsgras was executive vice president and CFO of Lear Corporation, an American automotive manufacturing company. Prior to joining Lear, Mr. Wajsgras was corporate controller for Engelhard Corporation, a former American Fortune 500 company that supplied catalysts. He also held numerous financial management positions with Honeywell International, Inc., an American multinational conglomerate company. Mr. Wajsgras served as the chair of the board for Raytheon Australia and was on the board for Forcepoint. He serves on the Center for a New American Security Advisory Board; the Intelligence and National Security Alliance Board of Directors; and is a member of the Massachusetts Cybersecurity Strategy Council. In 2019, Washington Exec named Mr. Wajsgras to its top 25 list of executives and recognized him as its Intelligence Industry Executive of the Year. Mr. Wajsgras has appeared on Executive Mosaic’s annual Wash 100 list of influential leaders in the government contracting arena for the last five years. He was named Federal Computer Week’s prestigious Industry Eagle Award winner in 2018 for his pivotal role in the U.S. government Information Technology community. In 2012, Mr. Wajsgras was named one of the Wall Street Journal’s 25 Best CFOs among the larger companies in the Standard</w:t>
      </w:r>
    </w:p>
    <w:p>
      <w:pPr>
        <w:spacing w:after="0" w:line="179" w:lineRule="exact"/>
        <w:rPr>
          <w:sz w:val="20"/>
          <w:szCs w:val="20"/>
          <w:color w:val="auto"/>
        </w:rPr>
      </w:pPr>
    </w:p>
    <w:p>
      <w:pPr>
        <w:jc w:val="both"/>
        <w:ind w:left="10" w:hanging="10"/>
        <w:spacing w:after="0" w:line="249" w:lineRule="auto"/>
        <w:tabs>
          <w:tab w:leader="none" w:pos="1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Poor’s 500 Index. Mr. Wajsgras earned his Bachelor’s degree in accounting from the University of Maryland. He has a Masters in Business Administration from American University.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5" w:lineRule="exact"/>
        <w:rPr>
          <w:sz w:val="20"/>
          <w:szCs w:val="20"/>
          <w:color w:val="auto"/>
        </w:rPr>
      </w:pPr>
    </w:p>
    <w:p>
      <w:pPr>
        <w:ind w:left="260" w:right="700" w:hanging="168"/>
        <w:spacing w:after="0" w:line="254" w:lineRule="auto"/>
        <w:tabs>
          <w:tab w:leader="none" w:pos="260" w:val="left"/>
        </w:tabs>
        <w:numPr>
          <w:ilvl w:val="0"/>
          <w:numId w:val="55"/>
        </w:numPr>
        <w:rPr>
          <w:rFonts w:ascii="Arial" w:cs="Arial" w:eastAsia="Arial" w:hAnsi="Arial"/>
          <w:sz w:val="16"/>
          <w:szCs w:val="16"/>
          <w:color w:val="007CBA"/>
        </w:rPr>
      </w:pPr>
      <w:r>
        <w:rPr>
          <w:rFonts w:ascii="Arial" w:cs="Arial" w:eastAsia="Arial" w:hAnsi="Arial"/>
          <w:sz w:val="16"/>
          <w:szCs w:val="16"/>
          <w:color w:val="auto"/>
        </w:rPr>
        <w:t>Extensive financial and operating experience</w:t>
      </w:r>
    </w:p>
    <w:p>
      <w:pPr>
        <w:spacing w:after="0" w:line="63" w:lineRule="exact"/>
        <w:rPr>
          <w:rFonts w:ascii="Arial" w:cs="Arial" w:eastAsia="Arial" w:hAnsi="Arial"/>
          <w:sz w:val="16"/>
          <w:szCs w:val="16"/>
          <w:color w:val="007CBA"/>
        </w:rPr>
      </w:pPr>
    </w:p>
    <w:p>
      <w:pPr>
        <w:ind w:left="260" w:right="40" w:hanging="168"/>
        <w:spacing w:after="0" w:line="249" w:lineRule="auto"/>
        <w:tabs>
          <w:tab w:leader="none" w:pos="260" w:val="left"/>
        </w:tabs>
        <w:numPr>
          <w:ilvl w:val="0"/>
          <w:numId w:val="55"/>
        </w:numPr>
        <w:rPr>
          <w:rFonts w:ascii="Arial" w:cs="Arial" w:eastAsia="Arial" w:hAnsi="Arial"/>
          <w:sz w:val="16"/>
          <w:szCs w:val="16"/>
          <w:color w:val="007CBA"/>
        </w:rPr>
      </w:pPr>
      <w:r>
        <w:rPr>
          <w:rFonts w:ascii="Arial" w:cs="Arial" w:eastAsia="Arial" w:hAnsi="Arial"/>
          <w:sz w:val="16"/>
          <w:szCs w:val="16"/>
          <w:color w:val="auto"/>
        </w:rPr>
        <w:t>Knowledge of corporate finance, strategic planning and risk management processes</w:t>
      </w:r>
    </w:p>
    <w:p>
      <w:pPr>
        <w:spacing w:after="0" w:line="67" w:lineRule="exact"/>
        <w:rPr>
          <w:rFonts w:ascii="Arial" w:cs="Arial" w:eastAsia="Arial" w:hAnsi="Arial"/>
          <w:sz w:val="16"/>
          <w:szCs w:val="16"/>
          <w:color w:val="007CBA"/>
        </w:rPr>
      </w:pPr>
    </w:p>
    <w:p>
      <w:pPr>
        <w:ind w:left="260" w:right="20" w:hanging="168"/>
        <w:spacing w:after="0" w:line="245" w:lineRule="auto"/>
        <w:tabs>
          <w:tab w:leader="none" w:pos="260" w:val="left"/>
        </w:tabs>
        <w:numPr>
          <w:ilvl w:val="0"/>
          <w:numId w:val="55"/>
        </w:numPr>
        <w:rPr>
          <w:rFonts w:ascii="Arial" w:cs="Arial" w:eastAsia="Arial" w:hAnsi="Arial"/>
          <w:sz w:val="16"/>
          <w:szCs w:val="16"/>
          <w:color w:val="007CBA"/>
        </w:rPr>
      </w:pPr>
      <w:r>
        <w:rPr>
          <w:rFonts w:ascii="Arial" w:cs="Arial" w:eastAsia="Arial" w:hAnsi="Arial"/>
          <w:sz w:val="16"/>
          <w:szCs w:val="16"/>
          <w:color w:val="auto"/>
        </w:rPr>
        <w:t>Experience as a public company CFO, as well as expansive knowledge of accounting principles and practices, auditing, internal control over financial reporting, and risk management processes</w:t>
      </w:r>
    </w:p>
    <w:p>
      <w:pPr>
        <w:spacing w:after="0" w:line="71" w:lineRule="exact"/>
        <w:rPr>
          <w:rFonts w:ascii="Arial" w:cs="Arial" w:eastAsia="Arial" w:hAnsi="Arial"/>
          <w:sz w:val="16"/>
          <w:szCs w:val="16"/>
          <w:color w:val="007CBA"/>
        </w:rPr>
      </w:pPr>
    </w:p>
    <w:p>
      <w:pPr>
        <w:ind w:left="260" w:right="500" w:hanging="168"/>
        <w:spacing w:after="0" w:line="254" w:lineRule="auto"/>
        <w:tabs>
          <w:tab w:leader="none" w:pos="260" w:val="left"/>
        </w:tabs>
        <w:numPr>
          <w:ilvl w:val="0"/>
          <w:numId w:val="55"/>
        </w:numPr>
        <w:rPr>
          <w:rFonts w:ascii="Arial" w:cs="Arial" w:eastAsia="Arial" w:hAnsi="Arial"/>
          <w:sz w:val="16"/>
          <w:szCs w:val="16"/>
          <w:color w:val="007CBA"/>
        </w:rPr>
      </w:pPr>
      <w:r>
        <w:rPr>
          <w:rFonts w:ascii="Arial" w:cs="Arial" w:eastAsia="Arial" w:hAnsi="Arial"/>
          <w:sz w:val="16"/>
          <w:szCs w:val="16"/>
          <w:color w:val="auto"/>
        </w:rPr>
        <w:t>Expertise in cybersecurity products and services</w:t>
      </w:r>
    </w:p>
    <w:p>
      <w:pPr>
        <w:spacing w:after="0" w:line="2592" w:lineRule="exact"/>
        <w:rPr>
          <w:sz w:val="20"/>
          <w:szCs w:val="20"/>
          <w:color w:val="auto"/>
        </w:rPr>
      </w:pPr>
    </w:p>
    <w:p>
      <w:pPr>
        <w:sectPr>
          <w:pgSz w:w="11900" w:h="16838" w:orient="portrait"/>
          <w:cols w:equalWidth="0" w:num="3">
            <w:col w:w="1710" w:space="720"/>
            <w:col w:w="5790" w:space="240"/>
            <w:col w:w="2600"/>
          </w:cols>
          <w:pgMar w:left="320" w:top="455" w:right="519" w:bottom="1440" w:gutter="0" w:footer="0" w:header="0"/>
          <w:type w:val="continuous"/>
        </w:sectPr>
      </w:pPr>
    </w:p>
    <w:p>
      <w:pPr>
        <w:ind w:left="2300" w:right="1440"/>
        <w:spacing w:after="0" w:line="279"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All Nominees for Election to the Board of Directors on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-372110</wp:posOffset>
            </wp:positionV>
            <wp:extent cx="304800" cy="304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4800" cy="30480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67310</wp:posOffset>
            </wp:positionV>
            <wp:extent cx="6956425" cy="533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56425" cy="53340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694055</wp:posOffset>
            </wp:positionV>
            <wp:extent cx="406400" cy="245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21</w:t>
            </w:r>
          </w:p>
        </w:tc>
      </w:tr>
    </w:tbl>
    <w:p>
      <w:pPr>
        <w:sectPr>
          <w:pgSz w:w="11900" w:h="16838" w:orient="portrait"/>
          <w:cols w:equalWidth="0" w:num="1">
            <w:col w:w="11060"/>
          </w:cols>
          <w:pgMar w:left="320" w:top="455" w:right="5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Proposal 1: Election of Directors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Director Compensation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Director Compensation</w:t>
      </w:r>
    </w:p>
    <w:p>
      <w:pPr>
        <w:spacing w:after="0" w:line="249"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Martin Marietta uses a combination of cash and stock-based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an independent compensation consultant to assist it in making each recommendation.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Cash Compensation Paid to Board Members</w:t>
      </w:r>
    </w:p>
    <w:p>
      <w:pPr>
        <w:spacing w:after="0" w:line="126"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The cash-based elements of annual Director compensation for fiscal year 2019 paid in quarterly installments, measured from the end of the month during which the 2019 Annual Meeting of Shareholders was held,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17145</wp:posOffset>
            </wp:positionV>
            <wp:extent cx="3300730" cy="18618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0730" cy="1861820"/>
                    </a:xfrm>
                    <a:prstGeom prst="rect">
                      <a:avLst/>
                    </a:prstGeom>
                    <a:noFill/>
                  </pic:spPr>
                </pic:pic>
              </a:graphicData>
            </a:graphic>
          </wp:anchor>
        </w:drawing>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27"/>
        </w:trPr>
        <w:tc>
          <w:tcPr>
            <w:tcW w:w="3600" w:type="dxa"/>
            <w:vAlign w:val="bottom"/>
            <w:vMerge w:val="restart"/>
            <w:shd w:val="clear" w:color="auto" w:fill="007CBA"/>
          </w:tcPr>
          <w:p>
            <w:pPr>
              <w:ind w:left="220"/>
              <w:spacing w:after="0"/>
              <w:rPr>
                <w:sz w:val="20"/>
                <w:szCs w:val="20"/>
                <w:color w:val="auto"/>
              </w:rPr>
            </w:pPr>
            <w:r>
              <w:rPr>
                <w:rFonts w:ascii="Arial" w:cs="Arial" w:eastAsia="Arial" w:hAnsi="Arial"/>
                <w:sz w:val="16"/>
                <w:szCs w:val="16"/>
                <w:b w:val="1"/>
                <w:bCs w:val="1"/>
                <w:color w:val="FFFFFF"/>
              </w:rPr>
              <w:t>Cash Component Amount</w:t>
            </w: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vMerge w:val="continue"/>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136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600" w:type="dxa"/>
            <w:vAlign w:val="bottom"/>
            <w:tcBorders>
              <w:bottom w:val="single" w:sz="8" w:color="E5F1F8"/>
            </w:tcBorders>
            <w:shd w:val="clear" w:color="auto" w:fill="E5F1F8"/>
          </w:tcPr>
          <w:p>
            <w:pPr>
              <w:ind w:left="240"/>
              <w:spacing w:after="0"/>
              <w:rPr>
                <w:sz w:val="20"/>
                <w:szCs w:val="20"/>
                <w:color w:val="auto"/>
              </w:rPr>
            </w:pPr>
            <w:r>
              <w:rPr>
                <w:rFonts w:ascii="Arial" w:cs="Arial" w:eastAsia="Arial" w:hAnsi="Arial"/>
                <w:sz w:val="14"/>
                <w:szCs w:val="14"/>
                <w:color w:val="007CBA"/>
              </w:rPr>
              <w:t>Annual Board cash retainer</w:t>
            </w:r>
          </w:p>
        </w:tc>
        <w:tc>
          <w:tcPr>
            <w:tcW w:w="24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E5F1F8"/>
            </w:tcBorders>
            <w:shd w:val="clear" w:color="auto" w:fill="E5F1F8"/>
          </w:tcPr>
          <w:p>
            <w:pPr>
              <w:jc w:val="right"/>
              <w:ind w:right="769"/>
              <w:spacing w:after="0"/>
              <w:rPr>
                <w:sz w:val="20"/>
                <w:szCs w:val="20"/>
                <w:color w:val="auto"/>
              </w:rPr>
            </w:pPr>
            <w:r>
              <w:rPr>
                <w:rFonts w:ascii="Arial" w:cs="Arial" w:eastAsia="Arial" w:hAnsi="Arial"/>
                <w:sz w:val="14"/>
                <w:szCs w:val="14"/>
                <w:color w:val="007CBA"/>
                <w:w w:val="98"/>
              </w:rPr>
              <w:t>120,000</w:t>
            </w:r>
          </w:p>
        </w:tc>
        <w:tc>
          <w:tcPr>
            <w:tcW w:w="0" w:type="dxa"/>
            <w:vAlign w:val="bottom"/>
          </w:tcPr>
          <w:p>
            <w:pPr>
              <w:spacing w:after="0"/>
              <w:rPr>
                <w:sz w:val="1"/>
                <w:szCs w:val="1"/>
                <w:color w:val="auto"/>
              </w:rPr>
            </w:pPr>
          </w:p>
        </w:tc>
      </w:tr>
      <w:tr>
        <w:trPr>
          <w:trHeight w:val="260"/>
        </w:trPr>
        <w:tc>
          <w:tcPr>
            <w:tcW w:w="3600" w:type="dxa"/>
            <w:vAlign w:val="bottom"/>
            <w:tcBorders>
              <w:top w:val="single" w:sz="8" w:color="A5D1E6"/>
              <w:bottom w:val="single" w:sz="8" w:color="A5D1E6"/>
            </w:tcBorders>
          </w:tcPr>
          <w:p>
            <w:pPr>
              <w:ind w:left="240"/>
              <w:spacing w:after="0" w:line="259" w:lineRule="exact"/>
              <w:rPr>
                <w:sz w:val="20"/>
                <w:szCs w:val="20"/>
                <w:color w:val="auto"/>
              </w:rPr>
            </w:pPr>
            <w:r>
              <w:rPr>
                <w:rFonts w:ascii="Arial" w:cs="Arial" w:eastAsia="Arial" w:hAnsi="Arial"/>
                <w:sz w:val="14"/>
                <w:szCs w:val="14"/>
                <w:color w:val="007CBA"/>
              </w:rPr>
              <w:t>Annual Audit Committee chair retainer</w:t>
            </w:r>
            <w:r>
              <w:rPr>
                <w:rFonts w:ascii="Arial" w:cs="Arial" w:eastAsia="Arial" w:hAnsi="Arial"/>
                <w:sz w:val="24"/>
                <w:szCs w:val="24"/>
                <w:color w:val="007CBA"/>
                <w:vertAlign w:val="superscript"/>
              </w:rPr>
              <w:t>1</w:t>
            </w:r>
          </w:p>
        </w:tc>
        <w:tc>
          <w:tcPr>
            <w:tcW w:w="240" w:type="dxa"/>
            <w:vAlign w:val="bottom"/>
            <w:tcBorders>
              <w:top w:val="single" w:sz="8" w:color="A5D1E6"/>
              <w:bottom w:val="single" w:sz="8" w:color="A5D1E6"/>
            </w:tcBorders>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top w:val="single" w:sz="8" w:color="A5D1E6"/>
              <w:bottom w:val="single" w:sz="8" w:color="A5D1E6"/>
            </w:tcBorders>
          </w:tcPr>
          <w:p>
            <w:pPr>
              <w:jc w:val="right"/>
              <w:ind w:right="769"/>
              <w:spacing w:after="0"/>
              <w:rPr>
                <w:sz w:val="20"/>
                <w:szCs w:val="20"/>
                <w:color w:val="auto"/>
              </w:rPr>
            </w:pPr>
            <w:r>
              <w:rPr>
                <w:rFonts w:ascii="Arial" w:cs="Arial" w:eastAsia="Arial" w:hAnsi="Arial"/>
                <w:sz w:val="14"/>
                <w:szCs w:val="14"/>
                <w:color w:val="007CBA"/>
              </w:rPr>
              <w:t>20,000</w:t>
            </w:r>
          </w:p>
        </w:tc>
        <w:tc>
          <w:tcPr>
            <w:tcW w:w="0" w:type="dxa"/>
            <w:vAlign w:val="bottom"/>
          </w:tcPr>
          <w:p>
            <w:pPr>
              <w:spacing w:after="0"/>
              <w:rPr>
                <w:sz w:val="1"/>
                <w:szCs w:val="1"/>
                <w:color w:val="auto"/>
              </w:rPr>
            </w:pPr>
          </w:p>
        </w:tc>
      </w:tr>
      <w:tr>
        <w:trPr>
          <w:trHeight w:val="204"/>
        </w:trPr>
        <w:tc>
          <w:tcPr>
            <w:tcW w:w="3600" w:type="dxa"/>
            <w:vAlign w:val="bottom"/>
            <w:shd w:val="clear" w:color="auto" w:fill="E5F1F8"/>
          </w:tcPr>
          <w:p>
            <w:pPr>
              <w:ind w:left="240"/>
              <w:spacing w:after="0"/>
              <w:rPr>
                <w:sz w:val="20"/>
                <w:szCs w:val="20"/>
                <w:color w:val="auto"/>
              </w:rPr>
            </w:pPr>
            <w:r>
              <w:rPr>
                <w:rFonts w:ascii="Arial" w:cs="Arial" w:eastAsia="Arial" w:hAnsi="Arial"/>
                <w:sz w:val="14"/>
                <w:szCs w:val="14"/>
                <w:color w:val="007CBA"/>
              </w:rPr>
              <w:t>Annual Management Development and</w:t>
            </w:r>
          </w:p>
        </w:tc>
        <w:tc>
          <w:tcPr>
            <w:tcW w:w="240" w:type="dxa"/>
            <w:vAlign w:val="bottom"/>
            <w:shd w:val="clear" w:color="auto" w:fill="E5F1F8"/>
          </w:tcPr>
          <w:p>
            <w:pPr>
              <w:spacing w:after="0"/>
              <w:rPr>
                <w:sz w:val="17"/>
                <w:szCs w:val="17"/>
                <w:color w:val="auto"/>
              </w:rPr>
            </w:pPr>
          </w:p>
        </w:tc>
        <w:tc>
          <w:tcPr>
            <w:tcW w:w="13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5D1E6"/>
            </w:tcBorders>
            <w:shd w:val="clear" w:color="auto" w:fill="E5F1F8"/>
          </w:tcPr>
          <w:p>
            <w:pPr>
              <w:ind w:left="240"/>
              <w:spacing w:after="0" w:line="216" w:lineRule="exact"/>
              <w:rPr>
                <w:sz w:val="20"/>
                <w:szCs w:val="20"/>
                <w:color w:val="auto"/>
              </w:rPr>
            </w:pPr>
            <w:r>
              <w:rPr>
                <w:rFonts w:ascii="Arial" w:cs="Arial" w:eastAsia="Arial" w:hAnsi="Arial"/>
                <w:sz w:val="14"/>
                <w:szCs w:val="14"/>
                <w:color w:val="007CBA"/>
              </w:rPr>
              <w:t>Compensation Committee chair retainer</w:t>
            </w:r>
            <w:r>
              <w:rPr>
                <w:rFonts w:ascii="Arial" w:cs="Arial" w:eastAsia="Arial" w:hAnsi="Arial"/>
                <w:sz w:val="24"/>
                <w:szCs w:val="24"/>
                <w:color w:val="007CBA"/>
                <w:vertAlign w:val="superscript"/>
              </w:rPr>
              <w:t>2</w:t>
            </w:r>
          </w:p>
        </w:tc>
        <w:tc>
          <w:tcPr>
            <w:tcW w:w="24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9"/>
              <w:spacing w:after="0"/>
              <w:rPr>
                <w:sz w:val="20"/>
                <w:szCs w:val="20"/>
                <w:color w:val="auto"/>
              </w:rPr>
            </w:pPr>
            <w:r>
              <w:rPr>
                <w:rFonts w:ascii="Arial" w:cs="Arial" w:eastAsia="Arial" w:hAnsi="Arial"/>
                <w:sz w:val="14"/>
                <w:szCs w:val="14"/>
                <w:color w:val="007CBA"/>
              </w:rPr>
              <w:t>17,500</w:t>
            </w:r>
          </w:p>
        </w:tc>
        <w:tc>
          <w:tcPr>
            <w:tcW w:w="0" w:type="dxa"/>
            <w:vAlign w:val="bottom"/>
          </w:tcPr>
          <w:p>
            <w:pPr>
              <w:spacing w:after="0"/>
              <w:rPr>
                <w:sz w:val="1"/>
                <w:szCs w:val="1"/>
                <w:color w:val="auto"/>
              </w:rPr>
            </w:pPr>
          </w:p>
        </w:tc>
      </w:tr>
      <w:tr>
        <w:trPr>
          <w:trHeight w:val="260"/>
        </w:trPr>
        <w:tc>
          <w:tcPr>
            <w:tcW w:w="3600" w:type="dxa"/>
            <w:vAlign w:val="bottom"/>
            <w:tcBorders>
              <w:bottom w:val="single" w:sz="8" w:color="A5D1E6"/>
            </w:tcBorders>
          </w:tcPr>
          <w:p>
            <w:pPr>
              <w:ind w:left="240"/>
              <w:spacing w:after="0" w:line="259" w:lineRule="exact"/>
              <w:rPr>
                <w:sz w:val="20"/>
                <w:szCs w:val="20"/>
                <w:color w:val="auto"/>
              </w:rPr>
            </w:pPr>
            <w:r>
              <w:rPr>
                <w:rFonts w:ascii="Arial" w:cs="Arial" w:eastAsia="Arial" w:hAnsi="Arial"/>
                <w:sz w:val="14"/>
                <w:szCs w:val="14"/>
                <w:color w:val="007CBA"/>
              </w:rPr>
              <w:t>Annual Finance Committee chair retainer</w:t>
            </w:r>
            <w:r>
              <w:rPr>
                <w:rFonts w:ascii="Arial" w:cs="Arial" w:eastAsia="Arial" w:hAnsi="Arial"/>
                <w:sz w:val="24"/>
                <w:szCs w:val="24"/>
                <w:color w:val="007CBA"/>
                <w:vertAlign w:val="superscript"/>
              </w:rPr>
              <w:t>2</w:t>
            </w:r>
          </w:p>
        </w:tc>
        <w:tc>
          <w:tcPr>
            <w:tcW w:w="240" w:type="dxa"/>
            <w:vAlign w:val="bottom"/>
            <w:tcBorders>
              <w:bottom w:val="single" w:sz="8" w:color="A5D1E6"/>
            </w:tcBorders>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tcPr>
          <w:p>
            <w:pPr>
              <w:jc w:val="right"/>
              <w:ind w:right="769"/>
              <w:spacing w:after="0"/>
              <w:rPr>
                <w:sz w:val="20"/>
                <w:szCs w:val="20"/>
                <w:color w:val="auto"/>
              </w:rPr>
            </w:pPr>
            <w:r>
              <w:rPr>
                <w:rFonts w:ascii="Arial" w:cs="Arial" w:eastAsia="Arial" w:hAnsi="Arial"/>
                <w:sz w:val="14"/>
                <w:szCs w:val="14"/>
                <w:color w:val="007CBA"/>
              </w:rPr>
              <w:t>15,000</w:t>
            </w:r>
          </w:p>
        </w:tc>
        <w:tc>
          <w:tcPr>
            <w:tcW w:w="0" w:type="dxa"/>
            <w:vAlign w:val="bottom"/>
          </w:tcPr>
          <w:p>
            <w:pPr>
              <w:spacing w:after="0"/>
              <w:rPr>
                <w:sz w:val="1"/>
                <w:szCs w:val="1"/>
                <w:color w:val="auto"/>
              </w:rPr>
            </w:pPr>
          </w:p>
        </w:tc>
      </w:tr>
      <w:tr>
        <w:trPr>
          <w:trHeight w:val="204"/>
        </w:trPr>
        <w:tc>
          <w:tcPr>
            <w:tcW w:w="3600" w:type="dxa"/>
            <w:vAlign w:val="bottom"/>
            <w:shd w:val="clear" w:color="auto" w:fill="E5F1F8"/>
          </w:tcPr>
          <w:p>
            <w:pPr>
              <w:ind w:left="240"/>
              <w:spacing w:after="0"/>
              <w:rPr>
                <w:sz w:val="20"/>
                <w:szCs w:val="20"/>
                <w:color w:val="auto"/>
              </w:rPr>
            </w:pPr>
            <w:r>
              <w:rPr>
                <w:rFonts w:ascii="Arial" w:cs="Arial" w:eastAsia="Arial" w:hAnsi="Arial"/>
                <w:sz w:val="14"/>
                <w:szCs w:val="14"/>
                <w:color w:val="007CBA"/>
              </w:rPr>
              <w:t>Annual Nominating and Corporate Governance</w:t>
            </w:r>
          </w:p>
        </w:tc>
        <w:tc>
          <w:tcPr>
            <w:tcW w:w="240" w:type="dxa"/>
            <w:vAlign w:val="bottom"/>
            <w:shd w:val="clear" w:color="auto" w:fill="E5F1F8"/>
          </w:tcPr>
          <w:p>
            <w:pPr>
              <w:spacing w:after="0"/>
              <w:rPr>
                <w:sz w:val="17"/>
                <w:szCs w:val="17"/>
                <w:color w:val="auto"/>
              </w:rPr>
            </w:pPr>
          </w:p>
        </w:tc>
        <w:tc>
          <w:tcPr>
            <w:tcW w:w="13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5D1E6"/>
            </w:tcBorders>
            <w:shd w:val="clear" w:color="auto" w:fill="E5F1F8"/>
          </w:tcPr>
          <w:p>
            <w:pPr>
              <w:ind w:left="240"/>
              <w:spacing w:after="0" w:line="216" w:lineRule="exact"/>
              <w:rPr>
                <w:sz w:val="20"/>
                <w:szCs w:val="20"/>
                <w:color w:val="auto"/>
              </w:rPr>
            </w:pPr>
            <w:r>
              <w:rPr>
                <w:rFonts w:ascii="Arial" w:cs="Arial" w:eastAsia="Arial" w:hAnsi="Arial"/>
                <w:sz w:val="14"/>
                <w:szCs w:val="14"/>
                <w:color w:val="007CBA"/>
              </w:rPr>
              <w:t>Committee chair retainer</w:t>
            </w:r>
            <w:r>
              <w:rPr>
                <w:rFonts w:ascii="Arial" w:cs="Arial" w:eastAsia="Arial" w:hAnsi="Arial"/>
                <w:sz w:val="24"/>
                <w:szCs w:val="24"/>
                <w:color w:val="007CBA"/>
                <w:vertAlign w:val="superscript"/>
              </w:rPr>
              <w:t>2</w:t>
            </w:r>
          </w:p>
        </w:tc>
        <w:tc>
          <w:tcPr>
            <w:tcW w:w="24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9"/>
              <w:spacing w:after="0"/>
              <w:rPr>
                <w:sz w:val="20"/>
                <w:szCs w:val="20"/>
                <w:color w:val="auto"/>
              </w:rPr>
            </w:pPr>
            <w:r>
              <w:rPr>
                <w:rFonts w:ascii="Arial" w:cs="Arial" w:eastAsia="Arial" w:hAnsi="Arial"/>
                <w:sz w:val="14"/>
                <w:szCs w:val="14"/>
                <w:color w:val="007CBA"/>
              </w:rPr>
              <w:t>15,000</w:t>
            </w:r>
          </w:p>
        </w:tc>
        <w:tc>
          <w:tcPr>
            <w:tcW w:w="0" w:type="dxa"/>
            <w:vAlign w:val="bottom"/>
          </w:tcPr>
          <w:p>
            <w:pPr>
              <w:spacing w:after="0"/>
              <w:rPr>
                <w:sz w:val="1"/>
                <w:szCs w:val="1"/>
                <w:color w:val="auto"/>
              </w:rPr>
            </w:pPr>
          </w:p>
        </w:tc>
      </w:tr>
      <w:tr>
        <w:trPr>
          <w:trHeight w:val="204"/>
        </w:trPr>
        <w:tc>
          <w:tcPr>
            <w:tcW w:w="3600" w:type="dxa"/>
            <w:vAlign w:val="bottom"/>
          </w:tcPr>
          <w:p>
            <w:pPr>
              <w:ind w:left="240"/>
              <w:spacing w:after="0"/>
              <w:rPr>
                <w:sz w:val="20"/>
                <w:szCs w:val="20"/>
                <w:color w:val="auto"/>
              </w:rPr>
            </w:pPr>
            <w:r>
              <w:rPr>
                <w:rFonts w:ascii="Arial" w:cs="Arial" w:eastAsia="Arial" w:hAnsi="Arial"/>
                <w:sz w:val="14"/>
                <w:szCs w:val="14"/>
                <w:color w:val="007CBA"/>
              </w:rPr>
              <w:t>Annual Ethics, Environmental, Health &amp; Safety</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5D1E6"/>
            </w:tcBorders>
          </w:tcPr>
          <w:p>
            <w:pPr>
              <w:ind w:left="240"/>
              <w:spacing w:after="0" w:line="216" w:lineRule="exact"/>
              <w:rPr>
                <w:sz w:val="20"/>
                <w:szCs w:val="20"/>
                <w:color w:val="auto"/>
              </w:rPr>
            </w:pPr>
            <w:r>
              <w:rPr>
                <w:rFonts w:ascii="Arial" w:cs="Arial" w:eastAsia="Arial" w:hAnsi="Arial"/>
                <w:sz w:val="14"/>
                <w:szCs w:val="14"/>
                <w:color w:val="007CBA"/>
              </w:rPr>
              <w:t>Committee chair retainer</w:t>
            </w:r>
            <w:r>
              <w:rPr>
                <w:rFonts w:ascii="Arial" w:cs="Arial" w:eastAsia="Arial" w:hAnsi="Arial"/>
                <w:sz w:val="24"/>
                <w:szCs w:val="24"/>
                <w:color w:val="007CBA"/>
                <w:vertAlign w:val="superscript"/>
              </w:rPr>
              <w:t>2</w:t>
            </w:r>
          </w:p>
        </w:tc>
        <w:tc>
          <w:tcPr>
            <w:tcW w:w="240" w:type="dxa"/>
            <w:vAlign w:val="bottom"/>
            <w:tcBorders>
              <w:bottom w:val="single" w:sz="8" w:color="A5D1E6"/>
            </w:tcBorders>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tcPr>
          <w:p>
            <w:pPr>
              <w:jc w:val="right"/>
              <w:ind w:right="769"/>
              <w:spacing w:after="0"/>
              <w:rPr>
                <w:sz w:val="20"/>
                <w:szCs w:val="20"/>
                <w:color w:val="auto"/>
              </w:rPr>
            </w:pPr>
            <w:r>
              <w:rPr>
                <w:rFonts w:ascii="Arial" w:cs="Arial" w:eastAsia="Arial" w:hAnsi="Arial"/>
                <w:sz w:val="14"/>
                <w:szCs w:val="14"/>
                <w:color w:val="007CBA"/>
              </w:rPr>
              <w:t>8,000</w:t>
            </w:r>
          </w:p>
        </w:tc>
        <w:tc>
          <w:tcPr>
            <w:tcW w:w="0" w:type="dxa"/>
            <w:vAlign w:val="bottom"/>
          </w:tcPr>
          <w:p>
            <w:pPr>
              <w:spacing w:after="0"/>
              <w:rPr>
                <w:sz w:val="1"/>
                <w:szCs w:val="1"/>
                <w:color w:val="auto"/>
              </w:rPr>
            </w:pPr>
          </w:p>
        </w:tc>
      </w:tr>
      <w:tr>
        <w:trPr>
          <w:trHeight w:val="260"/>
        </w:trPr>
        <w:tc>
          <w:tcPr>
            <w:tcW w:w="3600" w:type="dxa"/>
            <w:vAlign w:val="bottom"/>
            <w:tcBorders>
              <w:bottom w:val="single" w:sz="8" w:color="A5D1E6"/>
            </w:tcBorders>
            <w:shd w:val="clear" w:color="auto" w:fill="E5F1F8"/>
          </w:tcPr>
          <w:p>
            <w:pPr>
              <w:ind w:left="240"/>
              <w:spacing w:after="0" w:line="259" w:lineRule="exact"/>
              <w:rPr>
                <w:sz w:val="20"/>
                <w:szCs w:val="20"/>
                <w:color w:val="auto"/>
              </w:rPr>
            </w:pPr>
            <w:r>
              <w:rPr>
                <w:rFonts w:ascii="Arial" w:cs="Arial" w:eastAsia="Arial" w:hAnsi="Arial"/>
                <w:sz w:val="14"/>
                <w:szCs w:val="14"/>
                <w:color w:val="007CBA"/>
              </w:rPr>
              <w:t>Annual Audit Committee member retainer</w:t>
            </w:r>
            <w:r>
              <w:rPr>
                <w:rFonts w:ascii="Arial" w:cs="Arial" w:eastAsia="Arial" w:hAnsi="Arial"/>
                <w:sz w:val="24"/>
                <w:szCs w:val="24"/>
                <w:color w:val="007CBA"/>
                <w:vertAlign w:val="superscript"/>
              </w:rPr>
              <w:t>2</w:t>
            </w:r>
          </w:p>
        </w:tc>
        <w:tc>
          <w:tcPr>
            <w:tcW w:w="24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9"/>
              <w:spacing w:after="0"/>
              <w:rPr>
                <w:sz w:val="20"/>
                <w:szCs w:val="20"/>
                <w:color w:val="auto"/>
              </w:rPr>
            </w:pPr>
            <w:r>
              <w:rPr>
                <w:rFonts w:ascii="Arial" w:cs="Arial" w:eastAsia="Arial" w:hAnsi="Arial"/>
                <w:sz w:val="14"/>
                <w:szCs w:val="14"/>
                <w:color w:val="007CBA"/>
              </w:rPr>
              <w:t>5,000</w:t>
            </w:r>
          </w:p>
        </w:tc>
        <w:tc>
          <w:tcPr>
            <w:tcW w:w="0" w:type="dxa"/>
            <w:vAlign w:val="bottom"/>
          </w:tcPr>
          <w:p>
            <w:pPr>
              <w:spacing w:after="0"/>
              <w:rPr>
                <w:sz w:val="1"/>
                <w:szCs w:val="1"/>
                <w:color w:val="auto"/>
              </w:rPr>
            </w:pPr>
          </w:p>
        </w:tc>
      </w:tr>
      <w:tr>
        <w:trPr>
          <w:trHeight w:val="271"/>
        </w:trPr>
        <w:tc>
          <w:tcPr>
            <w:tcW w:w="3600" w:type="dxa"/>
            <w:vAlign w:val="bottom"/>
          </w:tcPr>
          <w:p>
            <w:pPr>
              <w:ind w:left="240"/>
              <w:spacing w:after="0" w:line="271" w:lineRule="exact"/>
              <w:rPr>
                <w:sz w:val="20"/>
                <w:szCs w:val="20"/>
                <w:color w:val="auto"/>
              </w:rPr>
            </w:pPr>
            <w:r>
              <w:rPr>
                <w:rFonts w:ascii="Arial" w:cs="Arial" w:eastAsia="Arial" w:hAnsi="Arial"/>
                <w:sz w:val="14"/>
                <w:szCs w:val="14"/>
                <w:color w:val="007CBA"/>
              </w:rPr>
              <w:t>Annual Lead Independent Director retainer</w:t>
            </w:r>
            <w:r>
              <w:rPr>
                <w:rFonts w:ascii="Arial" w:cs="Arial" w:eastAsia="Arial" w:hAnsi="Arial"/>
                <w:sz w:val="24"/>
                <w:szCs w:val="24"/>
                <w:color w:val="007CBA"/>
                <w:vertAlign w:val="superscript"/>
              </w:rPr>
              <w:t>3</w:t>
            </w:r>
          </w:p>
        </w:tc>
        <w:tc>
          <w:tcPr>
            <w:tcW w:w="240" w:type="dxa"/>
            <w:vAlign w:val="bottom"/>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Pr>
          <w:p>
            <w:pPr>
              <w:jc w:val="right"/>
              <w:ind w:right="769"/>
              <w:spacing w:after="0"/>
              <w:rPr>
                <w:sz w:val="20"/>
                <w:szCs w:val="20"/>
                <w:color w:val="auto"/>
              </w:rPr>
            </w:pPr>
            <w:r>
              <w:rPr>
                <w:rFonts w:ascii="Arial" w:cs="Arial" w:eastAsia="Arial" w:hAnsi="Arial"/>
                <w:sz w:val="14"/>
                <w:szCs w:val="14"/>
                <w:color w:val="007CBA"/>
              </w:rPr>
              <w:t>30,250</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right="20" w:hanging="127"/>
        <w:spacing w:after="0" w:line="186" w:lineRule="auto"/>
        <w:tabs>
          <w:tab w:leader="none" w:pos="320" w:val="left"/>
        </w:tabs>
        <w:numPr>
          <w:ilvl w:val="0"/>
          <w:numId w:val="56"/>
        </w:numPr>
        <w:rPr>
          <w:rFonts w:ascii="Arial" w:cs="Arial" w:eastAsia="Arial" w:hAnsi="Arial"/>
          <w:sz w:val="22"/>
          <w:szCs w:val="22"/>
          <w:color w:val="auto"/>
          <w:vertAlign w:val="superscript"/>
        </w:rPr>
      </w:pPr>
      <w:r>
        <w:rPr>
          <w:rFonts w:ascii="Arial" w:cs="Arial" w:eastAsia="Arial" w:hAnsi="Arial"/>
          <w:sz w:val="13"/>
          <w:szCs w:val="13"/>
          <w:color w:val="auto"/>
        </w:rPr>
        <w:t>This is in addition to the annual retainer and the annual Audit Committee member retainer</w:t>
      </w:r>
    </w:p>
    <w:p>
      <w:pPr>
        <w:ind w:left="320" w:hanging="127"/>
        <w:spacing w:after="0" w:line="186" w:lineRule="auto"/>
        <w:tabs>
          <w:tab w:leader="none" w:pos="320" w:val="left"/>
        </w:tabs>
        <w:numPr>
          <w:ilvl w:val="0"/>
          <w:numId w:val="57"/>
        </w:numPr>
        <w:rPr>
          <w:rFonts w:ascii="Arial" w:cs="Arial" w:eastAsia="Arial" w:hAnsi="Arial"/>
          <w:sz w:val="18"/>
          <w:szCs w:val="18"/>
          <w:color w:val="auto"/>
          <w:vertAlign w:val="superscript"/>
        </w:rPr>
      </w:pPr>
      <w:r>
        <w:rPr>
          <w:rFonts w:ascii="Arial" w:cs="Arial" w:eastAsia="Arial" w:hAnsi="Arial"/>
          <w:sz w:val="11"/>
          <w:szCs w:val="11"/>
          <w:color w:val="auto"/>
        </w:rPr>
        <w:t>This is in addition to the annual retainer in view of increased responsibilities</w:t>
      </w:r>
    </w:p>
    <w:p>
      <w:pPr>
        <w:spacing w:after="0" w:line="7" w:lineRule="exact"/>
        <w:rPr>
          <w:sz w:val="20"/>
          <w:szCs w:val="20"/>
          <w:color w:val="auto"/>
        </w:rPr>
      </w:pPr>
    </w:p>
    <w:p>
      <w:pPr>
        <w:ind w:left="320" w:right="20" w:hanging="127"/>
        <w:spacing w:after="0" w:line="181" w:lineRule="auto"/>
        <w:tabs>
          <w:tab w:leader="none" w:pos="32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This is in addition to the annual retainer and the annual Committee chair retainers in view of increased responsibilities</w:t>
      </w:r>
    </w:p>
    <w:p>
      <w:pPr>
        <w:spacing w:after="0" w:line="20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Company reimburses Directors for the travel expenses of, or provides transportation on Company aircraft for, Board and Committee meetings, meetings with management or independent consultants or advisors, and other Company-related events, such as Investor Day and meetings with potential Board candidates. Martin Marietta’s plane was used to transport some Directors to and from Board and Committee meetings, but no Directors received personal use of Martin Marietta’s plane or other perquisites or personal benefits in 2019.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Equity Compensation Paid to Board Members</w:t>
      </w:r>
    </w:p>
    <w:p>
      <w:pPr>
        <w:spacing w:after="0" w:line="126"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Non-employee Directors received an award of restricted stock units (RSUs) with a value of $130,000 (rounded up to the nearest RSU) based on the closing price as of the date of grant,</w:t>
      </w:r>
    </w:p>
    <w:p>
      <w:pPr>
        <w:spacing w:after="0" w:line="312" w:lineRule="exact"/>
        <w:rPr>
          <w:sz w:val="20"/>
          <w:szCs w:val="20"/>
          <w:color w:val="auto"/>
        </w:rPr>
      </w:pPr>
    </w:p>
    <w:p>
      <w:pPr>
        <w:ind w:left="620" w:hanging="433"/>
        <w:spacing w:after="0"/>
        <w:tabs>
          <w:tab w:leader="none" w:pos="620" w:val="left"/>
        </w:tabs>
        <w:numPr>
          <w:ilvl w:val="0"/>
          <w:numId w:val="59"/>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
        <w:spacing w:after="0" w:line="259" w:lineRule="auto"/>
        <w:rPr>
          <w:sz w:val="20"/>
          <w:szCs w:val="20"/>
          <w:color w:val="auto"/>
        </w:rPr>
      </w:pPr>
      <w:r>
        <w:rPr>
          <w:rFonts w:ascii="Arial" w:cs="Arial" w:eastAsia="Arial" w:hAnsi="Arial"/>
          <w:sz w:val="15"/>
          <w:szCs w:val="15"/>
          <w:color w:val="auto"/>
        </w:rPr>
        <w:t>which was generally immediately following the 2019 Annual Meeting of Shareholders in May 2019. In May 2019, this award was 600 RSUs. Mr. Pike received his RSU award of 578 RSUs when he joined the Board. The RSUs granted to the Directors in 2019 were fully vested upon award. Directors are required to defer at least 50% of the RSUs until retirement from the Board. Directors may choose to voluntarily defer an additional portion of their RSUs, and any RSUs that are not so deferred are settled in shares of common stock of Martin Marietta as soon as practicable following the grant date. The RSUs were awarded under the Martin Marietta Amended and Restated Stock-Based Award Plan (the Stock Plan), which was approved by shareholders on May 19, 2016. The Stock Plan provides that, during any calendar year, no non-employee Director may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-2265045</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both"/>
        <w:ind w:left="3" w:hanging="3"/>
        <w:spacing w:after="0" w:line="247" w:lineRule="auto"/>
        <w:tabs>
          <w:tab w:leader="none" w:pos="23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restricted shares and other full-value stock-based awards, including RSUs, in respect of more than 7,000 shares of common stock of Martin Marietta or (ii) options or stock appreciation rights in respect of more than 20,000 shares of common stock of Martin Marietta.</w:t>
      </w:r>
    </w:p>
    <w:p>
      <w:pPr>
        <w:spacing w:after="0" w:line="175" w:lineRule="exact"/>
        <w:rPr>
          <w:sz w:val="20"/>
          <w:szCs w:val="20"/>
          <w:color w:val="auto"/>
        </w:rPr>
      </w:pPr>
    </w:p>
    <w:p>
      <w:pPr>
        <w:jc w:val="both"/>
        <w:ind w:left="3" w:right="20"/>
        <w:spacing w:after="0" w:line="254" w:lineRule="auto"/>
        <w:rPr>
          <w:sz w:val="20"/>
          <w:szCs w:val="20"/>
          <w:color w:val="auto"/>
        </w:rPr>
      </w:pPr>
      <w:r>
        <w:rPr>
          <w:rFonts w:ascii="Arial" w:cs="Arial" w:eastAsia="Arial" w:hAnsi="Arial"/>
          <w:sz w:val="16"/>
          <w:szCs w:val="16"/>
          <w:color w:val="auto"/>
        </w:rPr>
        <w:t>The Directors do not have voting or investment power for their respective RSUs.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Deferred Compensation Program for Board Members</w:t>
      </w:r>
    </w:p>
    <w:p>
      <w:pPr>
        <w:spacing w:after="0" w:line="126" w:lineRule="exact"/>
        <w:rPr>
          <w:sz w:val="20"/>
          <w:szCs w:val="20"/>
          <w:color w:val="auto"/>
        </w:rPr>
      </w:pPr>
    </w:p>
    <w:p>
      <w:pPr>
        <w:jc w:val="both"/>
        <w:ind w:left="3"/>
        <w:spacing w:after="0" w:line="243" w:lineRule="auto"/>
        <w:rPr>
          <w:sz w:val="20"/>
          <w:szCs w:val="20"/>
          <w:color w:val="auto"/>
        </w:rPr>
      </w:pPr>
      <w:r>
        <w:rPr>
          <w:rFonts w:ascii="Arial" w:cs="Arial" w:eastAsia="Arial" w:hAnsi="Arial"/>
          <w:sz w:val="16"/>
          <w:szCs w:val="16"/>
          <w:color w:val="auto"/>
        </w:rPr>
        <w:t xml:space="preserve">The Common Stock Purchase Plan for Directors provides that non-employee Directors may elect to receive all or a portion of their fees earned in 2019 in the form of Martin Marietta common stock units. If deferral is elected, there is a mandatory deferral minimum time of three years with, subject to certain restrictions,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of up to ten years. By resolution adopted by Martin Marietta’s Board of Directors on May 17, 2018, amounts deferred under the plan in common stock are credited toward units of common stock at 100% of the fair market value of the common stock (the closing price of the common stock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on the date the Director fees would otherwise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paid. Prior to that, amounts deferred under the plan in common stock were credited toward units of common stock at a 20% discount from the fair market value of the common stock (the closing price of the common stock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on the date the Director fees would otherwise be paid. There are no matching contributions made by Martin Marietta. Dividend equivalents are paid on the units at the same rate as dividends are paid to all shareholders. The Directors do not have voting or investment power for their respective common stock units. Directors may also elect to defer their fees into a cash-based account on the same basis. Amounts deferred under the plan in cash are credited with interest at the prime rate as of January 1 of that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1111885</wp:posOffset>
            </wp:positionV>
            <wp:extent cx="406400" cy="245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37"/>
            <w:col w:w="5323"/>
          </w:cols>
          <w:pgMar w:left="320" w:top="455"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7420"/>
        <w:spacing w:after="0" w:line="241" w:lineRule="exact"/>
        <w:tabs>
          <w:tab w:leader="none" w:pos="8860" w:val="left"/>
        </w:tabs>
        <w:rPr>
          <w:sz w:val="20"/>
          <w:szCs w:val="20"/>
          <w:color w:val="auto"/>
        </w:rPr>
      </w:pPr>
      <w:r>
        <w:rPr>
          <w:rFonts w:ascii="Arial" w:cs="Arial" w:eastAsia="Arial" w:hAnsi="Arial"/>
          <w:sz w:val="13"/>
          <w:szCs w:val="13"/>
          <w:color w:val="auto"/>
        </w:rPr>
        <w:t>Director Compensation</w:t>
      </w:r>
      <w:r>
        <w:rPr>
          <w:sz w:val="20"/>
          <w:szCs w:val="20"/>
          <w:color w:val="auto"/>
        </w:rPr>
        <w:tab/>
      </w:r>
      <w:r>
        <w:rPr>
          <w:rFonts w:ascii="MS PGothic" w:cs="MS PGothic" w:eastAsia="MS PGothic" w:hAnsi="MS PGothic"/>
          <w:sz w:val="24"/>
          <w:szCs w:val="24"/>
          <w:color w:val="007CBA"/>
        </w:rPr>
        <w:t xml:space="preserve">◆ </w:t>
      </w:r>
      <w:r>
        <w:rPr>
          <w:rFonts w:ascii="Arial" w:cs="Arial" w:eastAsia="Arial" w:hAnsi="Arial"/>
          <w:sz w:val="13"/>
          <w:szCs w:val="13"/>
          <w:color w:val="007CBA"/>
        </w:rPr>
        <w:t>Proposal 1: Election of Directors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Director Compensation Table</w:t>
      </w:r>
    </w:p>
    <w:p>
      <w:pPr>
        <w:spacing w:after="0" w:line="126"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table below summarizes the compensation paid by Martin Marietta to each person who served as a non-employee Director during the fiscal year ended December 31, 2019.</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940" w:type="dxa"/>
            <w:vAlign w:val="bottom"/>
            <w:tcBorders>
              <w:right w:val="single" w:sz="8" w:color="007CBA"/>
            </w:tcBorders>
            <w:shd w:val="clear" w:color="auto" w:fill="007CBA"/>
          </w:tcPr>
          <w:p>
            <w:pPr>
              <w:spacing w:after="0"/>
              <w:rPr>
                <w:sz w:val="15"/>
                <w:szCs w:val="15"/>
                <w:color w:val="auto"/>
              </w:rPr>
            </w:pPr>
          </w:p>
        </w:tc>
        <w:tc>
          <w:tcPr>
            <w:tcW w:w="1060" w:type="dxa"/>
            <w:vAlign w:val="bottom"/>
            <w:tcBorders>
              <w:right w:val="single" w:sz="8" w:color="007CBA"/>
            </w:tcBorders>
            <w:shd w:val="clear" w:color="auto" w:fill="007CBA"/>
          </w:tcPr>
          <w:p>
            <w:pPr>
              <w:spacing w:after="0"/>
              <w:rPr>
                <w:sz w:val="15"/>
                <w:szCs w:val="15"/>
                <w:color w:val="auto"/>
              </w:rPr>
            </w:pPr>
          </w:p>
        </w:tc>
        <w:tc>
          <w:tcPr>
            <w:tcW w:w="1080" w:type="dxa"/>
            <w:vAlign w:val="bottom"/>
            <w:tcBorders>
              <w:right w:val="single" w:sz="8" w:color="007CBA"/>
            </w:tcBorders>
            <w:shd w:val="clear" w:color="auto" w:fill="007CBA"/>
          </w:tcPr>
          <w:p>
            <w:pPr>
              <w:spacing w:after="0"/>
              <w:rPr>
                <w:sz w:val="15"/>
                <w:szCs w:val="15"/>
                <w:color w:val="auto"/>
              </w:rPr>
            </w:pPr>
          </w:p>
        </w:tc>
        <w:tc>
          <w:tcPr>
            <w:tcW w:w="1500" w:type="dxa"/>
            <w:vAlign w:val="bottom"/>
            <w:tcBorders>
              <w:right w:val="single" w:sz="8" w:color="007CBA"/>
            </w:tcBorders>
            <w:shd w:val="clear" w:color="auto" w:fill="007CBA"/>
          </w:tcPr>
          <w:p>
            <w:pPr>
              <w:jc w:val="center"/>
              <w:ind w:left="110"/>
              <w:spacing w:after="0"/>
              <w:rPr>
                <w:sz w:val="20"/>
                <w:szCs w:val="20"/>
                <w:color w:val="auto"/>
              </w:rPr>
            </w:pPr>
            <w:r>
              <w:rPr>
                <w:rFonts w:ascii="Arial" w:cs="Arial" w:eastAsia="Arial" w:hAnsi="Arial"/>
                <w:sz w:val="14"/>
                <w:szCs w:val="14"/>
                <w:b w:val="1"/>
                <w:bCs w:val="1"/>
                <w:color w:val="FFFFFF"/>
              </w:rPr>
              <w:t>Change in Pension</w:t>
            </w:r>
          </w:p>
        </w:tc>
        <w:tc>
          <w:tcPr>
            <w:tcW w:w="1220" w:type="dxa"/>
            <w:vAlign w:val="bottom"/>
            <w:tcBorders>
              <w:right w:val="single" w:sz="8" w:color="007CBA"/>
            </w:tcBorders>
            <w:shd w:val="clear" w:color="auto" w:fill="007CBA"/>
          </w:tcPr>
          <w:p>
            <w:pPr>
              <w:spacing w:after="0"/>
              <w:rPr>
                <w:sz w:val="15"/>
                <w:szCs w:val="15"/>
                <w:color w:val="auto"/>
              </w:rPr>
            </w:pPr>
          </w:p>
        </w:tc>
        <w:tc>
          <w:tcPr>
            <w:tcW w:w="1060" w:type="dxa"/>
            <w:vAlign w:val="bottom"/>
            <w:shd w:val="clear" w:color="auto" w:fill="007CBA"/>
          </w:tcPr>
          <w:p>
            <w:pPr>
              <w:spacing w:after="0"/>
              <w:rPr>
                <w:sz w:val="15"/>
                <w:szCs w:val="15"/>
                <w:color w:val="auto"/>
              </w:rPr>
            </w:pPr>
          </w:p>
        </w:tc>
      </w:tr>
      <w:tr>
        <w:trPr>
          <w:trHeight w:val="160"/>
        </w:trPr>
        <w:tc>
          <w:tcPr>
            <w:tcW w:w="494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spacing w:after="0"/>
              <w:rPr>
                <w:sz w:val="13"/>
                <w:szCs w:val="13"/>
                <w:color w:val="auto"/>
              </w:rPr>
            </w:pPr>
          </w:p>
        </w:tc>
        <w:tc>
          <w:tcPr>
            <w:tcW w:w="1080" w:type="dxa"/>
            <w:vAlign w:val="bottom"/>
            <w:tcBorders>
              <w:right w:val="single" w:sz="8" w:color="007CBA"/>
            </w:tcBorders>
            <w:shd w:val="clear" w:color="auto" w:fill="007CBA"/>
          </w:tcPr>
          <w:p>
            <w:pPr>
              <w:spacing w:after="0"/>
              <w:rPr>
                <w:sz w:val="13"/>
                <w:szCs w:val="13"/>
                <w:color w:val="auto"/>
              </w:rPr>
            </w:pPr>
          </w:p>
        </w:tc>
        <w:tc>
          <w:tcPr>
            <w:tcW w:w="1500" w:type="dxa"/>
            <w:vAlign w:val="bottom"/>
            <w:tcBorders>
              <w:right w:val="single" w:sz="8" w:color="007CBA"/>
            </w:tcBorders>
            <w:shd w:val="clear" w:color="auto" w:fill="007CBA"/>
          </w:tcPr>
          <w:p>
            <w:pPr>
              <w:jc w:val="center"/>
              <w:ind w:left="90"/>
              <w:spacing w:after="0" w:line="160" w:lineRule="exact"/>
              <w:rPr>
                <w:sz w:val="20"/>
                <w:szCs w:val="20"/>
                <w:color w:val="auto"/>
              </w:rPr>
            </w:pPr>
            <w:r>
              <w:rPr>
                <w:rFonts w:ascii="Arial" w:cs="Arial" w:eastAsia="Arial" w:hAnsi="Arial"/>
                <w:sz w:val="14"/>
                <w:szCs w:val="14"/>
                <w:b w:val="1"/>
                <w:bCs w:val="1"/>
                <w:color w:val="FFFFFF"/>
                <w:w w:val="99"/>
              </w:rPr>
              <w:t>Value and</w:t>
            </w:r>
          </w:p>
        </w:tc>
        <w:tc>
          <w:tcPr>
            <w:tcW w:w="122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spacing w:after="0"/>
              <w:rPr>
                <w:sz w:val="13"/>
                <w:szCs w:val="13"/>
                <w:color w:val="auto"/>
              </w:rPr>
            </w:pPr>
          </w:p>
        </w:tc>
      </w:tr>
      <w:tr>
        <w:trPr>
          <w:trHeight w:val="160"/>
        </w:trPr>
        <w:tc>
          <w:tcPr>
            <w:tcW w:w="494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spacing w:after="0"/>
              <w:rPr>
                <w:sz w:val="13"/>
                <w:szCs w:val="13"/>
                <w:color w:val="auto"/>
              </w:rPr>
            </w:pPr>
          </w:p>
        </w:tc>
        <w:tc>
          <w:tcPr>
            <w:tcW w:w="1080" w:type="dxa"/>
            <w:vAlign w:val="bottom"/>
            <w:tcBorders>
              <w:right w:val="single" w:sz="8" w:color="007CBA"/>
            </w:tcBorders>
            <w:shd w:val="clear" w:color="auto" w:fill="007CBA"/>
          </w:tcPr>
          <w:p>
            <w:pPr>
              <w:spacing w:after="0"/>
              <w:rPr>
                <w:sz w:val="13"/>
                <w:szCs w:val="13"/>
                <w:color w:val="auto"/>
              </w:rPr>
            </w:pPr>
          </w:p>
        </w:tc>
        <w:tc>
          <w:tcPr>
            <w:tcW w:w="1500" w:type="dxa"/>
            <w:vAlign w:val="bottom"/>
            <w:tcBorders>
              <w:right w:val="single" w:sz="8" w:color="007CBA"/>
            </w:tcBorders>
            <w:shd w:val="clear" w:color="auto" w:fill="007CBA"/>
          </w:tcPr>
          <w:p>
            <w:pPr>
              <w:jc w:val="center"/>
              <w:ind w:left="90"/>
              <w:spacing w:after="0" w:line="160" w:lineRule="exact"/>
              <w:rPr>
                <w:sz w:val="20"/>
                <w:szCs w:val="20"/>
                <w:color w:val="auto"/>
              </w:rPr>
            </w:pPr>
            <w:r>
              <w:rPr>
                <w:rFonts w:ascii="Arial" w:cs="Arial" w:eastAsia="Arial" w:hAnsi="Arial"/>
                <w:sz w:val="14"/>
                <w:szCs w:val="14"/>
                <w:b w:val="1"/>
                <w:bCs w:val="1"/>
                <w:color w:val="FFFFFF"/>
              </w:rPr>
              <w:t>Nonqualified</w:t>
            </w:r>
          </w:p>
        </w:tc>
        <w:tc>
          <w:tcPr>
            <w:tcW w:w="122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spacing w:after="0"/>
              <w:rPr>
                <w:sz w:val="13"/>
                <w:szCs w:val="13"/>
                <w:color w:val="auto"/>
              </w:rPr>
            </w:pPr>
          </w:p>
        </w:tc>
      </w:tr>
      <w:tr>
        <w:trPr>
          <w:trHeight w:val="160"/>
        </w:trPr>
        <w:tc>
          <w:tcPr>
            <w:tcW w:w="494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jc w:val="center"/>
              <w:ind w:left="70"/>
              <w:spacing w:after="0" w:line="160" w:lineRule="exact"/>
              <w:rPr>
                <w:sz w:val="20"/>
                <w:szCs w:val="20"/>
                <w:color w:val="auto"/>
              </w:rPr>
            </w:pPr>
            <w:r>
              <w:rPr>
                <w:rFonts w:ascii="Arial" w:cs="Arial" w:eastAsia="Arial" w:hAnsi="Arial"/>
                <w:sz w:val="14"/>
                <w:szCs w:val="14"/>
                <w:b w:val="1"/>
                <w:bCs w:val="1"/>
                <w:color w:val="FFFFFF"/>
              </w:rPr>
              <w:t>Fees</w:t>
            </w:r>
          </w:p>
        </w:tc>
        <w:tc>
          <w:tcPr>
            <w:tcW w:w="1080" w:type="dxa"/>
            <w:vAlign w:val="bottom"/>
            <w:tcBorders>
              <w:right w:val="single" w:sz="8" w:color="007CBA"/>
            </w:tcBorders>
            <w:shd w:val="clear" w:color="auto" w:fill="007CBA"/>
          </w:tcPr>
          <w:p>
            <w:pPr>
              <w:spacing w:after="0"/>
              <w:rPr>
                <w:sz w:val="13"/>
                <w:szCs w:val="13"/>
                <w:color w:val="auto"/>
              </w:rPr>
            </w:pPr>
          </w:p>
        </w:tc>
        <w:tc>
          <w:tcPr>
            <w:tcW w:w="1500" w:type="dxa"/>
            <w:vAlign w:val="bottom"/>
            <w:tcBorders>
              <w:right w:val="single" w:sz="8" w:color="007CBA"/>
            </w:tcBorders>
            <w:shd w:val="clear" w:color="auto" w:fill="007CBA"/>
          </w:tcPr>
          <w:p>
            <w:pPr>
              <w:jc w:val="center"/>
              <w:ind w:left="90"/>
              <w:spacing w:after="0" w:line="160" w:lineRule="exact"/>
              <w:rPr>
                <w:sz w:val="20"/>
                <w:szCs w:val="20"/>
                <w:color w:val="auto"/>
              </w:rPr>
            </w:pPr>
            <w:r>
              <w:rPr>
                <w:rFonts w:ascii="Arial" w:cs="Arial" w:eastAsia="Arial" w:hAnsi="Arial"/>
                <w:sz w:val="14"/>
                <w:szCs w:val="14"/>
                <w:b w:val="1"/>
                <w:bCs w:val="1"/>
                <w:color w:val="FFFFFF"/>
              </w:rPr>
              <w:t>Deferred</w:t>
            </w:r>
          </w:p>
        </w:tc>
        <w:tc>
          <w:tcPr>
            <w:tcW w:w="122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spacing w:after="0"/>
              <w:rPr>
                <w:sz w:val="13"/>
                <w:szCs w:val="13"/>
                <w:color w:val="auto"/>
              </w:rPr>
            </w:pPr>
          </w:p>
        </w:tc>
      </w:tr>
      <w:tr>
        <w:trPr>
          <w:trHeight w:val="160"/>
        </w:trPr>
        <w:tc>
          <w:tcPr>
            <w:tcW w:w="494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jc w:val="center"/>
              <w:ind w:left="90"/>
              <w:spacing w:after="0" w:line="160" w:lineRule="exact"/>
              <w:rPr>
                <w:sz w:val="20"/>
                <w:szCs w:val="20"/>
                <w:color w:val="auto"/>
              </w:rPr>
            </w:pPr>
            <w:r>
              <w:rPr>
                <w:rFonts w:ascii="Arial" w:cs="Arial" w:eastAsia="Arial" w:hAnsi="Arial"/>
                <w:sz w:val="14"/>
                <w:szCs w:val="14"/>
                <w:b w:val="1"/>
                <w:bCs w:val="1"/>
                <w:color w:val="FFFFFF"/>
              </w:rPr>
              <w:t>Earned or</w:t>
            </w:r>
          </w:p>
        </w:tc>
        <w:tc>
          <w:tcPr>
            <w:tcW w:w="1080" w:type="dxa"/>
            <w:vAlign w:val="bottom"/>
            <w:tcBorders>
              <w:right w:val="single" w:sz="8" w:color="007CBA"/>
            </w:tcBorders>
            <w:shd w:val="clear" w:color="auto" w:fill="007CBA"/>
          </w:tcPr>
          <w:p>
            <w:pPr>
              <w:jc w:val="center"/>
              <w:ind w:right="70"/>
              <w:spacing w:after="0" w:line="160" w:lineRule="exact"/>
              <w:rPr>
                <w:sz w:val="20"/>
                <w:szCs w:val="20"/>
                <w:color w:val="auto"/>
              </w:rPr>
            </w:pPr>
            <w:r>
              <w:rPr>
                <w:rFonts w:ascii="Arial" w:cs="Arial" w:eastAsia="Arial" w:hAnsi="Arial"/>
                <w:sz w:val="14"/>
                <w:szCs w:val="14"/>
                <w:b w:val="1"/>
                <w:bCs w:val="1"/>
                <w:color w:val="FFFFFF"/>
                <w:w w:val="99"/>
              </w:rPr>
              <w:t>Stock</w:t>
            </w:r>
          </w:p>
        </w:tc>
        <w:tc>
          <w:tcPr>
            <w:tcW w:w="1500" w:type="dxa"/>
            <w:vAlign w:val="bottom"/>
            <w:tcBorders>
              <w:right w:val="single" w:sz="8" w:color="007CBA"/>
            </w:tcBorders>
            <w:shd w:val="clear" w:color="auto" w:fill="007CBA"/>
          </w:tcPr>
          <w:p>
            <w:pPr>
              <w:jc w:val="center"/>
              <w:ind w:left="90"/>
              <w:spacing w:after="0" w:line="160" w:lineRule="exact"/>
              <w:rPr>
                <w:sz w:val="20"/>
                <w:szCs w:val="20"/>
                <w:color w:val="auto"/>
              </w:rPr>
            </w:pPr>
            <w:r>
              <w:rPr>
                <w:rFonts w:ascii="Arial" w:cs="Arial" w:eastAsia="Arial" w:hAnsi="Arial"/>
                <w:sz w:val="14"/>
                <w:szCs w:val="14"/>
                <w:b w:val="1"/>
                <w:bCs w:val="1"/>
                <w:color w:val="FFFFFF"/>
              </w:rPr>
              <w:t>Compensation</w:t>
            </w:r>
          </w:p>
        </w:tc>
        <w:tc>
          <w:tcPr>
            <w:tcW w:w="1220" w:type="dxa"/>
            <w:vAlign w:val="bottom"/>
            <w:tcBorders>
              <w:right w:val="single" w:sz="8" w:color="007CBA"/>
            </w:tcBorders>
            <w:shd w:val="clear" w:color="auto" w:fill="007CBA"/>
          </w:tcPr>
          <w:p>
            <w:pPr>
              <w:jc w:val="center"/>
              <w:ind w:left="70"/>
              <w:spacing w:after="0" w:line="160" w:lineRule="exact"/>
              <w:rPr>
                <w:sz w:val="20"/>
                <w:szCs w:val="20"/>
                <w:color w:val="auto"/>
              </w:rPr>
            </w:pPr>
            <w:r>
              <w:rPr>
                <w:rFonts w:ascii="Arial" w:cs="Arial" w:eastAsia="Arial" w:hAnsi="Arial"/>
                <w:sz w:val="14"/>
                <w:szCs w:val="14"/>
                <w:b w:val="1"/>
                <w:bCs w:val="1"/>
                <w:color w:val="FFFFFF"/>
              </w:rPr>
              <w:t>All Other</w:t>
            </w:r>
          </w:p>
        </w:tc>
        <w:tc>
          <w:tcPr>
            <w:tcW w:w="1060" w:type="dxa"/>
            <w:vAlign w:val="bottom"/>
            <w:shd w:val="clear" w:color="auto" w:fill="007CBA"/>
          </w:tcPr>
          <w:p>
            <w:pPr>
              <w:spacing w:after="0"/>
              <w:rPr>
                <w:sz w:val="13"/>
                <w:szCs w:val="13"/>
                <w:color w:val="auto"/>
              </w:rPr>
            </w:pPr>
          </w:p>
        </w:tc>
      </w:tr>
      <w:tr>
        <w:trPr>
          <w:trHeight w:val="157"/>
        </w:trPr>
        <w:tc>
          <w:tcPr>
            <w:tcW w:w="494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jc w:val="center"/>
              <w:ind w:left="90"/>
              <w:spacing w:after="0" w:line="157" w:lineRule="exact"/>
              <w:rPr>
                <w:sz w:val="20"/>
                <w:szCs w:val="20"/>
                <w:color w:val="auto"/>
              </w:rPr>
            </w:pPr>
            <w:r>
              <w:rPr>
                <w:rFonts w:ascii="Arial" w:cs="Arial" w:eastAsia="Arial" w:hAnsi="Arial"/>
                <w:sz w:val="14"/>
                <w:szCs w:val="14"/>
                <w:b w:val="1"/>
                <w:bCs w:val="1"/>
                <w:color w:val="FFFFFF"/>
              </w:rPr>
              <w:t>Paid in Cash</w:t>
            </w:r>
          </w:p>
        </w:tc>
        <w:tc>
          <w:tcPr>
            <w:tcW w:w="1080" w:type="dxa"/>
            <w:vAlign w:val="bottom"/>
            <w:tcBorders>
              <w:right w:val="single" w:sz="8" w:color="007CBA"/>
            </w:tcBorders>
            <w:shd w:val="clear" w:color="auto" w:fill="007CBA"/>
          </w:tcPr>
          <w:p>
            <w:pPr>
              <w:jc w:val="center"/>
              <w:ind w:right="90"/>
              <w:spacing w:after="0" w:line="157" w:lineRule="exact"/>
              <w:rPr>
                <w:sz w:val="20"/>
                <w:szCs w:val="20"/>
                <w:color w:val="auto"/>
              </w:rPr>
            </w:pPr>
            <w:r>
              <w:rPr>
                <w:rFonts w:ascii="Arial" w:cs="Arial" w:eastAsia="Arial" w:hAnsi="Arial"/>
                <w:sz w:val="14"/>
                <w:szCs w:val="14"/>
                <w:b w:val="1"/>
                <w:bCs w:val="1"/>
                <w:color w:val="FFFFFF"/>
              </w:rPr>
              <w:t>Awards</w:t>
            </w:r>
          </w:p>
        </w:tc>
        <w:tc>
          <w:tcPr>
            <w:tcW w:w="1500" w:type="dxa"/>
            <w:vAlign w:val="bottom"/>
            <w:tcBorders>
              <w:right w:val="single" w:sz="8" w:color="007CBA"/>
            </w:tcBorders>
            <w:shd w:val="clear" w:color="auto" w:fill="007CBA"/>
          </w:tcPr>
          <w:p>
            <w:pPr>
              <w:jc w:val="center"/>
              <w:ind w:left="110"/>
              <w:spacing w:after="0" w:line="157" w:lineRule="exact"/>
              <w:rPr>
                <w:sz w:val="20"/>
                <w:szCs w:val="20"/>
                <w:color w:val="auto"/>
              </w:rPr>
            </w:pPr>
            <w:r>
              <w:rPr>
                <w:rFonts w:ascii="Arial" w:cs="Arial" w:eastAsia="Arial" w:hAnsi="Arial"/>
                <w:sz w:val="14"/>
                <w:szCs w:val="14"/>
                <w:b w:val="1"/>
                <w:bCs w:val="1"/>
                <w:color w:val="FFFFFF"/>
              </w:rPr>
              <w:t>Earnings</w:t>
            </w:r>
          </w:p>
        </w:tc>
        <w:tc>
          <w:tcPr>
            <w:tcW w:w="1220" w:type="dxa"/>
            <w:vAlign w:val="bottom"/>
            <w:tcBorders>
              <w:right w:val="single" w:sz="8" w:color="007CBA"/>
            </w:tcBorders>
            <w:shd w:val="clear" w:color="auto" w:fill="007CBA"/>
          </w:tcPr>
          <w:p>
            <w:pPr>
              <w:jc w:val="center"/>
              <w:ind w:left="90"/>
              <w:spacing w:after="0" w:line="157" w:lineRule="exact"/>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007CBA"/>
          </w:tcPr>
          <w:p>
            <w:pPr>
              <w:jc w:val="right"/>
              <w:ind w:right="369"/>
              <w:spacing w:after="0" w:line="157" w:lineRule="exact"/>
              <w:rPr>
                <w:sz w:val="20"/>
                <w:szCs w:val="20"/>
                <w:color w:val="auto"/>
              </w:rPr>
            </w:pPr>
            <w:r>
              <w:rPr>
                <w:rFonts w:ascii="Arial" w:cs="Arial" w:eastAsia="Arial" w:hAnsi="Arial"/>
                <w:sz w:val="14"/>
                <w:szCs w:val="14"/>
                <w:b w:val="1"/>
                <w:bCs w:val="1"/>
                <w:color w:val="FFFFFF"/>
              </w:rPr>
              <w:t>Total</w:t>
            </w:r>
          </w:p>
        </w:tc>
      </w:tr>
      <w:tr>
        <w:trPr>
          <w:trHeight w:val="163"/>
        </w:trPr>
        <w:tc>
          <w:tcPr>
            <w:tcW w:w="4940" w:type="dxa"/>
            <w:vAlign w:val="bottom"/>
            <w:tcBorders>
              <w:right w:val="single" w:sz="8" w:color="007CBA"/>
            </w:tcBorders>
            <w:shd w:val="clear" w:color="auto" w:fill="007CBA"/>
          </w:tcPr>
          <w:p>
            <w:pPr>
              <w:ind w:left="60"/>
              <w:spacing w:after="0" w:line="164" w:lineRule="exact"/>
              <w:rPr>
                <w:sz w:val="20"/>
                <w:szCs w:val="20"/>
                <w:color w:val="auto"/>
              </w:rPr>
            </w:pPr>
            <w:r>
              <w:rPr>
                <w:rFonts w:ascii="Arial" w:cs="Arial" w:eastAsia="Arial" w:hAnsi="Arial"/>
                <w:sz w:val="11"/>
                <w:szCs w:val="11"/>
                <w:b w:val="1"/>
                <w:bCs w:val="1"/>
                <w:color w:val="FFFFFF"/>
              </w:rPr>
              <w:t>Name</w:t>
            </w:r>
            <w:r>
              <w:rPr>
                <w:rFonts w:ascii="Arial" w:cs="Arial" w:eastAsia="Arial" w:hAnsi="Arial"/>
                <w:sz w:val="18"/>
                <w:szCs w:val="18"/>
                <w:b w:val="1"/>
                <w:bCs w:val="1"/>
                <w:color w:val="FFFFFF"/>
                <w:vertAlign w:val="superscript"/>
              </w:rPr>
              <w:t>1</w:t>
            </w:r>
          </w:p>
        </w:tc>
        <w:tc>
          <w:tcPr>
            <w:tcW w:w="1060" w:type="dxa"/>
            <w:vAlign w:val="bottom"/>
            <w:tcBorders>
              <w:right w:val="single" w:sz="8" w:color="007CBA"/>
            </w:tcBorders>
            <w:shd w:val="clear" w:color="auto" w:fill="007CBA"/>
          </w:tcPr>
          <w:p>
            <w:pPr>
              <w:jc w:val="center"/>
              <w:ind w:left="110"/>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2</w:t>
            </w:r>
          </w:p>
        </w:tc>
        <w:tc>
          <w:tcPr>
            <w:tcW w:w="1080" w:type="dxa"/>
            <w:vAlign w:val="bottom"/>
            <w:tcBorders>
              <w:right w:val="single" w:sz="8" w:color="007CBA"/>
            </w:tcBorders>
            <w:shd w:val="clear" w:color="auto" w:fill="007CBA"/>
          </w:tcPr>
          <w:p>
            <w:pPr>
              <w:jc w:val="center"/>
              <w:ind w:right="50"/>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3</w:t>
            </w:r>
          </w:p>
        </w:tc>
        <w:tc>
          <w:tcPr>
            <w:tcW w:w="1500" w:type="dxa"/>
            <w:vAlign w:val="bottom"/>
            <w:tcBorders>
              <w:right w:val="single" w:sz="8" w:color="007CBA"/>
            </w:tcBorders>
            <w:shd w:val="clear" w:color="auto" w:fill="007CBA"/>
          </w:tcPr>
          <w:p>
            <w:pPr>
              <w:jc w:val="center"/>
              <w:ind w:left="150"/>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4</w:t>
            </w:r>
          </w:p>
        </w:tc>
        <w:tc>
          <w:tcPr>
            <w:tcW w:w="1220" w:type="dxa"/>
            <w:vAlign w:val="bottom"/>
            <w:tcBorders>
              <w:right w:val="single" w:sz="8" w:color="007CBA"/>
            </w:tcBorders>
            <w:shd w:val="clear" w:color="auto" w:fill="007CBA"/>
          </w:tcPr>
          <w:p>
            <w:pPr>
              <w:jc w:val="center"/>
              <w:ind w:left="70"/>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5</w:t>
            </w:r>
          </w:p>
        </w:tc>
        <w:tc>
          <w:tcPr>
            <w:tcW w:w="1060" w:type="dxa"/>
            <w:vAlign w:val="bottom"/>
            <w:shd w:val="clear" w:color="auto" w:fill="007CBA"/>
          </w:tcPr>
          <w:p>
            <w:pPr>
              <w:jc w:val="right"/>
              <w:ind w:right="449"/>
              <w:spacing w:after="0"/>
              <w:rPr>
                <w:sz w:val="20"/>
                <w:szCs w:val="20"/>
                <w:color w:val="auto"/>
              </w:rPr>
            </w:pPr>
            <w:r>
              <w:rPr>
                <w:rFonts w:ascii="Arial" w:cs="Arial" w:eastAsia="Arial" w:hAnsi="Arial"/>
                <w:sz w:val="14"/>
                <w:szCs w:val="14"/>
                <w:b w:val="1"/>
                <w:bCs w:val="1"/>
                <w:color w:val="FFFFFF"/>
              </w:rPr>
              <w:t>($)</w:t>
            </w:r>
          </w:p>
        </w:tc>
      </w:tr>
      <w:tr>
        <w:trPr>
          <w:trHeight w:val="187"/>
        </w:trPr>
        <w:tc>
          <w:tcPr>
            <w:tcW w:w="49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060" w:type="dxa"/>
            <w:vAlign w:val="bottom"/>
            <w:tcBorders>
              <w:right w:val="single" w:sz="8" w:color="007CBA"/>
            </w:tcBorders>
            <w:shd w:val="clear" w:color="auto" w:fill="007CBA"/>
          </w:tcPr>
          <w:p>
            <w:pPr>
              <w:jc w:val="center"/>
              <w:ind w:left="90"/>
              <w:spacing w:after="0"/>
              <w:rPr>
                <w:sz w:val="20"/>
                <w:szCs w:val="20"/>
                <w:color w:val="auto"/>
              </w:rPr>
            </w:pPr>
            <w:r>
              <w:rPr>
                <w:rFonts w:ascii="Arial" w:cs="Arial" w:eastAsia="Arial" w:hAnsi="Arial"/>
                <w:sz w:val="14"/>
                <w:szCs w:val="14"/>
                <w:b w:val="1"/>
                <w:bCs w:val="1"/>
                <w:color w:val="FFFFFF"/>
              </w:rPr>
              <w:t>(b)</w:t>
            </w:r>
          </w:p>
        </w:tc>
        <w:tc>
          <w:tcPr>
            <w:tcW w:w="1080" w:type="dxa"/>
            <w:vAlign w:val="bottom"/>
            <w:tcBorders>
              <w:right w:val="single" w:sz="8" w:color="007CBA"/>
            </w:tcBorders>
            <w:shd w:val="clear" w:color="auto" w:fill="007CBA"/>
          </w:tcPr>
          <w:p>
            <w:pPr>
              <w:jc w:val="center"/>
              <w:ind w:right="70"/>
              <w:spacing w:after="0"/>
              <w:rPr>
                <w:sz w:val="20"/>
                <w:szCs w:val="20"/>
                <w:color w:val="auto"/>
              </w:rPr>
            </w:pPr>
            <w:r>
              <w:rPr>
                <w:rFonts w:ascii="Arial" w:cs="Arial" w:eastAsia="Arial" w:hAnsi="Arial"/>
                <w:sz w:val="14"/>
                <w:szCs w:val="14"/>
                <w:b w:val="1"/>
                <w:bCs w:val="1"/>
                <w:color w:val="FFFFFF"/>
              </w:rPr>
              <w:t>(c)</w:t>
            </w:r>
          </w:p>
        </w:tc>
        <w:tc>
          <w:tcPr>
            <w:tcW w:w="1500" w:type="dxa"/>
            <w:vAlign w:val="bottom"/>
            <w:tcBorders>
              <w:right w:val="single" w:sz="8" w:color="007CBA"/>
            </w:tcBorders>
            <w:shd w:val="clear" w:color="auto" w:fill="007CBA"/>
          </w:tcPr>
          <w:p>
            <w:pPr>
              <w:jc w:val="center"/>
              <w:ind w:left="90"/>
              <w:spacing w:after="0"/>
              <w:rPr>
                <w:sz w:val="20"/>
                <w:szCs w:val="20"/>
                <w:color w:val="auto"/>
              </w:rPr>
            </w:pPr>
            <w:r>
              <w:rPr>
                <w:rFonts w:ascii="Arial" w:cs="Arial" w:eastAsia="Arial" w:hAnsi="Arial"/>
                <w:sz w:val="14"/>
                <w:szCs w:val="14"/>
                <w:b w:val="1"/>
                <w:bCs w:val="1"/>
                <w:color w:val="FFFFFF"/>
                <w:w w:val="99"/>
              </w:rPr>
              <w:t>(f)</w:t>
            </w:r>
          </w:p>
        </w:tc>
        <w:tc>
          <w:tcPr>
            <w:tcW w:w="1220" w:type="dxa"/>
            <w:vAlign w:val="bottom"/>
            <w:tcBorders>
              <w:right w:val="single" w:sz="8" w:color="007CBA"/>
            </w:tcBorders>
            <w:shd w:val="clear" w:color="auto" w:fill="007CBA"/>
          </w:tcPr>
          <w:p>
            <w:pPr>
              <w:jc w:val="center"/>
              <w:ind w:left="90"/>
              <w:spacing w:after="0"/>
              <w:rPr>
                <w:sz w:val="20"/>
                <w:szCs w:val="20"/>
                <w:color w:val="auto"/>
              </w:rPr>
            </w:pPr>
            <w:r>
              <w:rPr>
                <w:rFonts w:ascii="Arial" w:cs="Arial" w:eastAsia="Arial" w:hAnsi="Arial"/>
                <w:sz w:val="14"/>
                <w:szCs w:val="14"/>
                <w:b w:val="1"/>
                <w:bCs w:val="1"/>
                <w:color w:val="FFFFFF"/>
              </w:rPr>
              <w:t>(g)</w:t>
            </w:r>
          </w:p>
        </w:tc>
        <w:tc>
          <w:tcPr>
            <w:tcW w:w="1060" w:type="dxa"/>
            <w:vAlign w:val="bottom"/>
            <w:shd w:val="clear" w:color="auto" w:fill="007CBA"/>
          </w:tcPr>
          <w:p>
            <w:pPr>
              <w:jc w:val="right"/>
              <w:ind w:right="429"/>
              <w:spacing w:after="0"/>
              <w:rPr>
                <w:sz w:val="20"/>
                <w:szCs w:val="20"/>
                <w:color w:val="auto"/>
              </w:rPr>
            </w:pPr>
            <w:r>
              <w:rPr>
                <w:rFonts w:ascii="Arial" w:cs="Arial" w:eastAsia="Arial" w:hAnsi="Arial"/>
                <w:sz w:val="14"/>
                <w:szCs w:val="14"/>
                <w:b w:val="1"/>
                <w:bCs w:val="1"/>
                <w:color w:val="FFFFFF"/>
              </w:rPr>
              <w:t>(h)</w:t>
            </w:r>
          </w:p>
        </w:tc>
      </w:tr>
      <w:tr>
        <w:trPr>
          <w:trHeight w:val="227"/>
        </w:trPr>
        <w:tc>
          <w:tcPr>
            <w:tcW w:w="4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Dorothy M. Ables</w:t>
            </w:r>
          </w:p>
        </w:tc>
        <w:tc>
          <w:tcPr>
            <w:tcW w:w="10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125,000</w:t>
            </w:r>
          </w:p>
        </w:tc>
        <w:tc>
          <w:tcPr>
            <w:tcW w:w="1080" w:type="dxa"/>
            <w:vAlign w:val="bottom"/>
            <w:tcBorders>
              <w:right w:val="single" w:sz="8" w:color="007CBA"/>
            </w:tcBorders>
            <w:shd w:val="clear" w:color="auto" w:fill="E5F1F8"/>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shd w:val="clear" w:color="auto" w:fill="E5F1F8"/>
          </w:tcPr>
          <w:p>
            <w:pPr>
              <w:jc w:val="right"/>
              <w:ind w:right="370"/>
              <w:spacing w:after="0"/>
              <w:rPr>
                <w:sz w:val="20"/>
                <w:szCs w:val="20"/>
                <w:color w:val="auto"/>
              </w:rPr>
            </w:pPr>
            <w:r>
              <w:rPr>
                <w:rFonts w:ascii="Arial" w:cs="Arial" w:eastAsia="Arial" w:hAnsi="Arial"/>
                <w:sz w:val="14"/>
                <w:szCs w:val="14"/>
                <w:color w:val="auto"/>
              </w:rPr>
              <w:t>64</w:t>
            </w:r>
          </w:p>
        </w:tc>
        <w:tc>
          <w:tcPr>
            <w:tcW w:w="1220" w:type="dxa"/>
            <w:vAlign w:val="bottom"/>
            <w:tcBorders>
              <w:right w:val="single" w:sz="8" w:color="007CBA"/>
            </w:tcBorders>
            <w:shd w:val="clear" w:color="auto" w:fill="E5F1F8"/>
          </w:tcPr>
          <w:p>
            <w:pPr>
              <w:jc w:val="right"/>
              <w:ind w:right="250"/>
              <w:spacing w:after="0"/>
              <w:rPr>
                <w:sz w:val="20"/>
                <w:szCs w:val="20"/>
                <w:color w:val="auto"/>
              </w:rPr>
            </w:pPr>
            <w:r>
              <w:rPr>
                <w:rFonts w:ascii="Arial" w:cs="Arial" w:eastAsia="Arial" w:hAnsi="Arial"/>
                <w:sz w:val="14"/>
                <w:szCs w:val="14"/>
                <w:color w:val="auto"/>
              </w:rPr>
              <w:t>2,481</w:t>
            </w:r>
          </w:p>
        </w:tc>
        <w:tc>
          <w:tcPr>
            <w:tcW w:w="1060" w:type="dxa"/>
            <w:vAlign w:val="bottom"/>
            <w:shd w:val="clear" w:color="auto" w:fill="E5F1F8"/>
          </w:tcPr>
          <w:p>
            <w:pPr>
              <w:jc w:val="right"/>
              <w:ind w:right="249"/>
              <w:spacing w:after="0"/>
              <w:rPr>
                <w:sz w:val="20"/>
                <w:szCs w:val="20"/>
                <w:color w:val="auto"/>
              </w:rPr>
            </w:pPr>
            <w:r>
              <w:rPr>
                <w:rFonts w:ascii="Arial" w:cs="Arial" w:eastAsia="Arial" w:hAnsi="Arial"/>
                <w:sz w:val="14"/>
                <w:szCs w:val="14"/>
                <w:color w:val="auto"/>
              </w:rPr>
              <w:t>257,709</w:t>
            </w:r>
          </w:p>
        </w:tc>
      </w:tr>
      <w:tr>
        <w:trPr>
          <w:trHeight w:val="221"/>
        </w:trPr>
        <w:tc>
          <w:tcPr>
            <w:tcW w:w="4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Sue W. Cole</w:t>
            </w:r>
          </w:p>
        </w:tc>
        <w:tc>
          <w:tcPr>
            <w:tcW w:w="10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123,750</w:t>
            </w:r>
          </w:p>
        </w:tc>
        <w:tc>
          <w:tcPr>
            <w:tcW w:w="1080" w:type="dxa"/>
            <w:vAlign w:val="bottom"/>
            <w:tcBorders>
              <w:right w:val="single" w:sz="8" w:color="007CBA"/>
            </w:tcBorders>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tcPr>
          <w:p>
            <w:pPr>
              <w:jc w:val="right"/>
              <w:ind w:right="370"/>
              <w:spacing w:after="0"/>
              <w:rPr>
                <w:sz w:val="20"/>
                <w:szCs w:val="20"/>
                <w:color w:val="auto"/>
              </w:rPr>
            </w:pPr>
            <w:r>
              <w:rPr>
                <w:rFonts w:ascii="Arial" w:cs="Arial" w:eastAsia="Arial" w:hAnsi="Arial"/>
                <w:sz w:val="14"/>
                <w:szCs w:val="14"/>
                <w:color w:val="auto"/>
              </w:rPr>
              <w:t>25,429</w:t>
            </w:r>
          </w:p>
        </w:tc>
        <w:tc>
          <w:tcPr>
            <w:tcW w:w="1220" w:type="dxa"/>
            <w:vAlign w:val="bottom"/>
            <w:tcBorders>
              <w:right w:val="single" w:sz="8" w:color="007CBA"/>
            </w:tcBorders>
          </w:tcPr>
          <w:p>
            <w:pPr>
              <w:jc w:val="right"/>
              <w:ind w:right="250"/>
              <w:spacing w:after="0"/>
              <w:rPr>
                <w:sz w:val="20"/>
                <w:szCs w:val="20"/>
                <w:color w:val="auto"/>
              </w:rPr>
            </w:pPr>
            <w:r>
              <w:rPr>
                <w:rFonts w:ascii="Arial" w:cs="Arial" w:eastAsia="Arial" w:hAnsi="Arial"/>
                <w:sz w:val="14"/>
                <w:szCs w:val="14"/>
                <w:color w:val="auto"/>
              </w:rPr>
              <w:t>53,947</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333,290</w:t>
            </w:r>
          </w:p>
        </w:tc>
      </w:tr>
      <w:tr>
        <w:trPr>
          <w:trHeight w:val="232"/>
        </w:trPr>
        <w:tc>
          <w:tcPr>
            <w:tcW w:w="4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Smith W. Davis</w:t>
            </w:r>
          </w:p>
        </w:tc>
        <w:tc>
          <w:tcPr>
            <w:tcW w:w="10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126,000</w:t>
            </w:r>
          </w:p>
        </w:tc>
        <w:tc>
          <w:tcPr>
            <w:tcW w:w="1080" w:type="dxa"/>
            <w:vAlign w:val="bottom"/>
            <w:tcBorders>
              <w:right w:val="single" w:sz="8" w:color="007CBA"/>
            </w:tcBorders>
            <w:shd w:val="clear" w:color="auto" w:fill="E5F1F8"/>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shd w:val="clear" w:color="auto" w:fill="E5F1F8"/>
          </w:tcPr>
          <w:p>
            <w:pPr>
              <w:jc w:val="right"/>
              <w:ind w:right="370"/>
              <w:spacing w:after="0"/>
              <w:rPr>
                <w:sz w:val="20"/>
                <w:szCs w:val="20"/>
                <w:color w:val="auto"/>
              </w:rPr>
            </w:pPr>
            <w:r>
              <w:rPr>
                <w:rFonts w:ascii="Arial" w:cs="Arial" w:eastAsia="Arial" w:hAnsi="Arial"/>
                <w:sz w:val="14"/>
                <w:szCs w:val="14"/>
                <w:color w:val="auto"/>
              </w:rPr>
              <w:t>141</w:t>
            </w:r>
          </w:p>
        </w:tc>
        <w:tc>
          <w:tcPr>
            <w:tcW w:w="1220" w:type="dxa"/>
            <w:vAlign w:val="bottom"/>
            <w:tcBorders>
              <w:right w:val="single" w:sz="8" w:color="007CBA"/>
            </w:tcBorders>
            <w:shd w:val="clear" w:color="auto" w:fill="E5F1F8"/>
          </w:tcPr>
          <w:p>
            <w:pPr>
              <w:jc w:val="right"/>
              <w:ind w:right="250"/>
              <w:spacing w:after="0"/>
              <w:rPr>
                <w:sz w:val="20"/>
                <w:szCs w:val="20"/>
                <w:color w:val="auto"/>
              </w:rPr>
            </w:pPr>
            <w:r>
              <w:rPr>
                <w:rFonts w:ascii="Arial" w:cs="Arial" w:eastAsia="Arial" w:hAnsi="Arial"/>
                <w:sz w:val="14"/>
                <w:szCs w:val="14"/>
                <w:color w:val="auto"/>
              </w:rPr>
              <w:t>4,625</w:t>
            </w:r>
          </w:p>
        </w:tc>
        <w:tc>
          <w:tcPr>
            <w:tcW w:w="1060" w:type="dxa"/>
            <w:vAlign w:val="bottom"/>
            <w:shd w:val="clear" w:color="auto" w:fill="E5F1F8"/>
          </w:tcPr>
          <w:p>
            <w:pPr>
              <w:jc w:val="right"/>
              <w:ind w:right="249"/>
              <w:spacing w:after="0"/>
              <w:rPr>
                <w:sz w:val="20"/>
                <w:szCs w:val="20"/>
                <w:color w:val="auto"/>
              </w:rPr>
            </w:pPr>
            <w:r>
              <w:rPr>
                <w:rFonts w:ascii="Arial" w:cs="Arial" w:eastAsia="Arial" w:hAnsi="Arial"/>
                <w:sz w:val="14"/>
                <w:szCs w:val="14"/>
                <w:color w:val="auto"/>
              </w:rPr>
              <w:t>260,930</w:t>
            </w:r>
          </w:p>
        </w:tc>
      </w:tr>
      <w:tr>
        <w:trPr>
          <w:trHeight w:val="221"/>
        </w:trPr>
        <w:tc>
          <w:tcPr>
            <w:tcW w:w="4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John J. Koraleski</w:t>
            </w:r>
          </w:p>
        </w:tc>
        <w:tc>
          <w:tcPr>
            <w:tcW w:w="10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138,125</w:t>
            </w:r>
          </w:p>
        </w:tc>
        <w:tc>
          <w:tcPr>
            <w:tcW w:w="1080" w:type="dxa"/>
            <w:vAlign w:val="bottom"/>
            <w:tcBorders>
              <w:right w:val="single" w:sz="8" w:color="007CBA"/>
            </w:tcBorders>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tcPr>
          <w:p>
            <w:pPr>
              <w:jc w:val="right"/>
              <w:ind w:right="370"/>
              <w:spacing w:after="0"/>
              <w:rPr>
                <w:sz w:val="20"/>
                <w:szCs w:val="20"/>
                <w:color w:val="auto"/>
              </w:rPr>
            </w:pPr>
            <w:r>
              <w:rPr>
                <w:rFonts w:ascii="Arial" w:cs="Arial" w:eastAsia="Arial" w:hAnsi="Arial"/>
                <w:sz w:val="14"/>
                <w:szCs w:val="14"/>
                <w:color w:val="auto"/>
              </w:rPr>
              <w:t>416</w:t>
            </w:r>
          </w:p>
        </w:tc>
        <w:tc>
          <w:tcPr>
            <w:tcW w:w="1220" w:type="dxa"/>
            <w:vAlign w:val="bottom"/>
            <w:tcBorders>
              <w:right w:val="single" w:sz="8" w:color="007CBA"/>
            </w:tcBorders>
          </w:tcPr>
          <w:p>
            <w:pPr>
              <w:jc w:val="right"/>
              <w:ind w:right="250"/>
              <w:spacing w:after="0"/>
              <w:rPr>
                <w:sz w:val="20"/>
                <w:szCs w:val="20"/>
                <w:color w:val="auto"/>
              </w:rPr>
            </w:pPr>
            <w:r>
              <w:rPr>
                <w:rFonts w:ascii="Arial" w:cs="Arial" w:eastAsia="Arial" w:hAnsi="Arial"/>
                <w:sz w:val="14"/>
                <w:szCs w:val="14"/>
                <w:color w:val="auto"/>
              </w:rPr>
              <w:t>6,765</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275,470</w:t>
            </w:r>
          </w:p>
        </w:tc>
      </w:tr>
      <w:tr>
        <w:trPr>
          <w:trHeight w:val="232"/>
        </w:trPr>
        <w:tc>
          <w:tcPr>
            <w:tcW w:w="4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Laree E. Perez</w:t>
            </w:r>
          </w:p>
        </w:tc>
        <w:tc>
          <w:tcPr>
            <w:tcW w:w="10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145,000</w:t>
            </w:r>
          </w:p>
        </w:tc>
        <w:tc>
          <w:tcPr>
            <w:tcW w:w="1080" w:type="dxa"/>
            <w:vAlign w:val="bottom"/>
            <w:tcBorders>
              <w:right w:val="single" w:sz="8" w:color="007CBA"/>
            </w:tcBorders>
            <w:shd w:val="clear" w:color="auto" w:fill="E5F1F8"/>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shd w:val="clear" w:color="auto" w:fill="E5F1F8"/>
          </w:tcPr>
          <w:p>
            <w:pPr>
              <w:jc w:val="right"/>
              <w:ind w:right="370"/>
              <w:spacing w:after="0"/>
              <w:rPr>
                <w:sz w:val="20"/>
                <w:szCs w:val="20"/>
                <w:color w:val="auto"/>
              </w:rPr>
            </w:pPr>
            <w:r>
              <w:rPr>
                <w:rFonts w:ascii="Arial" w:cs="Arial" w:eastAsia="Arial" w:hAnsi="Arial"/>
                <w:sz w:val="14"/>
                <w:szCs w:val="14"/>
                <w:color w:val="auto"/>
              </w:rPr>
              <w:t>12,194</w:t>
            </w:r>
          </w:p>
        </w:tc>
        <w:tc>
          <w:tcPr>
            <w:tcW w:w="1220" w:type="dxa"/>
            <w:vAlign w:val="bottom"/>
            <w:tcBorders>
              <w:right w:val="single" w:sz="8" w:color="007CBA"/>
            </w:tcBorders>
            <w:shd w:val="clear" w:color="auto" w:fill="E5F1F8"/>
          </w:tcPr>
          <w:p>
            <w:pPr>
              <w:jc w:val="right"/>
              <w:ind w:right="250"/>
              <w:spacing w:after="0"/>
              <w:rPr>
                <w:sz w:val="20"/>
                <w:szCs w:val="20"/>
                <w:color w:val="auto"/>
              </w:rPr>
            </w:pPr>
            <w:r>
              <w:rPr>
                <w:rFonts w:ascii="Arial" w:cs="Arial" w:eastAsia="Arial" w:hAnsi="Arial"/>
                <w:sz w:val="14"/>
                <w:szCs w:val="14"/>
                <w:color w:val="auto"/>
              </w:rPr>
              <w:t>30,049</w:t>
            </w:r>
          </w:p>
        </w:tc>
        <w:tc>
          <w:tcPr>
            <w:tcW w:w="1060" w:type="dxa"/>
            <w:vAlign w:val="bottom"/>
            <w:shd w:val="clear" w:color="auto" w:fill="E5F1F8"/>
          </w:tcPr>
          <w:p>
            <w:pPr>
              <w:jc w:val="right"/>
              <w:ind w:right="249"/>
              <w:spacing w:after="0"/>
              <w:rPr>
                <w:sz w:val="20"/>
                <w:szCs w:val="20"/>
                <w:color w:val="auto"/>
              </w:rPr>
            </w:pPr>
            <w:r>
              <w:rPr>
                <w:rFonts w:ascii="Arial" w:cs="Arial" w:eastAsia="Arial" w:hAnsi="Arial"/>
                <w:sz w:val="14"/>
                <w:szCs w:val="14"/>
                <w:color w:val="auto"/>
              </w:rPr>
              <w:t>317,407</w:t>
            </w:r>
          </w:p>
        </w:tc>
      </w:tr>
      <w:tr>
        <w:trPr>
          <w:trHeight w:val="221"/>
        </w:trPr>
        <w:tc>
          <w:tcPr>
            <w:tcW w:w="4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Thomas H. Pike</w:t>
            </w:r>
          </w:p>
        </w:tc>
        <w:tc>
          <w:tcPr>
            <w:tcW w:w="10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60,000</w:t>
            </w:r>
          </w:p>
        </w:tc>
        <w:tc>
          <w:tcPr>
            <w:tcW w:w="1080" w:type="dxa"/>
            <w:vAlign w:val="bottom"/>
            <w:tcBorders>
              <w:right w:val="single" w:sz="8" w:color="007CBA"/>
            </w:tcBorders>
          </w:tcPr>
          <w:p>
            <w:pPr>
              <w:jc w:val="right"/>
              <w:ind w:right="270"/>
              <w:spacing w:after="0"/>
              <w:rPr>
                <w:sz w:val="20"/>
                <w:szCs w:val="20"/>
                <w:color w:val="auto"/>
              </w:rPr>
            </w:pPr>
            <w:r>
              <w:rPr>
                <w:rFonts w:ascii="Arial" w:cs="Arial" w:eastAsia="Arial" w:hAnsi="Arial"/>
                <w:sz w:val="14"/>
                <w:szCs w:val="14"/>
                <w:color w:val="auto"/>
              </w:rPr>
              <w:t>130,044</w:t>
            </w:r>
          </w:p>
        </w:tc>
        <w:tc>
          <w:tcPr>
            <w:tcW w:w="1500" w:type="dxa"/>
            <w:vAlign w:val="bottom"/>
            <w:tcBorders>
              <w:right w:val="single" w:sz="8" w:color="007CBA"/>
            </w:tcBorders>
          </w:tcPr>
          <w:p>
            <w:pPr>
              <w:jc w:val="right"/>
              <w:ind w:right="370"/>
              <w:spacing w:after="0"/>
              <w:rPr>
                <w:sz w:val="20"/>
                <w:szCs w:val="20"/>
                <w:color w:val="auto"/>
              </w:rPr>
            </w:pPr>
            <w:r>
              <w:rPr>
                <w:rFonts w:ascii="Arial" w:cs="Arial" w:eastAsia="Arial" w:hAnsi="Arial"/>
                <w:sz w:val="14"/>
                <w:szCs w:val="14"/>
                <w:color w:val="auto"/>
              </w:rPr>
              <w:t>5</w:t>
            </w:r>
          </w:p>
        </w:tc>
        <w:tc>
          <w:tcPr>
            <w:tcW w:w="1220" w:type="dxa"/>
            <w:vAlign w:val="bottom"/>
            <w:tcBorders>
              <w:right w:val="single" w:sz="8" w:color="007CBA"/>
            </w:tcBorders>
          </w:tcPr>
          <w:p>
            <w:pPr>
              <w:jc w:val="right"/>
              <w:ind w:right="250"/>
              <w:spacing w:after="0"/>
              <w:rPr>
                <w:sz w:val="20"/>
                <w:szCs w:val="20"/>
                <w:color w:val="auto"/>
              </w:rPr>
            </w:pPr>
            <w:r>
              <w:rPr>
                <w:rFonts w:ascii="Arial" w:cs="Arial" w:eastAsia="Arial" w:hAnsi="Arial"/>
                <w:sz w:val="14"/>
                <w:szCs w:val="14"/>
                <w:color w:val="auto"/>
              </w:rPr>
              <w:t>636</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190,685</w:t>
            </w:r>
          </w:p>
        </w:tc>
      </w:tr>
      <w:tr>
        <w:trPr>
          <w:trHeight w:val="232"/>
        </w:trPr>
        <w:tc>
          <w:tcPr>
            <w:tcW w:w="4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Michael J. Quillen</w:t>
            </w:r>
          </w:p>
        </w:tc>
        <w:tc>
          <w:tcPr>
            <w:tcW w:w="10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155,064</w:t>
            </w:r>
          </w:p>
        </w:tc>
        <w:tc>
          <w:tcPr>
            <w:tcW w:w="1080" w:type="dxa"/>
            <w:vAlign w:val="bottom"/>
            <w:tcBorders>
              <w:right w:val="single" w:sz="8" w:color="007CBA"/>
            </w:tcBorders>
            <w:shd w:val="clear" w:color="auto" w:fill="E5F1F8"/>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shd w:val="clear" w:color="auto" w:fill="E5F1F8"/>
          </w:tcPr>
          <w:p>
            <w:pPr>
              <w:jc w:val="right"/>
              <w:ind w:right="370"/>
              <w:spacing w:after="0"/>
              <w:rPr>
                <w:sz w:val="20"/>
                <w:szCs w:val="20"/>
                <w:color w:val="auto"/>
              </w:rPr>
            </w:pPr>
            <w:r>
              <w:rPr>
                <w:rFonts w:ascii="Arial" w:cs="Arial" w:eastAsia="Arial" w:hAnsi="Arial"/>
                <w:sz w:val="14"/>
                <w:szCs w:val="14"/>
                <w:color w:val="auto"/>
              </w:rPr>
              <w:t>12,135</w:t>
            </w:r>
          </w:p>
        </w:tc>
        <w:tc>
          <w:tcPr>
            <w:tcW w:w="1220" w:type="dxa"/>
            <w:vAlign w:val="bottom"/>
            <w:tcBorders>
              <w:right w:val="single" w:sz="8" w:color="007CBA"/>
            </w:tcBorders>
            <w:shd w:val="clear" w:color="auto" w:fill="E5F1F8"/>
          </w:tcPr>
          <w:p>
            <w:pPr>
              <w:jc w:val="right"/>
              <w:ind w:right="250"/>
              <w:spacing w:after="0"/>
              <w:rPr>
                <w:sz w:val="20"/>
                <w:szCs w:val="20"/>
                <w:color w:val="auto"/>
              </w:rPr>
            </w:pPr>
            <w:r>
              <w:rPr>
                <w:rFonts w:ascii="Arial" w:cs="Arial" w:eastAsia="Arial" w:hAnsi="Arial"/>
                <w:sz w:val="14"/>
                <w:szCs w:val="14"/>
                <w:color w:val="auto"/>
              </w:rPr>
              <w:t>34,821</w:t>
            </w:r>
          </w:p>
        </w:tc>
        <w:tc>
          <w:tcPr>
            <w:tcW w:w="1060" w:type="dxa"/>
            <w:vAlign w:val="bottom"/>
            <w:shd w:val="clear" w:color="auto" w:fill="E5F1F8"/>
          </w:tcPr>
          <w:p>
            <w:pPr>
              <w:jc w:val="right"/>
              <w:ind w:right="249"/>
              <w:spacing w:after="0"/>
              <w:rPr>
                <w:sz w:val="20"/>
                <w:szCs w:val="20"/>
                <w:color w:val="auto"/>
              </w:rPr>
            </w:pPr>
            <w:r>
              <w:rPr>
                <w:rFonts w:ascii="Arial" w:cs="Arial" w:eastAsia="Arial" w:hAnsi="Arial"/>
                <w:sz w:val="14"/>
                <w:szCs w:val="14"/>
                <w:color w:val="auto"/>
              </w:rPr>
              <w:t>332,184</w:t>
            </w:r>
          </w:p>
        </w:tc>
      </w:tr>
      <w:tr>
        <w:trPr>
          <w:trHeight w:val="227"/>
        </w:trPr>
        <w:tc>
          <w:tcPr>
            <w:tcW w:w="4940" w:type="dxa"/>
            <w:vAlign w:val="bottom"/>
            <w:tcBorders>
              <w:right w:val="single" w:sz="8" w:color="007CBA"/>
            </w:tcBorders>
          </w:tcPr>
          <w:p>
            <w:pPr>
              <w:ind w:left="60"/>
              <w:spacing w:after="0" w:line="227" w:lineRule="exact"/>
              <w:rPr>
                <w:sz w:val="20"/>
                <w:szCs w:val="20"/>
                <w:color w:val="auto"/>
              </w:rPr>
            </w:pPr>
            <w:r>
              <w:rPr>
                <w:rFonts w:ascii="Arial" w:cs="Arial" w:eastAsia="Arial" w:hAnsi="Arial"/>
                <w:sz w:val="14"/>
                <w:szCs w:val="14"/>
                <w:color w:val="auto"/>
              </w:rPr>
              <w:t>Dennis L. Rediker</w:t>
            </w:r>
            <w:r>
              <w:rPr>
                <w:rFonts w:ascii="Arial" w:cs="Arial" w:eastAsia="Arial" w:hAnsi="Arial"/>
                <w:sz w:val="24"/>
                <w:szCs w:val="24"/>
                <w:color w:val="auto"/>
                <w:vertAlign w:val="superscript"/>
              </w:rPr>
              <w:t>6</w:t>
            </w:r>
          </w:p>
        </w:tc>
        <w:tc>
          <w:tcPr>
            <w:tcW w:w="1060" w:type="dxa"/>
            <w:vAlign w:val="bottom"/>
            <w:tcBorders>
              <w:right w:val="single" w:sz="8" w:color="007CBA"/>
            </w:tcBorders>
          </w:tcPr>
          <w:p>
            <w:pPr>
              <w:jc w:val="right"/>
              <w:ind w:right="90"/>
              <w:spacing w:after="0"/>
              <w:rPr>
                <w:sz w:val="20"/>
                <w:szCs w:val="20"/>
                <w:color w:val="auto"/>
              </w:rPr>
            </w:pPr>
            <w:r>
              <w:rPr>
                <w:rFonts w:ascii="Arial" w:cs="Arial" w:eastAsia="Arial" w:hAnsi="Arial"/>
                <w:sz w:val="14"/>
                <w:szCs w:val="14"/>
                <w:color w:val="auto"/>
              </w:rPr>
              <w:t>33,250</w:t>
            </w:r>
          </w:p>
        </w:tc>
        <w:tc>
          <w:tcPr>
            <w:tcW w:w="1080" w:type="dxa"/>
            <w:vAlign w:val="bottom"/>
            <w:tcBorders>
              <w:right w:val="single" w:sz="8" w:color="007CBA"/>
            </w:tcBorders>
          </w:tcPr>
          <w:p>
            <w:pPr>
              <w:jc w:val="right"/>
              <w:ind w:right="270"/>
              <w:spacing w:after="0"/>
              <w:rPr>
                <w:sz w:val="20"/>
                <w:szCs w:val="20"/>
                <w:color w:val="auto"/>
              </w:rPr>
            </w:pPr>
            <w:r>
              <w:rPr>
                <w:rFonts w:ascii="Arial" w:cs="Arial" w:eastAsia="Arial" w:hAnsi="Arial"/>
                <w:sz w:val="14"/>
                <w:szCs w:val="14"/>
                <w:color w:val="auto"/>
              </w:rPr>
              <w:t>0</w:t>
            </w:r>
          </w:p>
        </w:tc>
        <w:tc>
          <w:tcPr>
            <w:tcW w:w="1500" w:type="dxa"/>
            <w:vAlign w:val="bottom"/>
            <w:tcBorders>
              <w:right w:val="single" w:sz="8" w:color="007CBA"/>
            </w:tcBorders>
          </w:tcPr>
          <w:p>
            <w:pPr>
              <w:jc w:val="right"/>
              <w:ind w:right="370"/>
              <w:spacing w:after="0"/>
              <w:rPr>
                <w:sz w:val="20"/>
                <w:szCs w:val="20"/>
                <w:color w:val="auto"/>
              </w:rPr>
            </w:pPr>
            <w:r>
              <w:rPr>
                <w:rFonts w:ascii="Arial" w:cs="Arial" w:eastAsia="Arial" w:hAnsi="Arial"/>
                <w:sz w:val="14"/>
                <w:szCs w:val="14"/>
                <w:color w:val="auto"/>
              </w:rPr>
              <w:t>6,576</w:t>
            </w:r>
          </w:p>
        </w:tc>
        <w:tc>
          <w:tcPr>
            <w:tcW w:w="1220" w:type="dxa"/>
            <w:vAlign w:val="bottom"/>
            <w:tcBorders>
              <w:right w:val="single" w:sz="8" w:color="007CBA"/>
            </w:tcBorders>
          </w:tcPr>
          <w:p>
            <w:pPr>
              <w:jc w:val="right"/>
              <w:ind w:right="250"/>
              <w:spacing w:after="0"/>
              <w:rPr>
                <w:sz w:val="20"/>
                <w:szCs w:val="20"/>
                <w:color w:val="auto"/>
              </w:rPr>
            </w:pPr>
            <w:r>
              <w:rPr>
                <w:rFonts w:ascii="Arial" w:cs="Arial" w:eastAsia="Arial" w:hAnsi="Arial"/>
                <w:sz w:val="14"/>
                <w:szCs w:val="14"/>
                <w:color w:val="auto"/>
              </w:rPr>
              <w:t>9,497</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49,323</w:t>
            </w:r>
          </w:p>
        </w:tc>
      </w:tr>
      <w:tr>
        <w:trPr>
          <w:trHeight w:val="227"/>
        </w:trPr>
        <w:tc>
          <w:tcPr>
            <w:tcW w:w="4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Donald W. Slager</w:t>
            </w:r>
          </w:p>
        </w:tc>
        <w:tc>
          <w:tcPr>
            <w:tcW w:w="10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131,250</w:t>
            </w:r>
          </w:p>
        </w:tc>
        <w:tc>
          <w:tcPr>
            <w:tcW w:w="1080" w:type="dxa"/>
            <w:vAlign w:val="bottom"/>
            <w:tcBorders>
              <w:right w:val="single" w:sz="8" w:color="007CBA"/>
            </w:tcBorders>
            <w:shd w:val="clear" w:color="auto" w:fill="E5F1F8"/>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right w:val="single" w:sz="8" w:color="007CBA"/>
            </w:tcBorders>
            <w:shd w:val="clear" w:color="auto" w:fill="E5F1F8"/>
          </w:tcPr>
          <w:p>
            <w:pPr>
              <w:jc w:val="right"/>
              <w:ind w:right="370"/>
              <w:spacing w:after="0"/>
              <w:rPr>
                <w:sz w:val="20"/>
                <w:szCs w:val="20"/>
                <w:color w:val="auto"/>
              </w:rPr>
            </w:pPr>
            <w:r>
              <w:rPr>
                <w:rFonts w:ascii="Arial" w:cs="Arial" w:eastAsia="Arial" w:hAnsi="Arial"/>
                <w:sz w:val="14"/>
                <w:szCs w:val="14"/>
                <w:color w:val="auto"/>
              </w:rPr>
              <w:t>362</w:t>
            </w:r>
          </w:p>
        </w:tc>
        <w:tc>
          <w:tcPr>
            <w:tcW w:w="1220" w:type="dxa"/>
            <w:vAlign w:val="bottom"/>
            <w:tcBorders>
              <w:right w:val="single" w:sz="8" w:color="007CBA"/>
            </w:tcBorders>
            <w:shd w:val="clear" w:color="auto" w:fill="E5F1F8"/>
          </w:tcPr>
          <w:p>
            <w:pPr>
              <w:jc w:val="right"/>
              <w:ind w:right="250"/>
              <w:spacing w:after="0"/>
              <w:rPr>
                <w:sz w:val="20"/>
                <w:szCs w:val="20"/>
                <w:color w:val="auto"/>
              </w:rPr>
            </w:pPr>
            <w:r>
              <w:rPr>
                <w:rFonts w:ascii="Arial" w:cs="Arial" w:eastAsia="Arial" w:hAnsi="Arial"/>
                <w:sz w:val="14"/>
                <w:szCs w:val="14"/>
                <w:color w:val="auto"/>
              </w:rPr>
              <w:t>4,217</w:t>
            </w:r>
          </w:p>
        </w:tc>
        <w:tc>
          <w:tcPr>
            <w:tcW w:w="1060" w:type="dxa"/>
            <w:vAlign w:val="bottom"/>
            <w:shd w:val="clear" w:color="auto" w:fill="E5F1F8"/>
          </w:tcPr>
          <w:p>
            <w:pPr>
              <w:jc w:val="right"/>
              <w:ind w:right="249"/>
              <w:spacing w:after="0"/>
              <w:rPr>
                <w:sz w:val="20"/>
                <w:szCs w:val="20"/>
                <w:color w:val="auto"/>
              </w:rPr>
            </w:pPr>
            <w:r>
              <w:rPr>
                <w:rFonts w:ascii="Arial" w:cs="Arial" w:eastAsia="Arial" w:hAnsi="Arial"/>
                <w:sz w:val="14"/>
                <w:szCs w:val="14"/>
                <w:color w:val="auto"/>
              </w:rPr>
              <w:t>265,993</w:t>
            </w:r>
          </w:p>
        </w:tc>
      </w:tr>
      <w:tr>
        <w:trPr>
          <w:trHeight w:val="221"/>
        </w:trPr>
        <w:tc>
          <w:tcPr>
            <w:tcW w:w="494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Stephen P. Zelnak, Jr.</w:t>
            </w:r>
          </w:p>
        </w:tc>
        <w:tc>
          <w:tcPr>
            <w:tcW w:w="1060" w:type="dxa"/>
            <w:vAlign w:val="bottom"/>
            <w:tcBorders>
              <w:bottom w:val="single" w:sz="8" w:color="007CBA"/>
              <w:right w:val="single" w:sz="8" w:color="007CBA"/>
            </w:tcBorders>
          </w:tcPr>
          <w:p>
            <w:pPr>
              <w:jc w:val="right"/>
              <w:ind w:right="130"/>
              <w:spacing w:after="0"/>
              <w:rPr>
                <w:sz w:val="20"/>
                <w:szCs w:val="20"/>
                <w:color w:val="auto"/>
              </w:rPr>
            </w:pPr>
            <w:r>
              <w:rPr>
                <w:rFonts w:ascii="Arial" w:cs="Arial" w:eastAsia="Arial" w:hAnsi="Arial"/>
                <w:sz w:val="14"/>
                <w:szCs w:val="14"/>
                <w:color w:val="auto"/>
              </w:rPr>
              <w:t>135,000</w:t>
            </w:r>
          </w:p>
        </w:tc>
        <w:tc>
          <w:tcPr>
            <w:tcW w:w="1080" w:type="dxa"/>
            <w:vAlign w:val="bottom"/>
            <w:tcBorders>
              <w:bottom w:val="single" w:sz="8" w:color="007CBA"/>
              <w:right w:val="single" w:sz="8" w:color="007CBA"/>
            </w:tcBorders>
          </w:tcPr>
          <w:p>
            <w:pPr>
              <w:jc w:val="right"/>
              <w:ind w:right="270"/>
              <w:spacing w:after="0"/>
              <w:rPr>
                <w:sz w:val="20"/>
                <w:szCs w:val="20"/>
                <w:color w:val="auto"/>
              </w:rPr>
            </w:pPr>
            <w:r>
              <w:rPr>
                <w:rFonts w:ascii="Arial" w:cs="Arial" w:eastAsia="Arial" w:hAnsi="Arial"/>
                <w:sz w:val="14"/>
                <w:szCs w:val="14"/>
                <w:color w:val="auto"/>
              </w:rPr>
              <w:t>130,164</w:t>
            </w:r>
          </w:p>
        </w:tc>
        <w:tc>
          <w:tcPr>
            <w:tcW w:w="1500" w:type="dxa"/>
            <w:vAlign w:val="bottom"/>
            <w:tcBorders>
              <w:bottom w:val="single" w:sz="8" w:color="007CBA"/>
              <w:right w:val="single" w:sz="8" w:color="007CBA"/>
            </w:tcBorders>
          </w:tcPr>
          <w:p>
            <w:pPr>
              <w:jc w:val="right"/>
              <w:ind w:right="370"/>
              <w:spacing w:after="0"/>
              <w:rPr>
                <w:sz w:val="20"/>
                <w:szCs w:val="20"/>
                <w:color w:val="auto"/>
              </w:rPr>
            </w:pPr>
            <w:r>
              <w:rPr>
                <w:rFonts w:ascii="Arial" w:cs="Arial" w:eastAsia="Arial" w:hAnsi="Arial"/>
                <w:sz w:val="14"/>
                <w:szCs w:val="14"/>
                <w:color w:val="auto"/>
              </w:rPr>
              <w:t>9,733</w:t>
            </w:r>
          </w:p>
        </w:tc>
        <w:tc>
          <w:tcPr>
            <w:tcW w:w="1220" w:type="dxa"/>
            <w:vAlign w:val="bottom"/>
            <w:tcBorders>
              <w:bottom w:val="single" w:sz="8" w:color="007CBA"/>
              <w:right w:val="single" w:sz="8" w:color="007CBA"/>
            </w:tcBorders>
          </w:tcPr>
          <w:p>
            <w:pPr>
              <w:jc w:val="right"/>
              <w:ind w:right="250"/>
              <w:spacing w:after="0"/>
              <w:rPr>
                <w:sz w:val="20"/>
                <w:szCs w:val="20"/>
                <w:color w:val="auto"/>
              </w:rPr>
            </w:pPr>
            <w:r>
              <w:rPr>
                <w:rFonts w:ascii="Arial" w:cs="Arial" w:eastAsia="Arial" w:hAnsi="Arial"/>
                <w:sz w:val="14"/>
                <w:szCs w:val="14"/>
                <w:color w:val="auto"/>
              </w:rPr>
              <w:t>32,024</w:t>
            </w:r>
          </w:p>
        </w:tc>
        <w:tc>
          <w:tcPr>
            <w:tcW w:w="1060" w:type="dxa"/>
            <w:vAlign w:val="bottom"/>
            <w:tcBorders>
              <w:bottom w:val="single" w:sz="8" w:color="007CBA"/>
            </w:tcBorders>
          </w:tcPr>
          <w:p>
            <w:pPr>
              <w:jc w:val="right"/>
              <w:ind w:right="249"/>
              <w:spacing w:after="0"/>
              <w:rPr>
                <w:sz w:val="20"/>
                <w:szCs w:val="20"/>
                <w:color w:val="auto"/>
              </w:rPr>
            </w:pPr>
            <w:r>
              <w:rPr>
                <w:rFonts w:ascii="Arial" w:cs="Arial" w:eastAsia="Arial" w:hAnsi="Arial"/>
                <w:sz w:val="14"/>
                <w:szCs w:val="14"/>
                <w:color w:val="auto"/>
              </w:rPr>
              <w:t>306,921</w:t>
            </w:r>
          </w:p>
        </w:tc>
      </w:tr>
    </w:tbl>
    <w:p>
      <w:pPr>
        <w:spacing w:after="0" w:line="71" w:lineRule="exact"/>
        <w:rPr>
          <w:sz w:val="20"/>
          <w:szCs w:val="20"/>
          <w:color w:val="auto"/>
        </w:rPr>
      </w:pPr>
    </w:p>
    <w:p>
      <w:pPr>
        <w:jc w:val="both"/>
        <w:ind w:left="400" w:hanging="213"/>
        <w:spacing w:after="0" w:line="196" w:lineRule="auto"/>
        <w:tabs>
          <w:tab w:leader="none" w:pos="4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57.</w:t>
      </w:r>
    </w:p>
    <w:p>
      <w:pPr>
        <w:spacing w:after="0" w:line="58" w:lineRule="exact"/>
        <w:rPr>
          <w:sz w:val="20"/>
          <w:szCs w:val="20"/>
          <w:color w:val="auto"/>
        </w:rPr>
      </w:pPr>
    </w:p>
    <w:p>
      <w:pPr>
        <w:jc w:val="both"/>
        <w:ind w:left="400" w:hanging="213"/>
        <w:spacing w:after="0" w:line="220" w:lineRule="auto"/>
        <w:tabs>
          <w:tab w:leader="none" w:pos="40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The amounts in column (b) reflect fees earned in 2019. Some of these fees were deferred pursuant to the Common Stock Purchase Plan for Directors in the form of common stock units. The number of units of common stock credited in 2019 to each of the Directors under the Common Stock Purchase Plan for Directors and the grant date fair value for these awards determined in accordance with FASB ASC Topic 718, are as follows: Ms. Ables, 0; Ms. Cole, 554 units and $124,165 value, respectively; Mr. Davis, 560 units and $126,691 value, respectively; Mr. Koraleski, 611 units and $138,626 value, respectively; Ms. Perez, 0; Mr. Pike, 0; Mr. Quillen, 694 units and $155,510 value, respectively; Mr. Rediker, 36 units and $6,761 value, respectively; Mr. Slager, 0; and Mr. Zelnak, 301 units and $67,864 value, respectively. The number of units credited to each of the Directors as of December 31, 2019, including units accumulated under the plan for all years of service as a Director, is as follows: Ms. Ables, 0; Ms. Cole, 15,716; Mr. Davis, 1,023; Mr. Koraleski, 1,235; Ms. Perez, 5,258; Mr. Pike, 0; Mr. Quillen, 7,048; Mr. Slager, 0; and Mr. Zelnak, 6,831. Mr. Pike joined the Board in July 2019 and his fees were prorated.</w:t>
      </w:r>
    </w:p>
    <w:p>
      <w:pPr>
        <w:spacing w:after="0" w:line="60" w:lineRule="exact"/>
        <w:rPr>
          <w:sz w:val="20"/>
          <w:szCs w:val="20"/>
          <w:color w:val="auto"/>
        </w:rPr>
      </w:pPr>
    </w:p>
    <w:p>
      <w:pPr>
        <w:jc w:val="both"/>
        <w:ind w:left="400" w:hanging="213"/>
        <w:spacing w:after="0" w:line="215" w:lineRule="auto"/>
        <w:tabs>
          <w:tab w:leader="none" w:pos="40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Each Director who was serving immediately following the 2019 Annual Meeting of Shareholder received 600 RSUs in May 2019. Mr. Pike received 578 RSUs upon joining the Board in July 2019. The amounts in column (c) reflect the grant date fair value for these awards determined in accordance with FASB ASC Topic 718. The RSUs fully vested upon award and will be distributed to the Director upon retirement, except Ms. Perez and Mr. Quillen each received a distribution of 300 unrestricted shares of common stock and deferred the distribution of 300 RSUs until retirement. As of December 31, 2019, each Director held RSUs in the amounts as follows: Ms. Ables, 1,344; Ms. Cole, 10,153; Mr. Davis, 1,209; Mr. Koraleski, 2,148; Ms. Perez, 9,329; Mr. Pike, 578; Mr. Quillen, 9,329; Mr. Slager, 2,187; and Mr. Zelnak, 8,774. As of December 31, 2019, none of the Directors held options for common stock. Mr. Rediker’s RSUs were distributed upon his retirement.</w:t>
      </w:r>
    </w:p>
    <w:p>
      <w:pPr>
        <w:ind w:left="400" w:hanging="213"/>
        <w:spacing w:after="0" w:line="198" w:lineRule="auto"/>
        <w:tabs>
          <w:tab w:leader="none" w:pos="40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The amounts in column (f) reflect interest paid on fees deferred in cash under the Common Stock Purchase Plan for Directors.</w:t>
      </w:r>
    </w:p>
    <w:p>
      <w:pPr>
        <w:spacing w:after="0" w:line="57" w:lineRule="exact"/>
        <w:rPr>
          <w:sz w:val="20"/>
          <w:szCs w:val="20"/>
          <w:color w:val="auto"/>
        </w:rPr>
      </w:pPr>
    </w:p>
    <w:p>
      <w:pPr>
        <w:ind w:left="400" w:right="20" w:hanging="213"/>
        <w:spacing w:after="0" w:line="181" w:lineRule="auto"/>
        <w:tabs>
          <w:tab w:leader="none" w:pos="40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The amounts in column (g) reflect for each Director the dollar value of dividend equivalents paid in 2019 on common stock units held under the plan. The Directors did not receive perquisites or other personal benefits in 2019.</w:t>
      </w:r>
    </w:p>
    <w:p>
      <w:pPr>
        <w:spacing w:after="0" w:line="50" w:lineRule="exact"/>
        <w:rPr>
          <w:sz w:val="20"/>
          <w:szCs w:val="20"/>
          <w:color w:val="auto"/>
        </w:rPr>
      </w:pPr>
    </w:p>
    <w:p>
      <w:pPr>
        <w:ind w:left="400" w:hanging="213"/>
        <w:spacing w:after="0"/>
        <w:tabs>
          <w:tab w:leader="none" w:pos="40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Mr. Rediker retired at the 2019 Annual Meeting of Shareholders in accordance with the Bylaws that provide for retirement following the Director’s 75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birthday.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20955</wp:posOffset>
            </wp:positionV>
            <wp:extent cx="406400" cy="2451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33"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bl>
    <w:p>
      <w:pPr>
        <w:sectPr>
          <w:pgSz w:w="11900" w:h="16838" w:orient="portrait"/>
          <w:cols w:equalWidth="0" w:num="1">
            <w:col w:w="11060"/>
          </w:cols>
          <w:pgMar w:left="320" w:top="455"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Security Ownership of Certain</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Beneficial Owners and Management</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007CBA"/>
        </w:rPr>
        <w:t>How much stock do Martin Marietta’s Directors and executive officers own?</w:t>
      </w:r>
    </w:p>
    <w:p>
      <w:pPr>
        <w:spacing w:after="0" w:line="21"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The following table sets forth information as of March 6, 2020 with respect to the shares of common stock that are beneficially owned by the Directors, the Director nominee, the Chief Executive Officer, the Chief Financial Officer, and the three other named executive officers who are listed in the Summary Compensation Table on page 57 of this proxy statement, individually, and by all Directors and executive officers of Martin Marietta as a group. The address of each beneficial owner below is Martin Marietta’s principal executive office.</w:t>
      </w:r>
    </w:p>
    <w:p>
      <w:pPr>
        <w:spacing w:after="0" w:line="200"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248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jc w:val="right"/>
              <w:ind w:right="429"/>
              <w:spacing w:after="0"/>
              <w:rPr>
                <w:sz w:val="20"/>
                <w:szCs w:val="20"/>
                <w:color w:val="auto"/>
              </w:rPr>
            </w:pPr>
            <w:r>
              <w:rPr>
                <w:rFonts w:ascii="Arial" w:cs="Arial" w:eastAsia="Arial" w:hAnsi="Arial"/>
                <w:sz w:val="14"/>
                <w:szCs w:val="14"/>
                <w:b w:val="1"/>
                <w:bCs w:val="1"/>
                <w:color w:val="FFFFFF"/>
              </w:rPr>
              <w:t>Amount and Nature of</w:t>
            </w:r>
          </w:p>
        </w:tc>
        <w:tc>
          <w:tcPr>
            <w:tcW w:w="1880" w:type="dxa"/>
            <w:vAlign w:val="bottom"/>
            <w:tcBorders>
              <w:right w:val="single" w:sz="8" w:color="007CBA"/>
            </w:tcBorders>
            <w:shd w:val="clear" w:color="auto" w:fill="007CBA"/>
          </w:tcPr>
          <w:p>
            <w:pPr>
              <w:jc w:val="right"/>
              <w:ind w:right="429"/>
              <w:spacing w:after="0"/>
              <w:rPr>
                <w:sz w:val="20"/>
                <w:szCs w:val="20"/>
                <w:color w:val="auto"/>
              </w:rPr>
            </w:pPr>
            <w:r>
              <w:rPr>
                <w:rFonts w:ascii="Arial" w:cs="Arial" w:eastAsia="Arial" w:hAnsi="Arial"/>
                <w:sz w:val="14"/>
                <w:szCs w:val="14"/>
                <w:b w:val="1"/>
                <w:bCs w:val="1"/>
                <w:color w:val="FFFFFF"/>
              </w:rPr>
              <w:t>Deferred and</w:t>
            </w:r>
          </w:p>
        </w:tc>
        <w:tc>
          <w:tcPr>
            <w:tcW w:w="134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4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2440" w:type="dxa"/>
            <w:vAlign w:val="bottom"/>
            <w:tcBorders>
              <w:right w:val="single" w:sz="8" w:color="007CBA"/>
            </w:tcBorders>
            <w:shd w:val="clear" w:color="auto" w:fill="007CBA"/>
          </w:tcPr>
          <w:p>
            <w:pPr>
              <w:jc w:val="right"/>
              <w:ind w:right="409"/>
              <w:spacing w:after="0" w:line="257" w:lineRule="exact"/>
              <w:rPr>
                <w:sz w:val="20"/>
                <w:szCs w:val="20"/>
                <w:color w:val="auto"/>
              </w:rPr>
            </w:pPr>
            <w:r>
              <w:rPr>
                <w:rFonts w:ascii="Arial" w:cs="Arial" w:eastAsia="Arial" w:hAnsi="Arial"/>
                <w:sz w:val="14"/>
                <w:szCs w:val="14"/>
                <w:b w:val="1"/>
                <w:bCs w:val="1"/>
                <w:color w:val="FFFFFF"/>
              </w:rPr>
              <w:t>Beneficial Ownership</w:t>
            </w:r>
            <w:r>
              <w:rPr>
                <w:rFonts w:ascii="Arial" w:cs="Arial" w:eastAsia="Arial" w:hAnsi="Arial"/>
                <w:sz w:val="24"/>
                <w:szCs w:val="24"/>
                <w:b w:val="1"/>
                <w:bCs w:val="1"/>
                <w:color w:val="FFFFFF"/>
                <w:vertAlign w:val="superscript"/>
              </w:rPr>
              <w:t>1</w:t>
            </w:r>
          </w:p>
        </w:tc>
        <w:tc>
          <w:tcPr>
            <w:tcW w:w="1880" w:type="dxa"/>
            <w:vAlign w:val="bottom"/>
            <w:tcBorders>
              <w:right w:val="single" w:sz="8" w:color="007CBA"/>
            </w:tcBorders>
            <w:shd w:val="clear" w:color="auto" w:fill="007CBA"/>
          </w:tcPr>
          <w:p>
            <w:pPr>
              <w:jc w:val="right"/>
              <w:ind w:right="289"/>
              <w:spacing w:after="0" w:line="257" w:lineRule="exact"/>
              <w:rPr>
                <w:sz w:val="20"/>
                <w:szCs w:val="20"/>
                <w:color w:val="auto"/>
              </w:rPr>
            </w:pPr>
            <w:r>
              <w:rPr>
                <w:rFonts w:ascii="Arial" w:cs="Arial" w:eastAsia="Arial" w:hAnsi="Arial"/>
                <w:sz w:val="14"/>
                <w:szCs w:val="14"/>
                <w:b w:val="1"/>
                <w:bCs w:val="1"/>
                <w:color w:val="FFFFFF"/>
              </w:rPr>
              <w:t>Restricted Units</w:t>
            </w:r>
            <w:r>
              <w:rPr>
                <w:rFonts w:ascii="Arial" w:cs="Arial" w:eastAsia="Arial" w:hAnsi="Arial"/>
                <w:sz w:val="24"/>
                <w:szCs w:val="24"/>
                <w:b w:val="1"/>
                <w:bCs w:val="1"/>
                <w:color w:val="FFFFFF"/>
                <w:vertAlign w:val="superscript"/>
              </w:rPr>
              <w:t>5</w:t>
            </w:r>
          </w:p>
        </w:tc>
        <w:tc>
          <w:tcPr>
            <w:tcW w:w="1340" w:type="dxa"/>
            <w:vAlign w:val="bottom"/>
            <w:shd w:val="clear" w:color="auto" w:fill="007CBA"/>
          </w:tcPr>
          <w:p>
            <w:pPr>
              <w:jc w:val="right"/>
              <w:ind w:right="40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Dorothy M. Ables</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1,344</w:t>
            </w:r>
            <w:r>
              <w:rPr>
                <w:rFonts w:ascii="Arial" w:cs="Arial" w:eastAsia="Arial" w:hAnsi="Arial"/>
                <w:sz w:val="24"/>
                <w:szCs w:val="24"/>
                <w:color w:val="auto"/>
                <w:vertAlign w:val="superscript"/>
              </w:rPr>
              <w:t>2</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Roselyn R. Bar</w:t>
            </w:r>
          </w:p>
        </w:tc>
        <w:tc>
          <w:tcPr>
            <w:tcW w:w="2440" w:type="dxa"/>
            <w:vAlign w:val="bottom"/>
            <w:tcBorders>
              <w:right w:val="single" w:sz="8" w:color="007CBA"/>
            </w:tcBorders>
          </w:tcPr>
          <w:p>
            <w:pPr>
              <w:jc w:val="right"/>
              <w:ind w:right="789"/>
              <w:spacing w:after="0" w:line="266" w:lineRule="exact"/>
              <w:rPr>
                <w:sz w:val="20"/>
                <w:szCs w:val="20"/>
                <w:color w:val="auto"/>
              </w:rPr>
            </w:pPr>
            <w:r>
              <w:rPr>
                <w:rFonts w:ascii="Arial" w:cs="Arial" w:eastAsia="Arial" w:hAnsi="Arial"/>
                <w:sz w:val="14"/>
                <w:szCs w:val="14"/>
                <w:color w:val="auto"/>
              </w:rPr>
              <w:t>56,074</w:t>
            </w:r>
            <w:r>
              <w:rPr>
                <w:rFonts w:ascii="Arial" w:cs="Arial" w:eastAsia="Arial" w:hAnsi="Arial"/>
                <w:sz w:val="24"/>
                <w:szCs w:val="24"/>
                <w:color w:val="auto"/>
                <w:vertAlign w:val="superscript"/>
              </w:rPr>
              <w:t>3</w:t>
            </w:r>
          </w:p>
        </w:tc>
        <w:tc>
          <w:tcPr>
            <w:tcW w:w="1880" w:type="dxa"/>
            <w:vAlign w:val="bottom"/>
            <w:tcBorders>
              <w:right w:val="single" w:sz="8" w:color="007CBA"/>
            </w:tcBorders>
          </w:tcPr>
          <w:p>
            <w:pPr>
              <w:jc w:val="right"/>
              <w:ind w:right="629"/>
              <w:spacing w:after="0"/>
              <w:rPr>
                <w:sz w:val="20"/>
                <w:szCs w:val="20"/>
                <w:color w:val="auto"/>
              </w:rPr>
            </w:pPr>
            <w:r>
              <w:rPr>
                <w:rFonts w:ascii="Arial" w:cs="Arial" w:eastAsia="Arial" w:hAnsi="Arial"/>
                <w:sz w:val="14"/>
                <w:szCs w:val="14"/>
                <w:color w:val="auto"/>
              </w:rPr>
              <w:t>8,464</w:t>
            </w:r>
          </w:p>
        </w:tc>
        <w:tc>
          <w:tcPr>
            <w:tcW w:w="1340" w:type="dxa"/>
            <w:vAlign w:val="bottom"/>
          </w:tcPr>
          <w:p>
            <w:pPr>
              <w:jc w:val="right"/>
              <w:ind w:right="309"/>
              <w:spacing w:after="0"/>
              <w:rPr>
                <w:sz w:val="20"/>
                <w:szCs w:val="20"/>
                <w:color w:val="auto"/>
              </w:rPr>
            </w:pPr>
            <w:r>
              <w:rPr>
                <w:rFonts w:ascii="Arial" w:cs="Arial" w:eastAsia="Arial" w:hAnsi="Arial"/>
                <w:sz w:val="14"/>
                <w:szCs w:val="14"/>
                <w:color w:val="auto"/>
              </w:rPr>
              <w:t>64,538</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Sue W. Cole</w:t>
            </w:r>
          </w:p>
        </w:tc>
        <w:tc>
          <w:tcPr>
            <w:tcW w:w="2440" w:type="dxa"/>
            <w:vAlign w:val="bottom"/>
            <w:tcBorders>
              <w:right w:val="single" w:sz="8" w:color="007CBA"/>
            </w:tcBorders>
            <w:shd w:val="clear" w:color="auto" w:fill="E5F1F8"/>
          </w:tcPr>
          <w:p>
            <w:pPr>
              <w:jc w:val="right"/>
              <w:ind w:right="689"/>
              <w:spacing w:after="0" w:line="266" w:lineRule="exact"/>
              <w:rPr>
                <w:sz w:val="20"/>
                <w:szCs w:val="20"/>
                <w:color w:val="auto"/>
              </w:rPr>
            </w:pPr>
            <w:r>
              <w:rPr>
                <w:rFonts w:ascii="Arial" w:cs="Arial" w:eastAsia="Arial" w:hAnsi="Arial"/>
                <w:sz w:val="14"/>
                <w:szCs w:val="14"/>
                <w:color w:val="auto"/>
              </w:rPr>
              <w:t>31,882</w:t>
            </w:r>
            <w:r>
              <w:rPr>
                <w:rFonts w:ascii="Arial" w:cs="Arial" w:eastAsia="Arial" w:hAnsi="Arial"/>
                <w:sz w:val="24"/>
                <w:szCs w:val="24"/>
                <w:color w:val="auto"/>
                <w:vertAlign w:val="superscript"/>
              </w:rPr>
              <w:t>2,4</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31,882</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Smith W. Davis</w:t>
            </w:r>
          </w:p>
        </w:tc>
        <w:tc>
          <w:tcPr>
            <w:tcW w:w="2440" w:type="dxa"/>
            <w:vAlign w:val="bottom"/>
            <w:tcBorders>
              <w:right w:val="single" w:sz="8" w:color="007CBA"/>
            </w:tcBorders>
          </w:tcPr>
          <w:p>
            <w:pPr>
              <w:jc w:val="right"/>
              <w:ind w:right="789"/>
              <w:spacing w:after="0" w:line="266" w:lineRule="exact"/>
              <w:rPr>
                <w:sz w:val="20"/>
                <w:szCs w:val="20"/>
                <w:color w:val="auto"/>
              </w:rPr>
            </w:pPr>
            <w:r>
              <w:rPr>
                <w:rFonts w:ascii="Arial" w:cs="Arial" w:eastAsia="Arial" w:hAnsi="Arial"/>
                <w:sz w:val="14"/>
                <w:szCs w:val="14"/>
                <w:color w:val="auto"/>
              </w:rPr>
              <w:t>2,373</w:t>
            </w:r>
            <w:r>
              <w:rPr>
                <w:rFonts w:ascii="Arial" w:cs="Arial" w:eastAsia="Arial" w:hAnsi="Arial"/>
                <w:sz w:val="24"/>
                <w:szCs w:val="24"/>
                <w:color w:val="auto"/>
                <w:vertAlign w:val="superscript"/>
              </w:rPr>
              <w:t>2</w:t>
            </w:r>
          </w:p>
        </w:tc>
        <w:tc>
          <w:tcPr>
            <w:tcW w:w="18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right"/>
              <w:ind w:right="309"/>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Daniel L. Grant</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16,161</w:t>
            </w:r>
            <w:r>
              <w:rPr>
                <w:rFonts w:ascii="Arial" w:cs="Arial" w:eastAsia="Arial" w:hAnsi="Arial"/>
                <w:sz w:val="24"/>
                <w:szCs w:val="24"/>
                <w:color w:val="auto"/>
                <w:vertAlign w:val="superscript"/>
              </w:rPr>
              <w:t>3</w:t>
            </w:r>
          </w:p>
        </w:tc>
        <w:tc>
          <w:tcPr>
            <w:tcW w:w="1880" w:type="dxa"/>
            <w:vAlign w:val="bottom"/>
            <w:tcBorders>
              <w:right w:val="single" w:sz="8" w:color="007CBA"/>
            </w:tcBorders>
            <w:shd w:val="clear" w:color="auto" w:fill="E5F1F8"/>
          </w:tcPr>
          <w:p>
            <w:pPr>
              <w:jc w:val="right"/>
              <w:ind w:right="629"/>
              <w:spacing w:after="0"/>
              <w:rPr>
                <w:sz w:val="20"/>
                <w:szCs w:val="20"/>
                <w:color w:val="auto"/>
              </w:rPr>
            </w:pPr>
            <w:r>
              <w:rPr>
                <w:rFonts w:ascii="Arial" w:cs="Arial" w:eastAsia="Arial" w:hAnsi="Arial"/>
                <w:sz w:val="14"/>
                <w:szCs w:val="14"/>
                <w:color w:val="auto"/>
              </w:rPr>
              <w:t>4,132</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20,293</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John J. Koraleski</w:t>
            </w:r>
          </w:p>
        </w:tc>
        <w:tc>
          <w:tcPr>
            <w:tcW w:w="2440" w:type="dxa"/>
            <w:vAlign w:val="bottom"/>
            <w:tcBorders>
              <w:right w:val="single" w:sz="8" w:color="007CBA"/>
            </w:tcBorders>
          </w:tcPr>
          <w:p>
            <w:pPr>
              <w:jc w:val="right"/>
              <w:ind w:right="789"/>
              <w:spacing w:after="0" w:line="266" w:lineRule="exact"/>
              <w:rPr>
                <w:sz w:val="20"/>
                <w:szCs w:val="20"/>
                <w:color w:val="auto"/>
              </w:rPr>
            </w:pPr>
            <w:r>
              <w:rPr>
                <w:rFonts w:ascii="Arial" w:cs="Arial" w:eastAsia="Arial" w:hAnsi="Arial"/>
                <w:sz w:val="14"/>
                <w:szCs w:val="14"/>
                <w:color w:val="auto"/>
              </w:rPr>
              <w:t>8,440</w:t>
            </w:r>
            <w:r>
              <w:rPr>
                <w:rFonts w:ascii="Arial" w:cs="Arial" w:eastAsia="Arial" w:hAnsi="Arial"/>
                <w:sz w:val="24"/>
                <w:szCs w:val="24"/>
                <w:color w:val="auto"/>
                <w:vertAlign w:val="superscript"/>
              </w:rPr>
              <w:t>2</w:t>
            </w:r>
          </w:p>
        </w:tc>
        <w:tc>
          <w:tcPr>
            <w:tcW w:w="18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right"/>
              <w:ind w:right="309"/>
              <w:spacing w:after="0"/>
              <w:rPr>
                <w:sz w:val="20"/>
                <w:szCs w:val="20"/>
                <w:color w:val="auto"/>
              </w:rPr>
            </w:pPr>
            <w:r>
              <w:rPr>
                <w:rFonts w:ascii="Arial" w:cs="Arial" w:eastAsia="Arial" w:hAnsi="Arial"/>
                <w:sz w:val="14"/>
                <w:szCs w:val="14"/>
                <w:color w:val="auto"/>
              </w:rPr>
              <w:t>8,440</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Craig M. LaTorre</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499</w:t>
            </w:r>
            <w:r>
              <w:rPr>
                <w:rFonts w:ascii="Arial" w:cs="Arial" w:eastAsia="Arial" w:hAnsi="Arial"/>
                <w:sz w:val="24"/>
                <w:szCs w:val="24"/>
                <w:color w:val="auto"/>
                <w:vertAlign w:val="superscript"/>
              </w:rPr>
              <w:t>3</w:t>
            </w:r>
          </w:p>
        </w:tc>
        <w:tc>
          <w:tcPr>
            <w:tcW w:w="1880" w:type="dxa"/>
            <w:vAlign w:val="bottom"/>
            <w:tcBorders>
              <w:right w:val="single" w:sz="8" w:color="007CBA"/>
            </w:tcBorders>
            <w:shd w:val="clear" w:color="auto" w:fill="E5F1F8"/>
          </w:tcPr>
          <w:p>
            <w:pPr>
              <w:jc w:val="right"/>
              <w:ind w:right="629"/>
              <w:spacing w:after="0"/>
              <w:rPr>
                <w:sz w:val="20"/>
                <w:szCs w:val="20"/>
                <w:color w:val="auto"/>
              </w:rPr>
            </w:pPr>
            <w:r>
              <w:rPr>
                <w:rFonts w:ascii="Arial" w:cs="Arial" w:eastAsia="Arial" w:hAnsi="Arial"/>
                <w:sz w:val="14"/>
                <w:szCs w:val="14"/>
                <w:color w:val="auto"/>
              </w:rPr>
              <w:t>9,112</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9,611</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James A. J. Nickolas</w:t>
            </w:r>
          </w:p>
        </w:tc>
        <w:tc>
          <w:tcPr>
            <w:tcW w:w="2440" w:type="dxa"/>
            <w:vAlign w:val="bottom"/>
            <w:tcBorders>
              <w:right w:val="single" w:sz="8" w:color="007CBA"/>
            </w:tcBorders>
          </w:tcPr>
          <w:p>
            <w:pPr>
              <w:jc w:val="right"/>
              <w:ind w:right="789"/>
              <w:spacing w:after="0" w:line="266" w:lineRule="exact"/>
              <w:rPr>
                <w:sz w:val="20"/>
                <w:szCs w:val="20"/>
                <w:color w:val="auto"/>
              </w:rPr>
            </w:pPr>
            <w:r>
              <w:rPr>
                <w:rFonts w:ascii="Arial" w:cs="Arial" w:eastAsia="Arial" w:hAnsi="Arial"/>
                <w:sz w:val="14"/>
                <w:szCs w:val="14"/>
                <w:color w:val="auto"/>
              </w:rPr>
              <w:t>2,841</w:t>
            </w:r>
            <w:r>
              <w:rPr>
                <w:rFonts w:ascii="Arial" w:cs="Arial" w:eastAsia="Arial" w:hAnsi="Arial"/>
                <w:sz w:val="24"/>
                <w:szCs w:val="24"/>
                <w:color w:val="auto"/>
                <w:vertAlign w:val="superscript"/>
              </w:rPr>
              <w:t>3</w:t>
            </w:r>
          </w:p>
        </w:tc>
        <w:tc>
          <w:tcPr>
            <w:tcW w:w="1880" w:type="dxa"/>
            <w:vAlign w:val="bottom"/>
            <w:tcBorders>
              <w:right w:val="single" w:sz="8" w:color="007CBA"/>
            </w:tcBorders>
          </w:tcPr>
          <w:p>
            <w:pPr>
              <w:jc w:val="right"/>
              <w:ind w:right="629"/>
              <w:spacing w:after="0"/>
              <w:rPr>
                <w:sz w:val="20"/>
                <w:szCs w:val="20"/>
                <w:color w:val="auto"/>
              </w:rPr>
            </w:pPr>
            <w:r>
              <w:rPr>
                <w:rFonts w:ascii="Arial" w:cs="Arial" w:eastAsia="Arial" w:hAnsi="Arial"/>
                <w:sz w:val="14"/>
                <w:szCs w:val="14"/>
                <w:color w:val="auto"/>
              </w:rPr>
              <w:t>9,160</w:t>
            </w:r>
          </w:p>
        </w:tc>
        <w:tc>
          <w:tcPr>
            <w:tcW w:w="1340" w:type="dxa"/>
            <w:vAlign w:val="bottom"/>
          </w:tcPr>
          <w:p>
            <w:pPr>
              <w:jc w:val="right"/>
              <w:ind w:right="309"/>
              <w:spacing w:after="0"/>
              <w:rPr>
                <w:sz w:val="20"/>
                <w:szCs w:val="20"/>
                <w:color w:val="auto"/>
              </w:rPr>
            </w:pPr>
            <w:r>
              <w:rPr>
                <w:rFonts w:ascii="Arial" w:cs="Arial" w:eastAsia="Arial" w:hAnsi="Arial"/>
                <w:sz w:val="14"/>
                <w:szCs w:val="14"/>
                <w:color w:val="auto"/>
              </w:rPr>
              <w:t>12,001</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 Howard Nye</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134,308</w:t>
            </w:r>
            <w:r>
              <w:rPr>
                <w:rFonts w:ascii="Arial" w:cs="Arial" w:eastAsia="Arial" w:hAnsi="Arial"/>
                <w:sz w:val="24"/>
                <w:szCs w:val="24"/>
                <w:color w:val="auto"/>
                <w:vertAlign w:val="superscript"/>
              </w:rPr>
              <w:t>3</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43,509</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177,817</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Laree E. Perez</w:t>
            </w:r>
          </w:p>
        </w:tc>
        <w:tc>
          <w:tcPr>
            <w:tcW w:w="2440" w:type="dxa"/>
            <w:vAlign w:val="bottom"/>
            <w:tcBorders>
              <w:right w:val="single" w:sz="8" w:color="007CBA"/>
            </w:tcBorders>
          </w:tcPr>
          <w:p>
            <w:pPr>
              <w:jc w:val="right"/>
              <w:ind w:right="789"/>
              <w:spacing w:after="0" w:line="266" w:lineRule="exact"/>
              <w:rPr>
                <w:sz w:val="20"/>
                <w:szCs w:val="20"/>
                <w:color w:val="auto"/>
              </w:rPr>
            </w:pPr>
            <w:r>
              <w:rPr>
                <w:rFonts w:ascii="Arial" w:cs="Arial" w:eastAsia="Arial" w:hAnsi="Arial"/>
                <w:sz w:val="14"/>
                <w:szCs w:val="14"/>
                <w:color w:val="auto"/>
              </w:rPr>
              <w:t>14,587</w:t>
            </w:r>
            <w:r>
              <w:rPr>
                <w:rFonts w:ascii="Arial" w:cs="Arial" w:eastAsia="Arial" w:hAnsi="Arial"/>
                <w:sz w:val="24"/>
                <w:szCs w:val="24"/>
                <w:color w:val="auto"/>
                <w:vertAlign w:val="superscript"/>
              </w:rPr>
              <w:t>2</w:t>
            </w:r>
          </w:p>
        </w:tc>
        <w:tc>
          <w:tcPr>
            <w:tcW w:w="18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right"/>
              <w:ind w:right="309"/>
              <w:spacing w:after="0"/>
              <w:rPr>
                <w:sz w:val="20"/>
                <w:szCs w:val="20"/>
                <w:color w:val="auto"/>
              </w:rPr>
            </w:pPr>
            <w:r>
              <w:rPr>
                <w:rFonts w:ascii="Arial" w:cs="Arial" w:eastAsia="Arial" w:hAnsi="Arial"/>
                <w:sz w:val="14"/>
                <w:szCs w:val="14"/>
                <w:color w:val="auto"/>
              </w:rPr>
              <w:t>14,587</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Thomas H. Pike</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578</w:t>
            </w:r>
            <w:r>
              <w:rPr>
                <w:rFonts w:ascii="Arial" w:cs="Arial" w:eastAsia="Arial" w:hAnsi="Arial"/>
                <w:sz w:val="24"/>
                <w:szCs w:val="24"/>
                <w:color w:val="auto"/>
                <w:vertAlign w:val="superscript"/>
              </w:rPr>
              <w:t>2</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Michael J. Quillen</w:t>
            </w:r>
          </w:p>
        </w:tc>
        <w:tc>
          <w:tcPr>
            <w:tcW w:w="2440" w:type="dxa"/>
            <w:vAlign w:val="bottom"/>
            <w:tcBorders>
              <w:right w:val="single" w:sz="8" w:color="007CBA"/>
            </w:tcBorders>
          </w:tcPr>
          <w:p>
            <w:pPr>
              <w:jc w:val="right"/>
              <w:ind w:right="789"/>
              <w:spacing w:after="0" w:line="266" w:lineRule="exact"/>
              <w:rPr>
                <w:sz w:val="20"/>
                <w:szCs w:val="20"/>
                <w:color w:val="auto"/>
              </w:rPr>
            </w:pPr>
            <w:r>
              <w:rPr>
                <w:rFonts w:ascii="Arial" w:cs="Arial" w:eastAsia="Arial" w:hAnsi="Arial"/>
                <w:sz w:val="14"/>
                <w:szCs w:val="14"/>
                <w:color w:val="auto"/>
              </w:rPr>
              <w:t>19,972</w:t>
            </w:r>
            <w:r>
              <w:rPr>
                <w:rFonts w:ascii="Arial" w:cs="Arial" w:eastAsia="Arial" w:hAnsi="Arial"/>
                <w:sz w:val="24"/>
                <w:szCs w:val="24"/>
                <w:color w:val="auto"/>
                <w:vertAlign w:val="superscript"/>
              </w:rPr>
              <w:t>2</w:t>
            </w:r>
          </w:p>
        </w:tc>
        <w:tc>
          <w:tcPr>
            <w:tcW w:w="18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right"/>
              <w:ind w:right="309"/>
              <w:spacing w:after="0"/>
              <w:rPr>
                <w:sz w:val="20"/>
                <w:szCs w:val="20"/>
                <w:color w:val="auto"/>
              </w:rPr>
            </w:pPr>
            <w:r>
              <w:rPr>
                <w:rFonts w:ascii="Arial" w:cs="Arial" w:eastAsia="Arial" w:hAnsi="Arial"/>
                <w:sz w:val="14"/>
                <w:szCs w:val="14"/>
                <w:color w:val="auto"/>
              </w:rPr>
              <w:t>19,972</w:t>
            </w:r>
          </w:p>
        </w:tc>
        <w:tc>
          <w:tcPr>
            <w:tcW w:w="0" w:type="dxa"/>
            <w:vAlign w:val="bottom"/>
          </w:tcPr>
          <w:p>
            <w:pPr>
              <w:spacing w:after="0"/>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Donald W. Slager</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2,187</w:t>
            </w:r>
            <w:r>
              <w:rPr>
                <w:rFonts w:ascii="Arial" w:cs="Arial" w:eastAsia="Arial" w:hAnsi="Arial"/>
                <w:sz w:val="24"/>
                <w:szCs w:val="24"/>
                <w:color w:val="auto"/>
                <w:vertAlign w:val="superscript"/>
              </w:rPr>
              <w:t>2</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29"/>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David C. Wajsgras</w:t>
            </w:r>
          </w:p>
        </w:tc>
        <w:tc>
          <w:tcPr>
            <w:tcW w:w="2440" w:type="dxa"/>
            <w:vAlign w:val="bottom"/>
            <w:tcBorders>
              <w:right w:val="single" w:sz="8" w:color="007CBA"/>
            </w:tcBorders>
          </w:tcPr>
          <w:p>
            <w:pPr>
              <w:jc w:val="right"/>
              <w:ind w:right="1049"/>
              <w:spacing w:after="0"/>
              <w:rPr>
                <w:sz w:val="20"/>
                <w:szCs w:val="20"/>
                <w:color w:val="auto"/>
              </w:rPr>
            </w:pPr>
            <w:r>
              <w:rPr>
                <w:rFonts w:ascii="Arial" w:cs="Arial" w:eastAsia="Arial" w:hAnsi="Arial"/>
                <w:sz w:val="14"/>
                <w:szCs w:val="14"/>
                <w:color w:val="auto"/>
              </w:rPr>
              <w:t>—</w:t>
            </w:r>
          </w:p>
        </w:tc>
        <w:tc>
          <w:tcPr>
            <w:tcW w:w="18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480" w:type="dxa"/>
            <w:vAlign w:val="bottom"/>
            <w:tcBorders>
              <w:right w:val="single" w:sz="8" w:color="007CBA"/>
            </w:tcBorders>
          </w:tcPr>
          <w:p>
            <w:pPr>
              <w:spacing w:after="0"/>
              <w:rPr>
                <w:sz w:val="3"/>
                <w:szCs w:val="3"/>
                <w:color w:val="auto"/>
              </w:rPr>
            </w:pPr>
          </w:p>
        </w:tc>
        <w:tc>
          <w:tcPr>
            <w:tcW w:w="2440" w:type="dxa"/>
            <w:vAlign w:val="bottom"/>
            <w:tcBorders>
              <w:right w:val="single" w:sz="8" w:color="007CBA"/>
            </w:tcBorders>
          </w:tcPr>
          <w:p>
            <w:pPr>
              <w:spacing w:after="0"/>
              <w:rPr>
                <w:sz w:val="3"/>
                <w:szCs w:val="3"/>
                <w:color w:val="auto"/>
              </w:rPr>
            </w:pPr>
          </w:p>
        </w:tc>
        <w:tc>
          <w:tcPr>
            <w:tcW w:w="1880" w:type="dxa"/>
            <w:vAlign w:val="bottom"/>
            <w:tcBorders>
              <w:right w:val="single" w:sz="8" w:color="007CBA"/>
            </w:tcBorders>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Stephen P. Zelnak, Jr.</w:t>
            </w:r>
          </w:p>
        </w:tc>
        <w:tc>
          <w:tcPr>
            <w:tcW w:w="2440" w:type="dxa"/>
            <w:vAlign w:val="bottom"/>
            <w:tcBorders>
              <w:right w:val="single" w:sz="8" w:color="007CBA"/>
            </w:tcBorders>
            <w:shd w:val="clear" w:color="auto" w:fill="E5F1F8"/>
          </w:tcPr>
          <w:p>
            <w:pPr>
              <w:jc w:val="right"/>
              <w:ind w:right="789"/>
              <w:spacing w:after="0" w:line="266" w:lineRule="exact"/>
              <w:rPr>
                <w:sz w:val="20"/>
                <w:szCs w:val="20"/>
                <w:color w:val="auto"/>
              </w:rPr>
            </w:pPr>
            <w:r>
              <w:rPr>
                <w:rFonts w:ascii="Arial" w:cs="Arial" w:eastAsia="Arial" w:hAnsi="Arial"/>
                <w:sz w:val="14"/>
                <w:szCs w:val="14"/>
                <w:color w:val="auto"/>
              </w:rPr>
              <w:t>23,030</w:t>
            </w:r>
            <w:r>
              <w:rPr>
                <w:rFonts w:ascii="Arial" w:cs="Arial" w:eastAsia="Arial" w:hAnsi="Arial"/>
                <w:sz w:val="24"/>
                <w:szCs w:val="24"/>
                <w:color w:val="auto"/>
                <w:vertAlign w:val="superscript"/>
              </w:rPr>
              <w:t>2</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shd w:val="clear" w:color="auto" w:fill="E5F1F8"/>
          </w:tcPr>
          <w:p>
            <w:pPr>
              <w:jc w:val="right"/>
              <w:ind w:right="309"/>
              <w:spacing w:after="0"/>
              <w:rPr>
                <w:sz w:val="20"/>
                <w:szCs w:val="20"/>
                <w:color w:val="auto"/>
              </w:rPr>
            </w:pPr>
            <w:r>
              <w:rPr>
                <w:rFonts w:ascii="Arial" w:cs="Arial" w:eastAsia="Arial" w:hAnsi="Arial"/>
                <w:sz w:val="14"/>
                <w:szCs w:val="14"/>
                <w:color w:val="auto"/>
              </w:rPr>
              <w:t>23,030</w:t>
            </w:r>
          </w:p>
        </w:tc>
        <w:tc>
          <w:tcPr>
            <w:tcW w:w="0" w:type="dxa"/>
            <w:vAlign w:val="bottom"/>
          </w:tcPr>
          <w:p>
            <w:pPr>
              <w:spacing w:after="0"/>
              <w:rPr>
                <w:sz w:val="1"/>
                <w:szCs w:val="1"/>
                <w:color w:val="auto"/>
              </w:rPr>
            </w:pPr>
          </w:p>
        </w:tc>
      </w:tr>
      <w:tr>
        <w:trPr>
          <w:trHeight w:val="191"/>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All Directors and executive officers as</w:t>
            </w:r>
          </w:p>
        </w:tc>
        <w:tc>
          <w:tcPr>
            <w:tcW w:w="2440" w:type="dxa"/>
            <w:vAlign w:val="bottom"/>
            <w:tcBorders>
              <w:right w:val="single" w:sz="8" w:color="007CBA"/>
            </w:tcBorders>
          </w:tcPr>
          <w:p>
            <w:pPr>
              <w:spacing w:after="0"/>
              <w:rPr>
                <w:sz w:val="16"/>
                <w:szCs w:val="16"/>
                <w:color w:val="auto"/>
              </w:rPr>
            </w:pPr>
          </w:p>
        </w:tc>
        <w:tc>
          <w:tcPr>
            <w:tcW w:w="1880" w:type="dxa"/>
            <w:vAlign w:val="bottom"/>
            <w:tcBorders>
              <w:right w:val="single" w:sz="8" w:color="007CBA"/>
            </w:tcBorders>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tcBorders>
              <w:right w:val="single" w:sz="8" w:color="007CBA"/>
            </w:tcBorders>
          </w:tcPr>
          <w:p>
            <w:pPr>
              <w:ind w:left="60"/>
              <w:spacing w:after="0" w:line="160" w:lineRule="exact"/>
              <w:rPr>
                <w:sz w:val="20"/>
                <w:szCs w:val="20"/>
                <w:color w:val="auto"/>
              </w:rPr>
            </w:pPr>
            <w:r>
              <w:rPr>
                <w:rFonts w:ascii="Arial" w:cs="Arial" w:eastAsia="Arial" w:hAnsi="Arial"/>
                <w:sz w:val="14"/>
                <w:szCs w:val="14"/>
                <w:color w:val="auto"/>
              </w:rPr>
              <w:t>a group</w:t>
            </w:r>
          </w:p>
        </w:tc>
        <w:tc>
          <w:tcPr>
            <w:tcW w:w="2440" w:type="dxa"/>
            <w:vAlign w:val="bottom"/>
            <w:tcBorders>
              <w:right w:val="single" w:sz="8" w:color="007CBA"/>
            </w:tcBorders>
          </w:tcPr>
          <w:p>
            <w:pPr>
              <w:spacing w:after="0"/>
              <w:rPr>
                <w:sz w:val="13"/>
                <w:szCs w:val="13"/>
                <w:color w:val="auto"/>
              </w:rPr>
            </w:pPr>
          </w:p>
        </w:tc>
        <w:tc>
          <w:tcPr>
            <w:tcW w:w="1880" w:type="dxa"/>
            <w:vAlign w:val="bottom"/>
            <w:tcBorders>
              <w:right w:val="single" w:sz="8" w:color="007CBA"/>
            </w:tcBorders>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80" w:type="dxa"/>
            <w:vAlign w:val="bottom"/>
            <w:tcBorders>
              <w:right w:val="single" w:sz="8" w:color="007CBA"/>
            </w:tcBorders>
          </w:tcPr>
          <w:p>
            <w:pPr>
              <w:ind w:left="60"/>
              <w:spacing w:after="0" w:line="160" w:lineRule="exact"/>
              <w:rPr>
                <w:sz w:val="20"/>
                <w:szCs w:val="20"/>
                <w:color w:val="auto"/>
              </w:rPr>
            </w:pPr>
            <w:r>
              <w:rPr>
                <w:rFonts w:ascii="Arial" w:cs="Arial" w:eastAsia="Arial" w:hAnsi="Arial"/>
                <w:sz w:val="14"/>
                <w:szCs w:val="14"/>
                <w:color w:val="auto"/>
              </w:rPr>
              <w:t>(17 individuals including those named</w:t>
            </w:r>
          </w:p>
        </w:tc>
        <w:tc>
          <w:tcPr>
            <w:tcW w:w="2440" w:type="dxa"/>
            <w:vAlign w:val="bottom"/>
            <w:tcBorders>
              <w:right w:val="single" w:sz="8" w:color="007CBA"/>
            </w:tcBorders>
            <w:vMerge w:val="restart"/>
          </w:tcPr>
          <w:p>
            <w:pPr>
              <w:jc w:val="right"/>
              <w:ind w:right="689"/>
              <w:spacing w:after="0"/>
              <w:rPr>
                <w:sz w:val="20"/>
                <w:szCs w:val="20"/>
                <w:color w:val="auto"/>
              </w:rPr>
            </w:pPr>
            <w:r>
              <w:rPr>
                <w:rFonts w:ascii="Arial" w:cs="Arial" w:eastAsia="Arial" w:hAnsi="Arial"/>
                <w:sz w:val="14"/>
                <w:szCs w:val="14"/>
                <w:color w:val="auto"/>
              </w:rPr>
              <w:t>316,128</w:t>
            </w:r>
            <w:r>
              <w:rPr>
                <w:rFonts w:ascii="Arial" w:cs="Arial" w:eastAsia="Arial" w:hAnsi="Arial"/>
                <w:sz w:val="24"/>
                <w:szCs w:val="24"/>
                <w:color w:val="auto"/>
                <w:vertAlign w:val="superscript"/>
              </w:rPr>
              <w:t>3,4</w:t>
            </w:r>
          </w:p>
        </w:tc>
        <w:tc>
          <w:tcPr>
            <w:tcW w:w="1880" w:type="dxa"/>
            <w:vAlign w:val="bottom"/>
            <w:tcBorders>
              <w:right w:val="single" w:sz="8" w:color="007CBA"/>
            </w:tcBorders>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8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above)</w:t>
            </w:r>
          </w:p>
        </w:tc>
        <w:tc>
          <w:tcPr>
            <w:tcW w:w="2440" w:type="dxa"/>
            <w:vAlign w:val="bottom"/>
            <w:tcBorders>
              <w:bottom w:val="single" w:sz="8" w:color="007CBA"/>
              <w:right w:val="single" w:sz="8" w:color="007CBA"/>
            </w:tcBorders>
            <w:vMerge w:val="continue"/>
          </w:tcPr>
          <w:p>
            <w:pPr>
              <w:spacing w:after="0"/>
              <w:rPr>
                <w:sz w:val="15"/>
                <w:szCs w:val="15"/>
                <w:color w:val="auto"/>
              </w:rPr>
            </w:pPr>
          </w:p>
        </w:tc>
        <w:tc>
          <w:tcPr>
            <w:tcW w:w="18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87,902</w:t>
            </w:r>
          </w:p>
        </w:tc>
        <w:tc>
          <w:tcPr>
            <w:tcW w:w="1340" w:type="dxa"/>
            <w:vAlign w:val="bottom"/>
            <w:tcBorders>
              <w:bottom w:val="single" w:sz="8" w:color="007CBA"/>
            </w:tcBorders>
          </w:tcPr>
          <w:p>
            <w:pPr>
              <w:jc w:val="right"/>
              <w:ind w:right="309"/>
              <w:spacing w:after="0"/>
              <w:rPr>
                <w:sz w:val="20"/>
                <w:szCs w:val="20"/>
                <w:color w:val="auto"/>
              </w:rPr>
            </w:pPr>
            <w:r>
              <w:rPr>
                <w:rFonts w:ascii="Arial" w:cs="Arial" w:eastAsia="Arial" w:hAnsi="Arial"/>
                <w:sz w:val="14"/>
                <w:szCs w:val="14"/>
                <w:color w:val="auto"/>
              </w:rPr>
              <w:t>404,030</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400" w:hanging="213"/>
        <w:spacing w:after="0" w:line="196" w:lineRule="auto"/>
        <w:tabs>
          <w:tab w:leader="none" w:pos="40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0.0058% of the shares of common stock outstanding as of March 6, 2020. None of the shares reported are pledged as security.</w:t>
      </w:r>
    </w:p>
    <w:p>
      <w:pPr>
        <w:spacing w:after="0" w:line="58" w:lineRule="exact"/>
        <w:rPr>
          <w:sz w:val="20"/>
          <w:szCs w:val="20"/>
          <w:color w:val="auto"/>
        </w:rPr>
      </w:pPr>
    </w:p>
    <w:p>
      <w:pPr>
        <w:jc w:val="both"/>
        <w:ind w:left="400" w:hanging="213"/>
        <w:spacing w:after="0" w:line="211" w:lineRule="auto"/>
        <w:tabs>
          <w:tab w:leader="none" w:pos="4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2019 as part of their compensation. The Directors do not have voting or investment power for their respective common stock units and RSUs. The number of common stock units credited to each of the Directors pursuant to the Common Stock Purchase Plan as of March 6, 2020 is as follows: Ms. Ables, 0; Ms. Cole, 15,848; Mr. Davis, 1,164; Mr. Koraleski, 1,392; Ms. Perez, 5,258; Mr. Pike, 0; Mr. Quillen, 7,214; Mr. Slager, 0; and Mr. Zelnak, 6,906.</w:t>
      </w:r>
    </w:p>
    <w:p>
      <w:pPr>
        <w:spacing w:after="0" w:line="57" w:lineRule="exact"/>
        <w:rPr>
          <w:sz w:val="20"/>
          <w:szCs w:val="20"/>
          <w:color w:val="auto"/>
        </w:rPr>
      </w:pPr>
    </w:p>
    <w:p>
      <w:pPr>
        <w:jc w:val="both"/>
        <w:ind w:left="400" w:hanging="213"/>
        <w:spacing w:after="0" w:line="196" w:lineRule="auto"/>
        <w:tabs>
          <w:tab w:leader="none" w:pos="40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The number of shares owned for each of Mr. Nye, Ms. Bar, Mr. LaTorre, Mr. Grant, Mr. Nickolas and all Directors and executive officers as a group assumes that options held by each of them covering shares of common stock in the amounts indicated, which are currently exercisable within 60 days of March 6, 2020, have been exercised: Mr. Nye, 10,000; Ms. Bar, 8,517; Mr. Grant, 1,892; Mr. LaTorre, 0; Mr. Nickolas, 0; and all Directors and executive officers as a group, 20,409.</w:t>
      </w:r>
    </w:p>
    <w:p>
      <w:pPr>
        <w:ind w:left="400" w:hanging="213"/>
        <w:spacing w:after="0" w:line="198" w:lineRule="auto"/>
        <w:tabs>
          <w:tab w:leader="none" w:pos="40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Includes an approximation of the number of shares in an IRA account.</w:t>
      </w:r>
    </w:p>
    <w:p>
      <w:pPr>
        <w:spacing w:after="0" w:line="57" w:lineRule="exact"/>
        <w:rPr>
          <w:sz w:val="20"/>
          <w:szCs w:val="20"/>
          <w:color w:val="auto"/>
        </w:rPr>
      </w:pPr>
    </w:p>
    <w:p>
      <w:pPr>
        <w:jc w:val="both"/>
        <w:ind w:left="400" w:hanging="213"/>
        <w:spacing w:after="0"/>
        <w:tabs>
          <w:tab w:leader="none" w:pos="40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include common stock units credited to each of the NEOs in connection with (i) their deferral of a portion of their cash bonus under the Martin Marietta Materials, Inc. Incentive Stock Plan, and (ii) RSUs (not including any performance-based share units (PSUs) granted under the Stock Plan that are subject to forfeiture in accordance with the terms of the plan and are scheduled to vest within 60 days of March 6, 2020), each in the following amounts: Mr. Nye, 19,727 and 23,782, respectively; Ms. Bar, 3,534 and 4,930, respectively; Mr. Nickolas, 1,375 and 7,785, respectively; Mr. Grant, 1,432 and 2,700, respectively; Mr. LaTorre, 507 and 8,605, respectively; and all Directors and executive officers as a group, 17,247 and 54,491, respectively. There are no voting rights associated with the stock units or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114935</wp:posOffset>
            </wp:positionV>
            <wp:extent cx="406400" cy="245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96" w:lineRule="exact"/>
        <w:rPr>
          <w:sz w:val="20"/>
          <w:szCs w:val="20"/>
          <w:color w:val="auto"/>
        </w:rPr>
      </w:pPr>
    </w:p>
    <w:p>
      <w:pPr>
        <w:ind w:left="620" w:hanging="433"/>
        <w:spacing w:after="0"/>
        <w:tabs>
          <w:tab w:leader="none" w:pos="620" w:val="left"/>
        </w:tabs>
        <w:numPr>
          <w:ilvl w:val="0"/>
          <w:numId w:val="72"/>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3280"/>
        <w:spacing w:after="0" w:line="251" w:lineRule="exact"/>
        <w:tabs>
          <w:tab w:leader="none" w:pos="6820" w:val="left"/>
        </w:tabs>
        <w:rPr>
          <w:sz w:val="20"/>
          <w:szCs w:val="20"/>
          <w:color w:val="auto"/>
        </w:rPr>
      </w:pPr>
      <w:r>
        <w:rPr>
          <w:rFonts w:ascii="Arial" w:cs="Arial" w:eastAsia="Arial" w:hAnsi="Arial"/>
          <w:sz w:val="13"/>
          <w:szCs w:val="13"/>
          <w:color w:val="auto"/>
        </w:rPr>
        <w:t>Section 16(a) Beneficial Ownership Reporting Compliance</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Security Ownership of Certain Beneficial Owners and Management</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007CBA"/>
        </w:rPr>
        <w:t>Who are the largest owners of Martin Marietta’s stock?</w:t>
      </w:r>
    </w:p>
    <w:p>
      <w:pPr>
        <w:spacing w:after="0" w:line="21"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The following table sets forth information with respect to the shares of common stock which are held by persons known to Martin Marietta to be the beneficial owners of more than 5% of such stock as of March 6, 2020. To the best of Martin Marietta’s knowledge, based on filings with the Securities and Exchange Commission as noted below, no person beneficially owned more than 5% of any class of Martin Marietta’s outstanding voting securities at the close of business on March 6, 2020, except for those shown below.</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4740" w:type="dxa"/>
            <w:vAlign w:val="bottom"/>
            <w:tcBorders>
              <w:right w:val="single" w:sz="8" w:color="007CBA"/>
            </w:tcBorders>
            <w:shd w:val="clear" w:color="auto" w:fill="007CBA"/>
          </w:tcPr>
          <w:p>
            <w:pPr>
              <w:spacing w:after="0"/>
              <w:rPr>
                <w:sz w:val="15"/>
                <w:szCs w:val="15"/>
                <w:color w:val="auto"/>
              </w:rPr>
            </w:pPr>
          </w:p>
        </w:tc>
        <w:tc>
          <w:tcPr>
            <w:tcW w:w="2080" w:type="dxa"/>
            <w:vAlign w:val="bottom"/>
            <w:tcBorders>
              <w:right w:val="single" w:sz="8" w:color="007CBA"/>
            </w:tcBorders>
            <w:shd w:val="clear" w:color="auto" w:fill="007CBA"/>
          </w:tcPr>
          <w:p>
            <w:pPr>
              <w:spacing w:after="0"/>
              <w:rPr>
                <w:sz w:val="15"/>
                <w:szCs w:val="15"/>
                <w:color w:val="auto"/>
              </w:rPr>
            </w:pPr>
          </w:p>
        </w:tc>
        <w:tc>
          <w:tcPr>
            <w:tcW w:w="1440" w:type="dxa"/>
            <w:vAlign w:val="bottom"/>
            <w:shd w:val="clear" w:color="auto" w:fill="007CBA"/>
          </w:tcPr>
          <w:p>
            <w:pPr>
              <w:jc w:val="right"/>
              <w:ind w:right="349"/>
              <w:spacing w:after="0"/>
              <w:rPr>
                <w:sz w:val="20"/>
                <w:szCs w:val="20"/>
                <w:color w:val="auto"/>
              </w:rPr>
            </w:pPr>
            <w:r>
              <w:rPr>
                <w:rFonts w:ascii="Arial" w:cs="Arial" w:eastAsia="Arial" w:hAnsi="Arial"/>
                <w:sz w:val="14"/>
                <w:szCs w:val="14"/>
                <w:b w:val="1"/>
                <w:bCs w:val="1"/>
                <w:color w:val="FFFFFF"/>
              </w:rPr>
              <w:t>Percent</w:t>
            </w:r>
          </w:p>
        </w:tc>
      </w:tr>
      <w:tr>
        <w:trPr>
          <w:trHeight w:val="160"/>
        </w:trPr>
        <w:tc>
          <w:tcPr>
            <w:tcW w:w="4740" w:type="dxa"/>
            <w:vAlign w:val="bottom"/>
            <w:tcBorders>
              <w:right w:val="single" w:sz="8" w:color="007CBA"/>
            </w:tcBorders>
            <w:shd w:val="clear" w:color="auto" w:fill="007CBA"/>
          </w:tcPr>
          <w:p>
            <w:pPr>
              <w:ind w:left="60"/>
              <w:spacing w:after="0" w:line="160" w:lineRule="exact"/>
              <w:rPr>
                <w:sz w:val="20"/>
                <w:szCs w:val="20"/>
                <w:color w:val="auto"/>
              </w:rPr>
            </w:pPr>
            <w:r>
              <w:rPr>
                <w:rFonts w:ascii="Arial" w:cs="Arial" w:eastAsia="Arial" w:hAnsi="Arial"/>
                <w:sz w:val="14"/>
                <w:szCs w:val="14"/>
                <w:b w:val="1"/>
                <w:bCs w:val="1"/>
                <w:color w:val="FFFFFF"/>
              </w:rPr>
              <w:t>Name and Address</w:t>
            </w:r>
          </w:p>
        </w:tc>
        <w:tc>
          <w:tcPr>
            <w:tcW w:w="2080" w:type="dxa"/>
            <w:vAlign w:val="bottom"/>
            <w:tcBorders>
              <w:right w:val="single" w:sz="8" w:color="007CBA"/>
            </w:tcBorders>
            <w:shd w:val="clear" w:color="auto" w:fill="007CBA"/>
          </w:tcPr>
          <w:p>
            <w:pPr>
              <w:jc w:val="center"/>
              <w:ind w:left="9"/>
              <w:spacing w:after="0" w:line="160" w:lineRule="exact"/>
              <w:rPr>
                <w:sz w:val="20"/>
                <w:szCs w:val="20"/>
                <w:color w:val="auto"/>
              </w:rPr>
            </w:pPr>
            <w:r>
              <w:rPr>
                <w:rFonts w:ascii="Arial" w:cs="Arial" w:eastAsia="Arial" w:hAnsi="Arial"/>
                <w:sz w:val="14"/>
                <w:szCs w:val="14"/>
                <w:b w:val="1"/>
                <w:bCs w:val="1"/>
                <w:color w:val="FFFFFF"/>
              </w:rPr>
              <w:t>Amount and Nature</w:t>
            </w:r>
          </w:p>
        </w:tc>
        <w:tc>
          <w:tcPr>
            <w:tcW w:w="1440" w:type="dxa"/>
            <w:vAlign w:val="bottom"/>
            <w:shd w:val="clear" w:color="auto" w:fill="007CBA"/>
          </w:tcPr>
          <w:p>
            <w:pPr>
              <w:jc w:val="right"/>
              <w:ind w:right="249"/>
              <w:spacing w:after="0" w:line="160" w:lineRule="exact"/>
              <w:rPr>
                <w:sz w:val="20"/>
                <w:szCs w:val="20"/>
                <w:color w:val="auto"/>
              </w:rPr>
            </w:pPr>
            <w:r>
              <w:rPr>
                <w:rFonts w:ascii="Arial" w:cs="Arial" w:eastAsia="Arial" w:hAnsi="Arial"/>
                <w:sz w:val="14"/>
                <w:szCs w:val="14"/>
                <w:b w:val="1"/>
                <w:bCs w:val="1"/>
                <w:color w:val="FFFFFF"/>
              </w:rPr>
              <w:t>of Class</w:t>
            </w:r>
          </w:p>
        </w:tc>
      </w:tr>
      <w:tr>
        <w:trPr>
          <w:trHeight w:val="189"/>
        </w:trPr>
        <w:tc>
          <w:tcPr>
            <w:tcW w:w="47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of Beneficial Owner</w:t>
            </w:r>
          </w:p>
        </w:tc>
        <w:tc>
          <w:tcPr>
            <w:tcW w:w="2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 Beneficial Ownership</w:t>
            </w:r>
          </w:p>
        </w:tc>
        <w:tc>
          <w:tcPr>
            <w:tcW w:w="1440" w:type="dxa"/>
            <w:vAlign w:val="bottom"/>
            <w:shd w:val="clear" w:color="auto" w:fill="007CBA"/>
          </w:tcPr>
          <w:p>
            <w:pPr>
              <w:spacing w:after="0"/>
              <w:rPr>
                <w:sz w:val="16"/>
                <w:szCs w:val="16"/>
                <w:color w:val="auto"/>
              </w:rPr>
            </w:pPr>
          </w:p>
        </w:tc>
      </w:tr>
      <w:tr>
        <w:trPr>
          <w:trHeight w:val="65"/>
        </w:trPr>
        <w:tc>
          <w:tcPr>
            <w:tcW w:w="4740" w:type="dxa"/>
            <w:vAlign w:val="bottom"/>
            <w:tcBorders>
              <w:right w:val="single" w:sz="8" w:color="007CBA"/>
            </w:tcBorders>
            <w:shd w:val="clear" w:color="auto" w:fill="007CBA"/>
          </w:tcPr>
          <w:p>
            <w:pPr>
              <w:spacing w:after="0"/>
              <w:rPr>
                <w:sz w:val="5"/>
                <w:szCs w:val="5"/>
                <w:color w:val="auto"/>
              </w:rPr>
            </w:pPr>
          </w:p>
        </w:tc>
        <w:tc>
          <w:tcPr>
            <w:tcW w:w="2080" w:type="dxa"/>
            <w:vAlign w:val="bottom"/>
            <w:tcBorders>
              <w:right w:val="single" w:sz="8" w:color="007CBA"/>
            </w:tcBorders>
            <w:shd w:val="clear" w:color="auto" w:fill="007CBA"/>
          </w:tcPr>
          <w:p>
            <w:pPr>
              <w:spacing w:after="0"/>
              <w:rPr>
                <w:sz w:val="5"/>
                <w:szCs w:val="5"/>
                <w:color w:val="auto"/>
              </w:rPr>
            </w:pPr>
          </w:p>
        </w:tc>
        <w:tc>
          <w:tcPr>
            <w:tcW w:w="1440" w:type="dxa"/>
            <w:vAlign w:val="bottom"/>
            <w:shd w:val="clear" w:color="auto" w:fill="007CBA"/>
          </w:tcPr>
          <w:p>
            <w:pPr>
              <w:spacing w:after="0"/>
              <w:rPr>
                <w:sz w:val="5"/>
                <w:szCs w:val="5"/>
                <w:color w:val="auto"/>
              </w:rPr>
            </w:pPr>
          </w:p>
        </w:tc>
      </w:tr>
      <w:tr>
        <w:trPr>
          <w:trHeight w:val="218"/>
        </w:trPr>
        <w:tc>
          <w:tcPr>
            <w:tcW w:w="4740" w:type="dxa"/>
            <w:vAlign w:val="bottom"/>
            <w:tcBorders>
              <w:right w:val="single" w:sz="8" w:color="007CBA"/>
            </w:tcBorders>
            <w:shd w:val="clear" w:color="auto" w:fill="E5F1F8"/>
          </w:tcPr>
          <w:p>
            <w:pPr>
              <w:ind w:left="60"/>
              <w:spacing w:after="0" w:line="218" w:lineRule="exact"/>
              <w:rPr>
                <w:sz w:val="20"/>
                <w:szCs w:val="20"/>
                <w:color w:val="auto"/>
              </w:rPr>
            </w:pPr>
            <w:r>
              <w:rPr>
                <w:rFonts w:ascii="Arial" w:cs="Arial" w:eastAsia="Arial" w:hAnsi="Arial"/>
                <w:sz w:val="14"/>
                <w:szCs w:val="14"/>
                <w:color w:val="auto"/>
              </w:rPr>
              <w:t>The Vanguard Group</w:t>
            </w:r>
            <w:r>
              <w:rPr>
                <w:rFonts w:ascii="Arial" w:cs="Arial" w:eastAsia="Arial" w:hAnsi="Arial"/>
                <w:sz w:val="24"/>
                <w:szCs w:val="24"/>
                <w:color w:val="auto"/>
                <w:vertAlign w:val="superscript"/>
              </w:rPr>
              <w:t>1</w:t>
            </w:r>
          </w:p>
        </w:tc>
        <w:tc>
          <w:tcPr>
            <w:tcW w:w="2080" w:type="dxa"/>
            <w:vAlign w:val="bottom"/>
            <w:tcBorders>
              <w:right w:val="single" w:sz="8" w:color="007CBA"/>
            </w:tcBorders>
            <w:shd w:val="clear" w:color="auto" w:fill="E5F1F8"/>
          </w:tcPr>
          <w:p>
            <w:pPr>
              <w:spacing w:after="0"/>
              <w:rPr>
                <w:sz w:val="18"/>
                <w:szCs w:val="18"/>
                <w:color w:val="auto"/>
              </w:rPr>
            </w:pPr>
          </w:p>
        </w:tc>
        <w:tc>
          <w:tcPr>
            <w:tcW w:w="1440" w:type="dxa"/>
            <w:vAlign w:val="bottom"/>
            <w:shd w:val="clear" w:color="auto" w:fill="E5F1F8"/>
          </w:tcPr>
          <w:p>
            <w:pPr>
              <w:spacing w:after="0"/>
              <w:rPr>
                <w:sz w:val="18"/>
                <w:szCs w:val="18"/>
                <w:color w:val="auto"/>
              </w:rPr>
            </w:pPr>
          </w:p>
        </w:tc>
      </w:tr>
      <w:tr>
        <w:trPr>
          <w:trHeight w:val="160"/>
        </w:trPr>
        <w:tc>
          <w:tcPr>
            <w:tcW w:w="4740" w:type="dxa"/>
            <w:vAlign w:val="bottom"/>
            <w:tcBorders>
              <w:right w:val="single" w:sz="8" w:color="007CBA"/>
            </w:tcBorders>
            <w:shd w:val="clear" w:color="auto" w:fill="E5F1F8"/>
          </w:tcPr>
          <w:p>
            <w:pPr>
              <w:ind w:left="60"/>
              <w:spacing w:after="0" w:line="160" w:lineRule="exact"/>
              <w:rPr>
                <w:sz w:val="20"/>
                <w:szCs w:val="20"/>
                <w:color w:val="auto"/>
              </w:rPr>
            </w:pPr>
            <w:r>
              <w:rPr>
                <w:rFonts w:ascii="Arial" w:cs="Arial" w:eastAsia="Arial" w:hAnsi="Arial"/>
                <w:sz w:val="14"/>
                <w:szCs w:val="14"/>
                <w:color w:val="auto"/>
              </w:rPr>
              <w:t>100 Vanguard Boulevard V26</w:t>
            </w:r>
          </w:p>
        </w:tc>
        <w:tc>
          <w:tcPr>
            <w:tcW w:w="2080" w:type="dxa"/>
            <w:vAlign w:val="bottom"/>
            <w:tcBorders>
              <w:right w:val="single" w:sz="8" w:color="007CBA"/>
            </w:tcBorders>
            <w:shd w:val="clear" w:color="auto" w:fill="E5F1F8"/>
          </w:tcPr>
          <w:p>
            <w:pPr>
              <w:spacing w:after="0"/>
              <w:rPr>
                <w:sz w:val="13"/>
                <w:szCs w:val="13"/>
                <w:color w:val="auto"/>
              </w:rPr>
            </w:pPr>
          </w:p>
        </w:tc>
        <w:tc>
          <w:tcPr>
            <w:tcW w:w="1440" w:type="dxa"/>
            <w:vAlign w:val="bottom"/>
            <w:shd w:val="clear" w:color="auto" w:fill="E5F1F8"/>
          </w:tcPr>
          <w:p>
            <w:pPr>
              <w:spacing w:after="0"/>
              <w:rPr>
                <w:sz w:val="13"/>
                <w:szCs w:val="13"/>
                <w:color w:val="auto"/>
              </w:rPr>
            </w:pPr>
          </w:p>
        </w:tc>
      </w:tr>
      <w:tr>
        <w:trPr>
          <w:trHeight w:val="202"/>
        </w:trPr>
        <w:tc>
          <w:tcPr>
            <w:tcW w:w="47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Malvern, PA 19355</w:t>
            </w:r>
          </w:p>
        </w:tc>
        <w:tc>
          <w:tcPr>
            <w:tcW w:w="2080" w:type="dxa"/>
            <w:vAlign w:val="bottom"/>
            <w:tcBorders>
              <w:bottom w:val="single" w:sz="8" w:color="E5F1F8"/>
              <w:right w:val="single" w:sz="8" w:color="007CBA"/>
            </w:tcBorders>
            <w:shd w:val="clear" w:color="auto" w:fill="E5F1F8"/>
          </w:tcPr>
          <w:p>
            <w:pPr>
              <w:jc w:val="center"/>
              <w:ind w:left="9"/>
              <w:spacing w:after="0"/>
              <w:rPr>
                <w:sz w:val="20"/>
                <w:szCs w:val="20"/>
                <w:color w:val="auto"/>
              </w:rPr>
            </w:pPr>
            <w:r>
              <w:rPr>
                <w:rFonts w:ascii="Arial" w:cs="Arial" w:eastAsia="Arial" w:hAnsi="Arial"/>
                <w:sz w:val="14"/>
                <w:szCs w:val="14"/>
                <w:color w:val="auto"/>
              </w:rPr>
              <w:t>6,898,654</w:t>
            </w:r>
          </w:p>
        </w:tc>
        <w:tc>
          <w:tcPr>
            <w:tcW w:w="1440" w:type="dxa"/>
            <w:vAlign w:val="bottom"/>
            <w:tcBorders>
              <w:bottom w:val="single" w:sz="8" w:color="E5F1F8"/>
            </w:tcBorders>
            <w:shd w:val="clear" w:color="auto" w:fill="E5F1F8"/>
          </w:tcPr>
          <w:p>
            <w:pPr>
              <w:jc w:val="right"/>
              <w:ind w:right="369"/>
              <w:spacing w:after="0"/>
              <w:rPr>
                <w:sz w:val="20"/>
                <w:szCs w:val="20"/>
                <w:color w:val="auto"/>
              </w:rPr>
            </w:pPr>
            <w:r>
              <w:rPr>
                <w:rFonts w:ascii="Arial" w:cs="Arial" w:eastAsia="Arial" w:hAnsi="Arial"/>
                <w:sz w:val="14"/>
                <w:szCs w:val="14"/>
                <w:color w:val="auto"/>
              </w:rPr>
              <w:t>11.03%</w:t>
            </w:r>
          </w:p>
        </w:tc>
      </w:tr>
      <w:tr>
        <w:trPr>
          <w:trHeight w:val="218"/>
        </w:trPr>
        <w:tc>
          <w:tcPr>
            <w:tcW w:w="4740" w:type="dxa"/>
            <w:vAlign w:val="bottom"/>
            <w:tcBorders>
              <w:right w:val="single" w:sz="8" w:color="007CBA"/>
            </w:tcBorders>
          </w:tcPr>
          <w:p>
            <w:pPr>
              <w:ind w:left="60"/>
              <w:spacing w:after="0" w:line="218" w:lineRule="exact"/>
              <w:rPr>
                <w:sz w:val="20"/>
                <w:szCs w:val="20"/>
                <w:color w:val="auto"/>
              </w:rPr>
            </w:pPr>
            <w:r>
              <w:rPr>
                <w:rFonts w:ascii="Arial" w:cs="Arial" w:eastAsia="Arial" w:hAnsi="Arial"/>
                <w:sz w:val="14"/>
                <w:szCs w:val="14"/>
                <w:color w:val="auto"/>
              </w:rPr>
              <w:t>BlackRock, Inc.</w:t>
            </w:r>
            <w:r>
              <w:rPr>
                <w:rFonts w:ascii="Arial" w:cs="Arial" w:eastAsia="Arial" w:hAnsi="Arial"/>
                <w:sz w:val="24"/>
                <w:szCs w:val="24"/>
                <w:color w:val="auto"/>
                <w:vertAlign w:val="superscript"/>
              </w:rPr>
              <w:t>2</w:t>
            </w:r>
          </w:p>
        </w:tc>
        <w:tc>
          <w:tcPr>
            <w:tcW w:w="2080" w:type="dxa"/>
            <w:vAlign w:val="bottom"/>
            <w:tcBorders>
              <w:right w:val="single" w:sz="8" w:color="007CBA"/>
            </w:tcBorders>
          </w:tcPr>
          <w:p>
            <w:pPr>
              <w:spacing w:after="0"/>
              <w:rPr>
                <w:sz w:val="18"/>
                <w:szCs w:val="18"/>
                <w:color w:val="auto"/>
              </w:rPr>
            </w:pPr>
          </w:p>
        </w:tc>
        <w:tc>
          <w:tcPr>
            <w:tcW w:w="1440" w:type="dxa"/>
            <w:vAlign w:val="bottom"/>
          </w:tcPr>
          <w:p>
            <w:pPr>
              <w:spacing w:after="0"/>
              <w:rPr>
                <w:sz w:val="18"/>
                <w:szCs w:val="18"/>
                <w:color w:val="auto"/>
              </w:rPr>
            </w:pPr>
          </w:p>
        </w:tc>
      </w:tr>
      <w:tr>
        <w:trPr>
          <w:trHeight w:val="160"/>
        </w:trPr>
        <w:tc>
          <w:tcPr>
            <w:tcW w:w="4740" w:type="dxa"/>
            <w:vAlign w:val="bottom"/>
            <w:tcBorders>
              <w:right w:val="single" w:sz="8" w:color="007CBA"/>
            </w:tcBorders>
          </w:tcPr>
          <w:p>
            <w:pPr>
              <w:ind w:left="60"/>
              <w:spacing w:after="0" w:line="160" w:lineRule="exact"/>
              <w:rPr>
                <w:sz w:val="20"/>
                <w:szCs w:val="20"/>
                <w:color w:val="auto"/>
              </w:rPr>
            </w:pPr>
            <w:r>
              <w:rPr>
                <w:rFonts w:ascii="Arial" w:cs="Arial" w:eastAsia="Arial" w:hAnsi="Arial"/>
                <w:sz w:val="14"/>
                <w:szCs w:val="14"/>
                <w:color w:val="auto"/>
              </w:rPr>
              <w:t>55 East 52nd Street</w:t>
            </w:r>
          </w:p>
        </w:tc>
        <w:tc>
          <w:tcPr>
            <w:tcW w:w="2080" w:type="dxa"/>
            <w:vAlign w:val="bottom"/>
            <w:tcBorders>
              <w:right w:val="single" w:sz="8" w:color="007CBA"/>
            </w:tcBorders>
          </w:tcPr>
          <w:p>
            <w:pPr>
              <w:spacing w:after="0"/>
              <w:rPr>
                <w:sz w:val="13"/>
                <w:szCs w:val="13"/>
                <w:color w:val="auto"/>
              </w:rPr>
            </w:pPr>
          </w:p>
        </w:tc>
        <w:tc>
          <w:tcPr>
            <w:tcW w:w="1440" w:type="dxa"/>
            <w:vAlign w:val="bottom"/>
          </w:tcPr>
          <w:p>
            <w:pPr>
              <w:spacing w:after="0"/>
              <w:rPr>
                <w:sz w:val="13"/>
                <w:szCs w:val="13"/>
                <w:color w:val="auto"/>
              </w:rPr>
            </w:pPr>
          </w:p>
        </w:tc>
      </w:tr>
      <w:tr>
        <w:trPr>
          <w:trHeight w:val="176"/>
        </w:trPr>
        <w:tc>
          <w:tcPr>
            <w:tcW w:w="474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New York, NY 10055</w:t>
            </w:r>
          </w:p>
        </w:tc>
        <w:tc>
          <w:tcPr>
            <w:tcW w:w="2080" w:type="dxa"/>
            <w:vAlign w:val="bottom"/>
            <w:tcBorders>
              <w:bottom w:val="single" w:sz="8" w:color="007CBA"/>
              <w:right w:val="single" w:sz="8" w:color="007CBA"/>
            </w:tcBorders>
          </w:tcPr>
          <w:p>
            <w:pPr>
              <w:jc w:val="center"/>
              <w:ind w:left="9"/>
              <w:spacing w:after="0"/>
              <w:rPr>
                <w:sz w:val="20"/>
                <w:szCs w:val="20"/>
                <w:color w:val="auto"/>
              </w:rPr>
            </w:pPr>
            <w:r>
              <w:rPr>
                <w:rFonts w:ascii="Arial" w:cs="Arial" w:eastAsia="Arial" w:hAnsi="Arial"/>
                <w:sz w:val="14"/>
                <w:szCs w:val="14"/>
                <w:color w:val="auto"/>
              </w:rPr>
              <w:t>4,105,223</w:t>
            </w:r>
          </w:p>
        </w:tc>
        <w:tc>
          <w:tcPr>
            <w:tcW w:w="1440" w:type="dxa"/>
            <w:vAlign w:val="bottom"/>
            <w:tcBorders>
              <w:bottom w:val="single" w:sz="8" w:color="007CBA"/>
            </w:tcBorders>
          </w:tcPr>
          <w:p>
            <w:pPr>
              <w:jc w:val="right"/>
              <w:ind w:right="369"/>
              <w:spacing w:after="0"/>
              <w:rPr>
                <w:sz w:val="20"/>
                <w:szCs w:val="20"/>
                <w:color w:val="auto"/>
              </w:rPr>
            </w:pPr>
            <w:r>
              <w:rPr>
                <w:rFonts w:ascii="Arial" w:cs="Arial" w:eastAsia="Arial" w:hAnsi="Arial"/>
                <w:sz w:val="14"/>
                <w:szCs w:val="14"/>
                <w:color w:val="auto"/>
              </w:rPr>
              <w:t>6.6%</w:t>
            </w:r>
          </w:p>
        </w:tc>
      </w:tr>
    </w:tbl>
    <w:p>
      <w:pPr>
        <w:spacing w:after="0" w:line="71" w:lineRule="exact"/>
        <w:rPr>
          <w:sz w:val="20"/>
          <w:szCs w:val="20"/>
          <w:color w:val="auto"/>
        </w:rPr>
      </w:pPr>
    </w:p>
    <w:p>
      <w:pPr>
        <w:jc w:val="both"/>
        <w:ind w:left="400" w:hanging="213"/>
        <w:spacing w:after="0" w:line="196" w:lineRule="auto"/>
        <w:tabs>
          <w:tab w:leader="none" w:pos="40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2019 filed with the Securities and Exchange Commission on February 12, 2020, indicating sole power to vote 93,240 shares, shared power to vote 16,298 shares, sole power to dispose of 6,794,063 shares, and shared power to dispose of 104,591 shares.</w:t>
      </w:r>
    </w:p>
    <w:p>
      <w:pPr>
        <w:spacing w:after="0" w:line="58" w:lineRule="exact"/>
        <w:rPr>
          <w:sz w:val="20"/>
          <w:szCs w:val="20"/>
          <w:color w:val="auto"/>
        </w:rPr>
      </w:pPr>
    </w:p>
    <w:p>
      <w:pPr>
        <w:ind w:left="400" w:hanging="213"/>
        <w:spacing w:after="0" w:line="181" w:lineRule="auto"/>
        <w:tabs>
          <w:tab w:leader="none" w:pos="40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2019 filed with the Securities and Exchange Commission on February 5, 2020, indicating sole power to vote 3,626,476 shares and sole power to dispose of 4,105,223 shares.</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Delinquent Section 16(a) Reports</w:t>
      </w:r>
    </w:p>
    <w:p>
      <w:pPr>
        <w:spacing w:after="0" w:line="223" w:lineRule="exact"/>
        <w:rPr>
          <w:sz w:val="20"/>
          <w:szCs w:val="20"/>
          <w:color w:val="auto"/>
        </w:rPr>
      </w:pPr>
    </w:p>
    <w:p>
      <w:pPr>
        <w:jc w:val="both"/>
        <w:ind w:left="180"/>
        <w:spacing w:after="0" w:line="245" w:lineRule="auto"/>
        <w:rPr>
          <w:sz w:val="20"/>
          <w:szCs w:val="20"/>
          <w:color w:val="auto"/>
        </w:rPr>
      </w:pPr>
      <w:r>
        <w:rPr>
          <w:rFonts w:ascii="Arial" w:cs="Arial" w:eastAsia="Arial" w:hAnsi="Arial"/>
          <w:sz w:val="16"/>
          <w:szCs w:val="16"/>
          <w:color w:val="auto"/>
        </w:rPr>
        <w:t>Section 16(a) of the Exchange Act requires Directors and officers of Martin Marietta and persons who own more than 10% of the common stock to file with the SEC initial reports of ownership and reports in changes in ownership of the common stock. Directors, officers and more than 10% shareholders are required by SEC regulations to furnish to Martin Marietta copies of all Section 16(a) reports filed. Based solely on its review of copies of reports furnished to Martin Marietta, the Company believes that during fiscal year 2019, such filing requirements were timely satisfied except for 6 quarterly dividend reinvestments in 2017 and 2018 that should have been previously reported on two Form 5s were inadvertently reported late by John P. Mohr, Senior Vice President and Chief Information Officer. Such reinvestments related to approximately 3.9 shares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86995</wp:posOffset>
            </wp:positionV>
            <wp:extent cx="406400" cy="2451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37"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25</w:t>
            </w:r>
          </w:p>
        </w:tc>
      </w:tr>
    </w:tbl>
    <w:p>
      <w:pPr>
        <w:sectPr>
          <w:pgSz w:w="11900" w:h="16838" w:orient="portrait"/>
          <w:cols w:equalWidth="0" w:num="1">
            <w:col w:w="11060"/>
          </w:cols>
          <w:pgMar w:left="320" w:top="455"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42"/>
          <w:szCs w:val="42"/>
          <w:color w:val="auto"/>
        </w:rPr>
        <w:t>Corporate Governance Matters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Corporate Governance Philosophy</w:t>
      </w:r>
    </w:p>
    <w:p>
      <w:pPr>
        <w:spacing w:after="0" w:line="329"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Guidelines</w:t>
      </w:r>
      <w:r>
        <w:rPr>
          <w:rFonts w:ascii="Arial" w:cs="Arial" w:eastAsia="Arial" w:hAnsi="Arial"/>
          <w:sz w:val="16"/>
          <w:szCs w:val="16"/>
          <w:color w:val="auto"/>
        </w:rPr>
        <w:t>, posted and available for public viewing on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Marietta’s website at </w:t>
      </w:r>
      <w:r>
        <w:rPr>
          <w:rFonts w:ascii="Arial" w:cs="Arial" w:eastAsia="Arial" w:hAnsi="Arial"/>
          <w:sz w:val="16"/>
          <w:szCs w:val="16"/>
          <w:i w:val="1"/>
          <w:iCs w:val="1"/>
          <w:color w:val="auto"/>
        </w:rPr>
        <w:t>https://ir.martinmarietta.com/corporate-governance</w:t>
      </w:r>
      <w:r>
        <w:rPr>
          <w:rFonts w:ascii="Arial" w:cs="Arial" w:eastAsia="Arial" w:hAnsi="Arial"/>
          <w:sz w:val="16"/>
          <w:szCs w:val="16"/>
          <w:color w:val="auto"/>
        </w:rPr>
        <w:t xml:space="preserve">, which set forth a flexible framework within which the Board, assisted by its Committees, directs the affairs of Martin Marietta. The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16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 xml:space="preserve">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has been in place since the 1980s and is regularly updated. It applies to all Board members, officers, and employees, providing our policies and expectations on a number of topics, including our commitment to good citizenship, promoting a positive and safe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Board members, officers, and employees participate regularly in ethics training. There have been no waivers from any provisions of our </w:t>
      </w:r>
      <w:r>
        <w:rPr>
          <w:rFonts w:ascii="Arial" w:cs="Arial" w:eastAsia="Arial" w:hAnsi="Arial"/>
          <w:sz w:val="16"/>
          <w:szCs w:val="16"/>
          <w:i w:val="1"/>
          <w:iCs w:val="1"/>
          <w:color w:val="auto"/>
        </w:rPr>
        <w:t>Code of Ethical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to any Board member or executive officer.</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addition, the Board believes that accountability to shareholders is a hallmark of good governance and critical to Martin Marietta’s success. To that end, management regularly engages with shareholders on a variety of topics throughout the year, including sustainability and governance, to ensure we are addressing their questions, thoughts and concerns, to seek input and to provide perspective on Company policies and practices. Feedback received during these discussions is shared with the Board and directly impacts deliberations on material topics. See discussion of our shareholder outreach on pages 6 and 35.</w:t>
      </w:r>
    </w:p>
    <w:p>
      <w:pPr>
        <w:spacing w:after="0" w:line="208"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chart below provides a snapshot of Martin Marietta’s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160020</wp:posOffset>
            </wp:positionV>
            <wp:extent cx="3207385" cy="35458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07385" cy="354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 w:hanging="433"/>
        <w:spacing w:after="0"/>
        <w:tabs>
          <w:tab w:leader="none" w:pos="620" w:val="left"/>
        </w:tabs>
        <w:numPr>
          <w:ilvl w:val="0"/>
          <w:numId w:val="75"/>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Who are Martin Marietta’s Independent Directors?</w:t>
      </w:r>
    </w:p>
    <w:p>
      <w:pPr>
        <w:spacing w:after="0" w:line="2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All of Martin Marietta’s Directors are non-employee Directors except Mr. Nye. Mr. Nye neither sits in the executive sessions of the independent Directors (unless invited to attend for a specific discussion) nor does he participate in any action of the Board relating to any executive compensation which he may receive.</w:t>
      </w:r>
    </w:p>
    <w:p>
      <w:pPr>
        <w:spacing w:after="0" w:line="177"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 xml:space="preserve">In assessing the independence of its members and nominees, the Board has adopted for Martin Marietta a set of </w:t>
      </w:r>
      <w:r>
        <w:rPr>
          <w:rFonts w:ascii="Arial" w:cs="Arial" w:eastAsia="Arial" w:hAnsi="Arial"/>
          <w:sz w:val="16"/>
          <w:szCs w:val="16"/>
          <w:i w:val="1"/>
          <w:iCs w:val="1"/>
          <w:color w:val="auto"/>
        </w:rPr>
        <w:t>Guidelines for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(Guidelines). The Guidelines are posted and available for</w:t>
      </w:r>
    </w:p>
    <w:p>
      <w:pPr>
        <w:spacing w:after="0" w:line="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public viewing on Martin Marietta’s website at </w:t>
      </w:r>
      <w:r>
        <w:rPr>
          <w:rFonts w:ascii="Arial" w:cs="Arial" w:eastAsia="Arial" w:hAnsi="Arial"/>
          <w:sz w:val="16"/>
          <w:szCs w:val="16"/>
          <w:i w:val="1"/>
          <w:iCs w:val="1"/>
          <w:color w:val="auto"/>
        </w:rPr>
        <w:t>https://ir.martinmarietta.com/corporate-governance</w:t>
      </w:r>
      <w:r>
        <w:rPr>
          <w:rFonts w:ascii="Arial" w:cs="Arial" w:eastAsia="Arial" w:hAnsi="Arial"/>
          <w:sz w:val="16"/>
          <w:szCs w:val="16"/>
          <w:color w:val="auto"/>
        </w:rPr>
        <w:t>. These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the rules of the NYSE, applicable requirements of the SEC, and other standards determined by the Board to be important in assessing the independence of Board members. The Board has determined that, other than Mr. Nye, all members of the Board and Mr. Wajsgras are “independent” under these Guidelines, resulting in 90% of the Board being independent. The Board of Directors has determined that no Director (except Mr. Nye), or nominee, or any person or organization with which the Director or nominee has any affiliation, has a relationship with Martin Marietta that may interfere with his or her independence from Martin Marietta and its management. In making this “independence” determination, the Board considered other entities with which the Directors and Mr. Wajsgras were affiliated and any business Martin Marietta had done with such entities.</w:t>
      </w:r>
    </w:p>
    <w:p>
      <w:pPr>
        <w:spacing w:after="0" w:line="148"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b w:val="1"/>
          <w:bCs w:val="1"/>
          <w:i w:val="1"/>
          <w:iCs w:val="1"/>
          <w:color w:val="007CBA"/>
        </w:rPr>
        <w:t xml:space="preserve">Do the independent Directors ever meet without management? </w:t>
      </w:r>
      <w:r>
        <w:rPr>
          <w:rFonts w:ascii="Arial" w:cs="Arial" w:eastAsia="Arial" w:hAnsi="Arial"/>
          <w:sz w:val="16"/>
          <w:szCs w:val="16"/>
          <w:color w:val="000000"/>
        </w:rPr>
        <w:t xml:space="preserve">Martin Marietta’s </w:t>
      </w:r>
      <w:r>
        <w:rPr>
          <w:rFonts w:ascii="Arial" w:cs="Arial" w:eastAsia="Arial" w:hAnsi="Arial"/>
          <w:sz w:val="16"/>
          <w:szCs w:val="16"/>
          <w:i w:val="1"/>
          <w:iCs w:val="1"/>
          <w:color w:val="000000"/>
        </w:rPr>
        <w:t>Corporate Governance Guidelines</w:t>
      </w:r>
      <w:r>
        <w:rPr>
          <w:rFonts w:ascii="Arial" w:cs="Arial" w:eastAsia="Arial" w:hAnsi="Arial"/>
          <w:sz w:val="16"/>
          <w:szCs w:val="16"/>
          <w:color w:val="000000"/>
        </w:rPr>
        <w:t xml:space="preserve"> adopted by the Board provide that at least two Board meetings each year will include an executive session of the non-employee Directors to discuss such topics as they may choose, including a discussion of the performance of Martin Marietta’s Chairman and Chief Executive Officer. In 2019, Martin Marietta’s independent Directors met at each regularly scheduled Board meeting, consisting of four times in executive session without management, in addition to executive sessions held by Committees of the Board. In 2019, all the independent Directors were non-employees.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What is the Board’s leadership structure?</w:t>
      </w:r>
    </w:p>
    <w:p>
      <w:pPr>
        <w:spacing w:after="0" w:line="2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provide that the Board’s policy as to whether the Chairman and CEO positions should be separate is to adopt the practice that best serves the Company’s needs at any particular time. The Nominating and Corporate Governance Committee and the Board discussed board leadership alternatives in connection with combining the Chairman and CEO roles.</w:t>
      </w:r>
    </w:p>
    <w:p>
      <w:pPr>
        <w:spacing w:after="0" w:line="179"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Board believes that, at the present time, the Company is best served by allocating governance responsibilities between a combined Chairman and CEO and a Lead Independent Director with robust responsibilities. This structure allows the Company to present a single face to our constituencies through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right"/>
        <w:spacing w:after="0" w:line="231" w:lineRule="exact"/>
        <w:tabs>
          <w:tab w:leader="none" w:pos="2080" w:val="left"/>
        </w:tabs>
        <w:rPr>
          <w:sz w:val="20"/>
          <w:szCs w:val="20"/>
          <w:color w:val="auto"/>
        </w:rPr>
      </w:pPr>
      <w:r>
        <w:rPr>
          <w:rFonts w:ascii="Arial" w:cs="Arial" w:eastAsia="Arial" w:hAnsi="Arial"/>
          <w:sz w:val="13"/>
          <w:szCs w:val="13"/>
          <w:color w:val="auto"/>
        </w:rPr>
        <w:t>Corporate Governance Philosophy</w:t>
      </w:r>
      <w:r>
        <w:rPr>
          <w:sz w:val="20"/>
          <w:szCs w:val="20"/>
          <w:color w:val="auto"/>
        </w:rPr>
        <w:tab/>
      </w:r>
      <w:r>
        <w:rPr>
          <w:rFonts w:ascii="MS PGothic" w:cs="MS PGothic" w:eastAsia="MS PGothic" w:hAnsi="MS PGothic"/>
          <w:sz w:val="23"/>
          <w:szCs w:val="23"/>
          <w:color w:val="007CBA"/>
        </w:rPr>
        <w:t xml:space="preserve">◆ </w:t>
      </w:r>
      <w:r>
        <w:rPr>
          <w:rFonts w:ascii="Arial" w:cs="Arial" w:eastAsia="Arial" w:hAnsi="Arial"/>
          <w:sz w:val="12"/>
          <w:szCs w:val="12"/>
          <w:color w:val="007CB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-638810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3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combined Chairman and CEO position while at the same time providing an active role and voice for the independent directors through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125730</wp:posOffset>
            </wp:positionV>
            <wp:extent cx="3351530" cy="3342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51530" cy="3342640"/>
                    </a:xfrm>
                    <a:prstGeom prst="rect">
                      <a:avLst/>
                    </a:prstGeom>
                    <a:noFill/>
                  </pic:spPr>
                </pic:pic>
              </a:graphicData>
            </a:graphic>
          </wp:anchor>
        </w:drawing>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FFFFFF"/>
        </w:rPr>
        <w:t>REASONS FOR COMBINED CHAIR AND CEO</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007CBA"/>
        </w:rPr>
        <w:t>Key highlights:</w:t>
      </w:r>
    </w:p>
    <w:p>
      <w:pPr>
        <w:spacing w:after="0" w:line="101" w:lineRule="exact"/>
        <w:rPr>
          <w:sz w:val="20"/>
          <w:szCs w:val="20"/>
          <w:color w:val="auto"/>
        </w:rPr>
      </w:pPr>
    </w:p>
    <w:p>
      <w:pPr>
        <w:ind w:left="500" w:right="420" w:hanging="240"/>
        <w:spacing w:after="0" w:line="249" w:lineRule="auto"/>
        <w:tabs>
          <w:tab w:leader="none" w:pos="505"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The independent Board members believe that Mr. Nye has extensive experience in all facets of the construction materials industry, in both the U.S. and with global competitors.</w:t>
      </w:r>
    </w:p>
    <w:p>
      <w:pPr>
        <w:spacing w:after="0" w:line="53" w:lineRule="exact"/>
        <w:rPr>
          <w:rFonts w:ascii="Arial" w:cs="Arial" w:eastAsia="Arial" w:hAnsi="Arial"/>
          <w:sz w:val="16"/>
          <w:szCs w:val="16"/>
          <w:color w:val="007CBA"/>
        </w:rPr>
      </w:pPr>
    </w:p>
    <w:p>
      <w:pPr>
        <w:ind w:left="500" w:right="240" w:hanging="240"/>
        <w:spacing w:after="0" w:line="249" w:lineRule="auto"/>
        <w:tabs>
          <w:tab w:leader="none" w:pos="508"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Mr. Nye has been effective in creating shareholder value through strategic acquisitions and divestitures, with achievement of expected synergies.</w:t>
      </w:r>
    </w:p>
    <w:p>
      <w:pPr>
        <w:spacing w:after="0" w:line="53" w:lineRule="exact"/>
        <w:rPr>
          <w:rFonts w:ascii="Arial" w:cs="Arial" w:eastAsia="Arial" w:hAnsi="Arial"/>
          <w:sz w:val="16"/>
          <w:szCs w:val="16"/>
          <w:color w:val="007CBA"/>
        </w:rPr>
      </w:pPr>
    </w:p>
    <w:p>
      <w:pPr>
        <w:ind w:left="500" w:right="540" w:hanging="240"/>
        <w:spacing w:after="0" w:line="249" w:lineRule="auto"/>
        <w:tabs>
          <w:tab w:leader="none" w:pos="508"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Mr. Nye has in-depth knowledge of safety, operational, environmental, and regulatory considerations that impact the business and oversight of management.</w:t>
      </w:r>
    </w:p>
    <w:p>
      <w:pPr>
        <w:spacing w:after="0" w:line="53" w:lineRule="exact"/>
        <w:rPr>
          <w:rFonts w:ascii="Arial" w:cs="Arial" w:eastAsia="Arial" w:hAnsi="Arial"/>
          <w:sz w:val="16"/>
          <w:szCs w:val="16"/>
          <w:color w:val="007CBA"/>
        </w:rPr>
      </w:pPr>
    </w:p>
    <w:p>
      <w:pPr>
        <w:ind w:left="500" w:right="140" w:hanging="240"/>
        <w:spacing w:after="0" w:line="246" w:lineRule="auto"/>
        <w:tabs>
          <w:tab w:leader="none" w:pos="508"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Mr. Nye has demonstrated his leadership and vision to guide the Board in its oversight of management with the development of two five-year strategic plans, with the current Strategic Operating Analysis and Review (SOAR 2020) discussed with and approved by the Board in August 2015.</w:t>
      </w:r>
    </w:p>
    <w:p>
      <w:pPr>
        <w:spacing w:after="0" w:line="56" w:lineRule="exact"/>
        <w:rPr>
          <w:rFonts w:ascii="Arial" w:cs="Arial" w:eastAsia="Arial" w:hAnsi="Arial"/>
          <w:sz w:val="16"/>
          <w:szCs w:val="16"/>
          <w:color w:val="007CBA"/>
        </w:rPr>
      </w:pPr>
    </w:p>
    <w:p>
      <w:pPr>
        <w:ind w:left="500" w:right="80" w:hanging="240"/>
        <w:spacing w:after="0" w:line="247" w:lineRule="auto"/>
        <w:tabs>
          <w:tab w:leader="none" w:pos="508"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Mr. Nye has engaged in an active investor relations program, including the Company’s Investor Day presentations, and leads the Board in understanding the perspective of the Company’s shareholders.</w:t>
      </w:r>
    </w:p>
    <w:p>
      <w:pPr>
        <w:spacing w:after="0" w:line="55" w:lineRule="exact"/>
        <w:rPr>
          <w:rFonts w:ascii="Arial" w:cs="Arial" w:eastAsia="Arial" w:hAnsi="Arial"/>
          <w:sz w:val="16"/>
          <w:szCs w:val="16"/>
          <w:color w:val="007CBA"/>
        </w:rPr>
      </w:pPr>
    </w:p>
    <w:p>
      <w:pPr>
        <w:ind w:left="460" w:hanging="200"/>
        <w:spacing w:after="0"/>
        <w:tabs>
          <w:tab w:leader="none" w:pos="460"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Mr. Nye is the only member of management who sits on the Board.</w:t>
      </w:r>
    </w:p>
    <w:p>
      <w:pPr>
        <w:spacing w:after="0" w:line="69" w:lineRule="exact"/>
        <w:rPr>
          <w:rFonts w:ascii="Arial" w:cs="Arial" w:eastAsia="Arial" w:hAnsi="Arial"/>
          <w:sz w:val="16"/>
          <w:szCs w:val="16"/>
          <w:color w:val="007CBA"/>
        </w:rPr>
      </w:pPr>
    </w:p>
    <w:p>
      <w:pPr>
        <w:ind w:left="500" w:right="200" w:hanging="240"/>
        <w:spacing w:after="0" w:line="249" w:lineRule="auto"/>
        <w:tabs>
          <w:tab w:leader="none" w:pos="508" w:val="left"/>
        </w:tabs>
        <w:numPr>
          <w:ilvl w:val="0"/>
          <w:numId w:val="76"/>
        </w:numPr>
        <w:rPr>
          <w:rFonts w:ascii="Arial" w:cs="Arial" w:eastAsia="Arial" w:hAnsi="Arial"/>
          <w:sz w:val="16"/>
          <w:szCs w:val="16"/>
          <w:color w:val="007CBA"/>
        </w:rPr>
      </w:pPr>
      <w:r>
        <w:rPr>
          <w:rFonts w:ascii="Arial" w:cs="Arial" w:eastAsia="Arial" w:hAnsi="Arial"/>
          <w:sz w:val="16"/>
          <w:szCs w:val="16"/>
          <w:color w:val="auto"/>
        </w:rPr>
        <w:t>Strong independent directors comprise 90% of the current Board, and open communications exist between Mr. Nye and the independent directors.</w:t>
      </w:r>
    </w:p>
    <w:p>
      <w:pPr>
        <w:spacing w:after="0" w:line="32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 a result of Mr. Nye’s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90%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171450</wp:posOffset>
            </wp:positionV>
            <wp:extent cx="406400" cy="245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70"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27</w:t>
            </w:r>
          </w:p>
        </w:tc>
      </w:tr>
    </w:tbl>
    <w:p>
      <w:pPr>
        <w:sectPr>
          <w:pgSz w:w="11900" w:h="16838" w:orient="portrait"/>
          <w:cols w:equalWidth="0" w:num="2">
            <w:col w:w="5400" w:space="340"/>
            <w:col w:w="5320"/>
          </w:cols>
          <w:pgMar w:left="320" w:top="455"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41" w:lineRule="exact"/>
        <w:tabs>
          <w:tab w:leader="none" w:pos="2120" w:val="left"/>
        </w:tabs>
        <w:rPr>
          <w:sz w:val="20"/>
          <w:szCs w:val="20"/>
          <w:color w:val="auto"/>
        </w:rPr>
      </w:pPr>
      <w:r>
        <w:rPr>
          <w:rFonts w:ascii="Arial" w:cs="Arial" w:eastAsia="Arial" w:hAnsi="Arial"/>
          <w:sz w:val="13"/>
          <w:szCs w:val="13"/>
          <w:color w:val="007CBA"/>
        </w:rPr>
        <w:t>Corporate Governance Matters</w:t>
      </w:r>
      <w:r>
        <w:rPr>
          <w:sz w:val="20"/>
          <w:szCs w:val="20"/>
          <w:color w:val="auto"/>
        </w:rPr>
        <w:tab/>
      </w:r>
      <w:r>
        <w:rPr>
          <w:rFonts w:ascii="MS PGothic" w:cs="MS PGothic" w:eastAsia="MS PGothic" w:hAnsi="MS PGothic"/>
          <w:sz w:val="24"/>
          <w:szCs w:val="24"/>
          <w:color w:val="007CBA"/>
        </w:rPr>
        <w:t xml:space="preserve">◆ </w:t>
      </w:r>
      <w:r>
        <w:rPr>
          <w:rFonts w:ascii="Arial" w:cs="Arial" w:eastAsia="Arial" w:hAnsi="Arial"/>
          <w:sz w:val="13"/>
          <w:szCs w:val="13"/>
          <w:color w:val="000000"/>
        </w:rPr>
        <w:t>Corporate Governance Philosophy</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Does the Board have a Lead Independent Director?</w:t>
      </w:r>
    </w:p>
    <w:p>
      <w:pPr>
        <w:spacing w:after="0" w:line="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Guidelines </w:t>
      </w:r>
      <w:r>
        <w:rPr>
          <w:rFonts w:ascii="Arial" w:cs="Arial" w:eastAsia="Arial" w:hAnsi="Arial"/>
          <w:sz w:val="16"/>
          <w:szCs w:val="16"/>
          <w:color w:val="auto"/>
        </w:rPr>
        <w:t>were revised to provide that in the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positions are held by one person, our independent 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currently serves as the Lead Independent Director.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responsibilities of the Lead Independent Director include:</w:t>
      </w:r>
    </w:p>
    <w:p>
      <w:pPr>
        <w:spacing w:after="0" w:line="83" w:lineRule="exact"/>
        <w:rPr>
          <w:sz w:val="20"/>
          <w:szCs w:val="20"/>
          <w:color w:val="auto"/>
        </w:rPr>
      </w:pPr>
    </w:p>
    <w:p>
      <w:pPr>
        <w:ind w:left="540" w:hanging="274"/>
        <w:spacing w:after="0"/>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Presiding at Board meetings when the Chairman is not present.</w:t>
      </w:r>
    </w:p>
    <w:p>
      <w:pPr>
        <w:spacing w:after="0" w:line="82" w:lineRule="exact"/>
        <w:rPr>
          <w:rFonts w:ascii="Arial" w:cs="Arial" w:eastAsia="Arial" w:hAnsi="Arial"/>
          <w:sz w:val="16"/>
          <w:szCs w:val="16"/>
          <w:color w:val="007CBA"/>
        </w:rPr>
      </w:pPr>
    </w:p>
    <w:p>
      <w:pPr>
        <w:jc w:val="both"/>
        <w:ind w:left="540" w:hanging="274"/>
        <w:spacing w:after="0" w:line="247" w:lineRule="auto"/>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Presiding at executive sessions of the independent Directors, with or without the attendance of the Chairman, and meeting separately with the Chairman after executive sessions to review the matters discussed during the executive sessions.</w:t>
      </w:r>
    </w:p>
    <w:p>
      <w:pPr>
        <w:spacing w:after="0" w:line="68"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Acting as a liaison between the Chairman and the independent Directors.</w:t>
      </w:r>
    </w:p>
    <w:p>
      <w:pPr>
        <w:spacing w:after="0" w:line="63" w:lineRule="exact"/>
        <w:rPr>
          <w:rFonts w:ascii="Arial" w:cs="Arial" w:eastAsia="Arial" w:hAnsi="Arial"/>
          <w:sz w:val="16"/>
          <w:szCs w:val="16"/>
          <w:color w:val="007CBA"/>
        </w:rPr>
      </w:pPr>
    </w:p>
    <w:p>
      <w:pPr>
        <w:ind w:left="540" w:right="20" w:hanging="274"/>
        <w:spacing w:after="0" w:line="254" w:lineRule="auto"/>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Suggesting to the Chairman agenda items for Board meetings and consulting with the Chairman regarding Board meeting schedules.</w:t>
      </w:r>
    </w:p>
    <w:p>
      <w:pPr>
        <w:spacing w:after="0" w:line="63"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Calling, where necessary, meetings of independent Directors and executive sessions.</w:t>
      </w:r>
    </w:p>
    <w:p>
      <w:pPr>
        <w:spacing w:after="0" w:line="63" w:lineRule="exact"/>
        <w:rPr>
          <w:rFonts w:ascii="Arial" w:cs="Arial" w:eastAsia="Arial" w:hAnsi="Arial"/>
          <w:sz w:val="16"/>
          <w:szCs w:val="16"/>
          <w:color w:val="007CBA"/>
        </w:rPr>
      </w:pPr>
    </w:p>
    <w:p>
      <w:pPr>
        <w:ind w:left="540" w:right="20" w:hanging="274"/>
        <w:spacing w:after="0" w:line="254" w:lineRule="auto"/>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Being available to meet with shareholders and other key constituents.</w:t>
      </w:r>
    </w:p>
    <w:p>
      <w:pPr>
        <w:spacing w:after="0" w:line="63" w:lineRule="exact"/>
        <w:rPr>
          <w:rFonts w:ascii="Arial" w:cs="Arial" w:eastAsia="Arial" w:hAnsi="Arial"/>
          <w:sz w:val="16"/>
          <w:szCs w:val="16"/>
          <w:color w:val="007CBA"/>
        </w:rPr>
      </w:pPr>
    </w:p>
    <w:p>
      <w:pPr>
        <w:ind w:left="540" w:hanging="274"/>
        <w:spacing w:after="0"/>
        <w:tabs>
          <w:tab w:leader="none" w:pos="540" w:val="left"/>
        </w:tabs>
        <w:numPr>
          <w:ilvl w:val="0"/>
          <w:numId w:val="77"/>
        </w:numPr>
        <w:rPr>
          <w:rFonts w:ascii="Arial" w:cs="Arial" w:eastAsia="Arial" w:hAnsi="Arial"/>
          <w:sz w:val="16"/>
          <w:szCs w:val="16"/>
          <w:color w:val="007CBA"/>
        </w:rPr>
      </w:pPr>
      <w:r>
        <w:rPr>
          <w:rFonts w:ascii="Arial" w:cs="Arial" w:eastAsia="Arial" w:hAnsi="Arial"/>
          <w:sz w:val="16"/>
          <w:szCs w:val="16"/>
          <w:color w:val="auto"/>
        </w:rPr>
        <w:t>Acting as a resource for, and counsel to, the Chairman.</w:t>
      </w:r>
    </w:p>
    <w:p>
      <w:pPr>
        <w:spacing w:after="0" w:line="176"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In addition, the Lead Independent Director attends and meets with shareholders at Company-sponsored Investor Days.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What is the Board’s role in risk oversight?</w:t>
      </w:r>
    </w:p>
    <w:p>
      <w:pPr>
        <w:spacing w:after="0" w:line="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Our Board currently has nine independent members and only one non-independent member, Mr. Nye.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key Committees of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320" w:lineRule="exact"/>
        <w:rPr>
          <w:sz w:val="20"/>
          <w:szCs w:val="20"/>
          <w:color w:val="auto"/>
        </w:rPr>
      </w:pPr>
    </w:p>
    <w:p>
      <w:pPr>
        <w:ind w:left="620" w:hanging="433"/>
        <w:spacing w:after="0"/>
        <w:tabs>
          <w:tab w:leader="none" w:pos="620" w:val="left"/>
        </w:tabs>
        <w:numPr>
          <w:ilvl w:val="0"/>
          <w:numId w:val="78"/>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
        <w:spacing w:after="0" w:line="243" w:lineRule="auto"/>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 (1) timely identify the material risks that Martin Marietta faces, (2) communicate necessary information with respect to material risks to senior executives and, as appropriate, to the Board or relevant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-1438275</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both"/>
        <w:ind w:left="3" w:hanging="3"/>
        <w:spacing w:after="0" w:line="243" w:lineRule="auto"/>
        <w:tabs>
          <w:tab w:leader="none" w:pos="291"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 whether the risk is excessive or appropriate under the circumstances and designed to achieve a legitimate corporate goal,</w:t>
      </w:r>
    </w:p>
    <w:p>
      <w:pPr>
        <w:jc w:val="both"/>
        <w:ind w:left="3" w:hanging="3"/>
        <w:spacing w:after="0" w:line="249" w:lineRule="auto"/>
        <w:tabs>
          <w:tab w:leader="none" w:pos="33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implement risk management responses consistent with Martin Marietta’s risk profile, and (5) integrate risk management into Martin Marietta’s decision-making.</w:t>
      </w:r>
    </w:p>
    <w:p>
      <w:pPr>
        <w:spacing w:after="0" w:line="174" w:lineRule="exact"/>
        <w:rPr>
          <w:sz w:val="20"/>
          <w:szCs w:val="20"/>
          <w:color w:val="auto"/>
        </w:rPr>
      </w:pPr>
    </w:p>
    <w:p>
      <w:pPr>
        <w:jc w:val="both"/>
        <w:ind w:left="3"/>
        <w:spacing w:after="0" w:line="244" w:lineRule="auto"/>
        <w:rPr>
          <w:sz w:val="20"/>
          <w:szCs w:val="20"/>
          <w:color w:val="auto"/>
        </w:rPr>
      </w:pPr>
      <w:r>
        <w:rPr>
          <w:rFonts w:ascii="Arial" w:cs="Arial" w:eastAsia="Arial" w:hAnsi="Arial"/>
          <w:sz w:val="16"/>
          <w:szCs w:val="16"/>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169" w:lineRule="exact"/>
        <w:rPr>
          <w:sz w:val="20"/>
          <w:szCs w:val="20"/>
          <w:color w:val="auto"/>
        </w:rPr>
      </w:pPr>
    </w:p>
    <w:p>
      <w:pPr>
        <w:jc w:val="both"/>
        <w:ind w:left="3"/>
        <w:spacing w:after="0" w:line="244" w:lineRule="auto"/>
        <w:rPr>
          <w:sz w:val="20"/>
          <w:szCs w:val="20"/>
          <w:color w:val="auto"/>
        </w:rPr>
      </w:pPr>
      <w:r>
        <w:rPr>
          <w:rFonts w:ascii="Arial" w:cs="Arial" w:eastAsia="Arial" w:hAnsi="Arial"/>
          <w:sz w:val="16"/>
          <w:szCs w:val="16"/>
          <w:color w:val="auto"/>
        </w:rPr>
        <w:t xml:space="preserve">The Board has designated the Audit Committee to take the lead in overseeing risks related to financial reporting, financial statements, internal control environment, internal audit, independent audit, cybersecurity,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on page 53. The Nominating and Corporate Governance Committee oversees aspects of risk related to the composition of the Board and its Committees, Board performance and best practices in corporate governance. The Ethics, Environment, Safety and Health Committee monitors risks for the Company in key areas of Martin Marietta’s sustainability program, including health, safety, and the environment as well as the Company’s ethics program.</w:t>
      </w:r>
    </w:p>
    <w:p>
      <w:pPr>
        <w:spacing w:after="0" w:line="164" w:lineRule="exact"/>
        <w:rPr>
          <w:sz w:val="20"/>
          <w:szCs w:val="20"/>
          <w:color w:val="auto"/>
        </w:rPr>
      </w:pPr>
    </w:p>
    <w:p>
      <w:pPr>
        <w:jc w:val="both"/>
        <w:ind w:left="3"/>
        <w:spacing w:after="0" w:line="245" w:lineRule="auto"/>
        <w:rPr>
          <w:sz w:val="20"/>
          <w:szCs w:val="20"/>
          <w:color w:val="auto"/>
        </w:rPr>
      </w:pPr>
      <w:r>
        <w:rPr>
          <w:rFonts w:ascii="Arial" w:cs="Arial" w:eastAsia="Arial" w:hAnsi="Arial"/>
          <w:sz w:val="16"/>
          <w:szCs w:val="16"/>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654050</wp:posOffset>
            </wp:positionV>
            <wp:extent cx="406400" cy="2451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37"/>
            <w:col w:w="5323"/>
          </w:cols>
          <w:pgMar w:left="320" w:top="455"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31" w:lineRule="exact"/>
        <w:tabs>
          <w:tab w:leader="none" w:pos="2080" w:val="left"/>
        </w:tabs>
        <w:rPr>
          <w:sz w:val="20"/>
          <w:szCs w:val="20"/>
          <w:color w:val="auto"/>
        </w:rPr>
      </w:pPr>
      <w:r>
        <w:rPr>
          <w:rFonts w:ascii="Arial" w:cs="Arial" w:eastAsia="Arial" w:hAnsi="Arial"/>
          <w:sz w:val="13"/>
          <w:szCs w:val="13"/>
          <w:color w:val="auto"/>
        </w:rPr>
        <w:t>Corporate Governance Philosophy</w:t>
      </w:r>
      <w:r>
        <w:rPr>
          <w:sz w:val="20"/>
          <w:szCs w:val="20"/>
          <w:color w:val="auto"/>
        </w:rPr>
        <w:tab/>
      </w:r>
      <w:r>
        <w:rPr>
          <w:rFonts w:ascii="MS PGothic" w:cs="MS PGothic" w:eastAsia="MS PGothic" w:hAnsi="MS PGothic"/>
          <w:sz w:val="23"/>
          <w:szCs w:val="23"/>
          <w:color w:val="007CBA"/>
        </w:rPr>
        <w:t xml:space="preserve">◆ </w:t>
      </w:r>
      <w:r>
        <w:rPr>
          <w:rFonts w:ascii="Arial" w:cs="Arial" w:eastAsia="Arial" w:hAnsi="Arial"/>
          <w:sz w:val="12"/>
          <w:szCs w:val="12"/>
          <w:color w:val="007CBA"/>
        </w:rPr>
        <w:t>Corporate Governance Matters</w:t>
      </w:r>
    </w:p>
    <w:p>
      <w:pPr>
        <w:sectPr>
          <w:pgSz w:w="11900" w:h="16838" w:orient="portrait"/>
          <w:cols w:equalWidth="0" w:num="1">
            <w:col w:w="11060"/>
          </w:cols>
          <w:pgMar w:left="320" w:top="455" w:right="519" w:bottom="1440" w:gutter="0" w:footer="0" w:header="0"/>
        </w:sectPr>
      </w:pPr>
    </w:p>
    <w:p>
      <w:pPr>
        <w:spacing w:after="0" w:line="309" w:lineRule="exact"/>
        <w:rPr>
          <w:sz w:val="20"/>
          <w:szCs w:val="20"/>
          <w:color w:val="auto"/>
        </w:rPr>
      </w:pPr>
    </w:p>
    <w:p>
      <w:pPr>
        <w:ind w:left="200" w:right="360"/>
        <w:spacing w:after="0" w:line="255" w:lineRule="auto"/>
        <w:rPr>
          <w:sz w:val="20"/>
          <w:szCs w:val="20"/>
          <w:color w:val="auto"/>
        </w:rPr>
      </w:pPr>
      <w:r>
        <w:rPr>
          <w:rFonts w:ascii="Arial" w:cs="Arial" w:eastAsia="Arial" w:hAnsi="Arial"/>
          <w:sz w:val="16"/>
          <w:szCs w:val="16"/>
          <w:b w:val="1"/>
          <w:bCs w:val="1"/>
          <w:i w:val="1"/>
          <w:iCs w:val="1"/>
          <w:color w:val="007CBA"/>
        </w:rPr>
        <w:t>How would interested parties make their concerns known to the independent Directors?</w:t>
      </w:r>
    </w:p>
    <w:p>
      <w:pPr>
        <w:jc w:val="both"/>
        <w:ind w:left="200"/>
        <w:spacing w:after="0" w:line="244" w:lineRule="auto"/>
        <w:rPr>
          <w:sz w:val="20"/>
          <w:szCs w:val="20"/>
          <w:color w:val="auto"/>
        </w:rPr>
      </w:pPr>
      <w:r>
        <w:rPr>
          <w:rFonts w:ascii="Arial" w:cs="Arial" w:eastAsia="Arial" w:hAnsi="Arial"/>
          <w:sz w:val="16"/>
          <w:szCs w:val="16"/>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 (800) 209-4508. The Board has also designated the Corporate Secretary to facilitate communications to the Board. Shareholders and other interested parties may communicate directly with the Board of Directors, or directly with the independent Directors, or an individual Director, including the Lead Independent Director, by writing to Martin Marietta, Attn: Corporate Secretary, 2710 Wycliff Road, Raleigh, North Carolina 27607-3033.</w:t>
      </w:r>
    </w:p>
    <w:p>
      <w:pPr>
        <w:spacing w:after="0" w:line="18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independent Directors unless there is instruction from them to filter such communications (and in such event, any communication that has been filtered out will be made available to any independent Director who wishes to review it).</w:t>
      </w:r>
    </w:p>
    <w:p>
      <w:pPr>
        <w:spacing w:after="0" w:line="163"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our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How often did the Board meet during 2019?</w:t>
      </w:r>
    </w:p>
    <w:p>
      <w:pPr>
        <w:spacing w:after="0" w:line="2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Martin Marietta’s Board of Directors held four regularly scheduled meetings during 2019. There were also a total of 24 Committee meetings in 2019. In addition, management confers frequently with its Directors on an informal basis to discuss Company affairs.</w:t>
      </w:r>
    </w:p>
    <w:p>
      <w:pPr>
        <w:spacing w:after="0" w:line="157" w:lineRule="exact"/>
        <w:rPr>
          <w:sz w:val="20"/>
          <w:szCs w:val="20"/>
          <w:color w:val="auto"/>
        </w:rPr>
      </w:pPr>
    </w:p>
    <w:p>
      <w:pPr>
        <w:ind w:left="200" w:right="100"/>
        <w:spacing w:after="0" w:line="255" w:lineRule="auto"/>
        <w:rPr>
          <w:sz w:val="20"/>
          <w:szCs w:val="20"/>
          <w:color w:val="auto"/>
        </w:rPr>
      </w:pPr>
      <w:r>
        <w:rPr>
          <w:rFonts w:ascii="Arial" w:cs="Arial" w:eastAsia="Arial" w:hAnsi="Arial"/>
          <w:sz w:val="16"/>
          <w:szCs w:val="16"/>
          <w:b w:val="1"/>
          <w:bCs w:val="1"/>
          <w:i w:val="1"/>
          <w:iCs w:val="1"/>
          <w:color w:val="007CBA"/>
        </w:rPr>
        <w:t>How many times did Directors attend meetings of the Board and its Committees?</w:t>
      </w:r>
    </w:p>
    <w:p>
      <w:pPr>
        <w:jc w:val="both"/>
        <w:ind w:left="200"/>
        <w:spacing w:after="0" w:line="247" w:lineRule="auto"/>
        <w:rPr>
          <w:sz w:val="20"/>
          <w:szCs w:val="20"/>
          <w:color w:val="auto"/>
        </w:rPr>
      </w:pPr>
      <w:r>
        <w:rPr>
          <w:rFonts w:ascii="Arial" w:cs="Arial" w:eastAsia="Arial" w:hAnsi="Arial"/>
          <w:sz w:val="16"/>
          <w:szCs w:val="16"/>
          <w:color w:val="auto"/>
        </w:rPr>
        <w:t>In 2019, all Directors attended 100% of the meetings of the Board of Directors during their term of service on the Board. All Directors attended 100% of the meetings of the Committees of the Board on which they served (during the periods that they served).</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Will the Directors attend the Annual Meeting?</w:t>
      </w:r>
    </w:p>
    <w:p>
      <w:pPr>
        <w:spacing w:after="0" w:line="2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Martin Marietta’s Directors are expected to attend Martin Marietta’s Annual Meeting of Shareholders although frequently no Shareholders other than Directors and Officers attend these meetings. In 2019, all then-current Directors attended the Annual Meeting in May.</w:t>
      </w:r>
    </w:p>
    <w:p>
      <w:pPr>
        <w:spacing w:after="0" w:line="144" w:lineRule="exact"/>
        <w:rPr>
          <w:sz w:val="20"/>
          <w:szCs w:val="20"/>
          <w:color w:val="auto"/>
        </w:rPr>
      </w:pPr>
    </w:p>
    <w:p>
      <w:pPr>
        <w:ind w:left="200" w:right="40"/>
        <w:spacing w:after="0" w:line="255" w:lineRule="auto"/>
        <w:rPr>
          <w:sz w:val="20"/>
          <w:szCs w:val="20"/>
          <w:color w:val="auto"/>
        </w:rPr>
      </w:pPr>
      <w:r>
        <w:rPr>
          <w:rFonts w:ascii="Arial" w:cs="Arial" w:eastAsia="Arial" w:hAnsi="Arial"/>
          <w:sz w:val="16"/>
          <w:szCs w:val="16"/>
          <w:b w:val="1"/>
          <w:bCs w:val="1"/>
          <w:i w:val="1"/>
          <w:iCs w:val="1"/>
          <w:color w:val="007CBA"/>
        </w:rPr>
        <w:t>Will the Nominating and Corporate Governance Committee consider any Director candidates recommended by shareholders?</w:t>
      </w:r>
    </w:p>
    <w:p>
      <w:pPr>
        <w:ind w:left="200"/>
        <w:spacing w:after="0" w:line="254"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a Director at an Annual Meeting of Shareholders of Martin Marietta, if the shareholder making such recommendation complies with the advance notice provisions and other criteria specified in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2019 Annual Meeting, Martin Marietta has not made any material changes to the procedures by which shareholders may recommend nominees to Martin Marietta’s Board of Directors. Additional information is contained in the section entitled </w:t>
      </w:r>
      <w:r>
        <w:rPr>
          <w:rFonts w:ascii="Arial" w:cs="Arial" w:eastAsia="Arial" w:hAnsi="Arial"/>
          <w:sz w:val="16"/>
          <w:szCs w:val="16"/>
          <w:i w:val="1"/>
          <w:iCs w:val="1"/>
          <w:color w:val="auto"/>
        </w:rPr>
        <w:t>Shareholders’ Proposals For 2021 Annual Meeting</w:t>
      </w:r>
      <w:r>
        <w:rPr>
          <w:rFonts w:ascii="Arial" w:cs="Arial" w:eastAsia="Arial" w:hAnsi="Arial"/>
          <w:sz w:val="16"/>
          <w:szCs w:val="16"/>
          <w:color w:val="auto"/>
        </w:rPr>
        <w:t xml:space="preserve">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does the Board select nominees for the Board?</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may also retain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 xml:space="preserve">Guidelines for Potential New Board Members </w:t>
      </w:r>
      <w:r>
        <w:rPr>
          <w:rFonts w:ascii="Arial" w:cs="Arial" w:eastAsia="Arial" w:hAnsi="Arial"/>
          <w:sz w:val="16"/>
          <w:szCs w:val="16"/>
          <w:color w:val="auto"/>
        </w:rPr>
        <w:t>adopted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takes into account all other factors it considers appropriate. A copy of these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is attached to this proxy statement as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865505</wp:posOffset>
            </wp:positionV>
            <wp:extent cx="406400" cy="2451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29</w:t>
            </w:r>
          </w:p>
        </w:tc>
      </w:tr>
    </w:tbl>
    <w:p>
      <w:pPr>
        <w:sectPr>
          <w:pgSz w:w="11900" w:h="16838" w:orient="portrait"/>
          <w:cols w:equalWidth="0" w:num="2">
            <w:col w:w="5400" w:space="340"/>
            <w:col w:w="5320"/>
          </w:cols>
          <w:pgMar w:left="320" w:top="455" w:right="5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41" w:lineRule="exact"/>
        <w:tabs>
          <w:tab w:leader="none" w:pos="2120" w:val="left"/>
        </w:tabs>
        <w:rPr>
          <w:sz w:val="20"/>
          <w:szCs w:val="20"/>
          <w:color w:val="auto"/>
        </w:rPr>
      </w:pPr>
      <w:r>
        <w:rPr>
          <w:rFonts w:ascii="Arial" w:cs="Arial" w:eastAsia="Arial" w:hAnsi="Arial"/>
          <w:sz w:val="13"/>
          <w:szCs w:val="13"/>
          <w:color w:val="007CBA"/>
        </w:rPr>
        <w:t>Corporate Governance Matters</w:t>
      </w:r>
      <w:r>
        <w:rPr>
          <w:sz w:val="20"/>
          <w:szCs w:val="20"/>
          <w:color w:val="auto"/>
        </w:rPr>
        <w:tab/>
      </w:r>
      <w:r>
        <w:rPr>
          <w:rFonts w:ascii="MS PGothic" w:cs="MS PGothic" w:eastAsia="MS PGothic" w:hAnsi="MS PGothic"/>
          <w:sz w:val="24"/>
          <w:szCs w:val="24"/>
          <w:color w:val="007CBA"/>
        </w:rPr>
        <w:t xml:space="preserve">◆ </w:t>
      </w:r>
      <w:r>
        <w:rPr>
          <w:rFonts w:ascii="Arial" w:cs="Arial" w:eastAsia="Arial" w:hAnsi="Arial"/>
          <w:sz w:val="13"/>
          <w:szCs w:val="13"/>
          <w:color w:val="000000"/>
        </w:rPr>
        <w:t>Corporate Governance Philosophy</w:t>
      </w:r>
    </w:p>
    <w:p>
      <w:pPr>
        <w:spacing w:after="0" w:line="299" w:lineRule="exact"/>
        <w:rPr>
          <w:sz w:val="20"/>
          <w:szCs w:val="20"/>
          <w:color w:val="auto"/>
        </w:rPr>
      </w:pPr>
    </w:p>
    <w:p>
      <w:pPr>
        <w:ind w:left="200" w:right="320"/>
        <w:spacing w:after="0" w:line="255" w:lineRule="auto"/>
        <w:rPr>
          <w:sz w:val="20"/>
          <w:szCs w:val="20"/>
          <w:color w:val="auto"/>
        </w:rPr>
      </w:pPr>
      <w:r>
        <w:rPr>
          <w:rFonts w:ascii="Arial" w:cs="Arial" w:eastAsia="Arial" w:hAnsi="Arial"/>
          <w:sz w:val="16"/>
          <w:szCs w:val="16"/>
          <w:b w:val="1"/>
          <w:bCs w:val="1"/>
          <w:i w:val="1"/>
          <w:iCs w:val="1"/>
          <w:color w:val="007CBA"/>
        </w:rPr>
        <w:t>Do the Board Committees have charters? How can shareholders obtain them?</w:t>
      </w:r>
    </w:p>
    <w:p>
      <w:pPr>
        <w:jc w:val="both"/>
        <w:ind w:left="200"/>
        <w:spacing w:after="0" w:line="244" w:lineRule="auto"/>
        <w:rPr>
          <w:sz w:val="20"/>
          <w:szCs w:val="20"/>
          <w:color w:val="auto"/>
        </w:rPr>
      </w:pPr>
      <w:r>
        <w:rPr>
          <w:rFonts w:ascii="Arial" w:cs="Arial" w:eastAsia="Arial" w:hAnsi="Arial"/>
          <w:sz w:val="16"/>
          <w:szCs w:val="16"/>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w:t>
      </w:r>
      <w:r>
        <w:rPr>
          <w:rFonts w:ascii="Arial" w:cs="Arial" w:eastAsia="Arial" w:hAnsi="Arial"/>
          <w:sz w:val="16"/>
          <w:szCs w:val="16"/>
          <w:i w:val="1"/>
          <w:iCs w:val="1"/>
          <w:color w:val="auto"/>
        </w:rPr>
        <w:t xml:space="preserve">ir.martinmarietta.com/investor-relations/corporate-governance, </w:t>
      </w:r>
      <w:r>
        <w:rPr>
          <w:rFonts w:ascii="Arial" w:cs="Arial" w:eastAsia="Arial" w:hAnsi="Arial"/>
          <w:sz w:val="16"/>
          <w:szCs w:val="16"/>
          <w:color w:val="auto"/>
        </w:rPr>
        <w:t>along with copies of Martin Marietta’s</w:t>
      </w:r>
      <w:r>
        <w:rPr>
          <w:rFonts w:ascii="Arial" w:cs="Arial" w:eastAsia="Arial" w:hAnsi="Arial"/>
          <w:sz w:val="16"/>
          <w:szCs w:val="16"/>
          <w:i w:val="1"/>
          <w:iCs w:val="1"/>
          <w:color w:val="auto"/>
        </w:rPr>
        <w:t xml:space="preserve"> Corporate Governance Guidelines, Code of Ethical Business Conduct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w:t>
      </w:r>
    </w:p>
    <w:p>
      <w:pPr>
        <w:spacing w:after="0" w:line="163" w:lineRule="exact"/>
        <w:rPr>
          <w:sz w:val="20"/>
          <w:szCs w:val="20"/>
          <w:color w:val="auto"/>
        </w:rPr>
      </w:pPr>
    </w:p>
    <w:p>
      <w:pPr>
        <w:ind w:left="200" w:right="620"/>
        <w:spacing w:after="0" w:line="255" w:lineRule="auto"/>
        <w:rPr>
          <w:sz w:val="20"/>
          <w:szCs w:val="20"/>
          <w:color w:val="auto"/>
        </w:rPr>
      </w:pPr>
      <w:r>
        <w:rPr>
          <w:rFonts w:ascii="Arial" w:cs="Arial" w:eastAsia="Arial" w:hAnsi="Arial"/>
          <w:sz w:val="16"/>
          <w:szCs w:val="16"/>
          <w:b w:val="1"/>
          <w:bCs w:val="1"/>
          <w:i w:val="1"/>
          <w:iCs w:val="1"/>
          <w:color w:val="007CBA"/>
        </w:rPr>
        <w:t>How are transactions with persons related to Martin Marietta reviewed?</w:t>
      </w:r>
    </w:p>
    <w:p>
      <w:pPr>
        <w:jc w:val="both"/>
        <w:ind w:left="200"/>
        <w:spacing w:after="0" w:line="245"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 Since January 1, 2019, there have been no such transactions.</w:t>
      </w:r>
    </w:p>
    <w:p>
      <w:pPr>
        <w:spacing w:after="0" w:line="165"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Each Director, executive officer, and nominee for Director of Martin Marietta receives and agrees to abide by Martin</w:t>
      </w:r>
    </w:p>
    <w:p>
      <w:pPr>
        <w:spacing w:after="0" w:line="309" w:lineRule="exact"/>
        <w:rPr>
          <w:sz w:val="20"/>
          <w:szCs w:val="20"/>
          <w:color w:val="auto"/>
        </w:rPr>
      </w:pPr>
    </w:p>
    <w:p>
      <w:pPr>
        <w:ind w:left="620" w:hanging="433"/>
        <w:spacing w:after="0"/>
        <w:tabs>
          <w:tab w:leader="none" w:pos="620"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Martin Marietta considers that any transaction in which Martin Marietta participates and in which any related person of Martin Marietta has a direct or indirect material interest will be subject to review, approval or ratification, as appropriate under the circumstances, by Martin Marietta under the standards enumerated in 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If a proposed transaction is one in which a Director of Martin Marietta has an actual or potential conflict of interest, it will be subject to review by the Chairman of the Board of Directors and the Chairman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-2033905</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Any waivers of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6"/>
          <w:szCs w:val="16"/>
          <w:i w:val="1"/>
          <w:iCs w:val="1"/>
          <w:color w:val="auto"/>
        </w:rPr>
        <w:t xml:space="preserve">Code of Ethical Business Conduct </w:t>
      </w:r>
      <w:r>
        <w:rPr>
          <w:rFonts w:ascii="Arial" w:cs="Arial" w:eastAsia="Arial" w:hAnsi="Arial"/>
          <w:sz w:val="16"/>
          <w:szCs w:val="16"/>
          <w:color w:val="auto"/>
        </w:rPr>
        <w:t>will be promptly disclosed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website,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534035</wp:posOffset>
            </wp:positionV>
            <wp:extent cx="406400" cy="2451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40"/>
            <w:col w:w="5320"/>
          </w:cols>
          <w:pgMar w:left="320" w:top="455"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0"/>
        <w:spacing w:after="0"/>
        <w:rPr>
          <w:sz w:val="20"/>
          <w:szCs w:val="20"/>
          <w:color w:val="auto"/>
        </w:rPr>
      </w:pPr>
      <w:r>
        <w:rPr>
          <w:rFonts w:ascii="Arial" w:cs="Arial" w:eastAsia="Arial" w:hAnsi="Arial"/>
          <w:sz w:val="43"/>
          <w:szCs w:val="43"/>
          <w:color w:val="auto"/>
        </w:rPr>
        <w:t>Proposal 2</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Independent Auditors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007CBA"/>
        </w:rPr>
        <w:t>(Item 2 on Proxy Card)</w:t>
      </w:r>
    </w:p>
    <w:p>
      <w:pPr>
        <w:spacing w:after="0" w:line="309" w:lineRule="exact"/>
        <w:rPr>
          <w:sz w:val="20"/>
          <w:szCs w:val="20"/>
          <w:color w:val="auto"/>
        </w:rPr>
      </w:pPr>
    </w:p>
    <w:p>
      <w:pPr>
        <w:jc w:val="both"/>
        <w:ind w:left="180"/>
        <w:spacing w:after="0" w:line="245" w:lineRule="auto"/>
        <w:rPr>
          <w:sz w:val="20"/>
          <w:szCs w:val="20"/>
          <w:color w:val="auto"/>
        </w:rPr>
      </w:pPr>
      <w:r>
        <w:rPr>
          <w:rFonts w:ascii="Arial" w:cs="Arial" w:eastAsia="Arial" w:hAnsi="Arial"/>
          <w:sz w:val="16"/>
          <w:szCs w:val="16"/>
          <w:color w:val="auto"/>
        </w:rPr>
        <w:t>The Audit Committee has appointed PricewaterhouseCoopers LLP (PwC), an independent registered public accounting firm, to audit the consolidated financial statements of Martin Marietta and the effectiveness of Martin Marietta’s internal control over financial reporting for the 2020 fiscal year and the Board of Directors recommends that the shareholders ratify this appointment. The ratification of the appointment of PwC is being submitted to the shareholders because the Board of Directors believes this to be good corporate practice. Should the shareholders fail to ratify this appointment, the Audit Committee will review the matter and determine, in its sole discretion, whether PwC or another independent registered public accounting firm should be retained.</w:t>
      </w:r>
    </w:p>
    <w:p>
      <w:pPr>
        <w:spacing w:after="0" w:line="166"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PwC served as Martin Marietta’s independent auditors for 2019 and audited the consolidated financial statements of Martin Marietta for the year ended December 31, 2019 and the effectiveness of Martin Marietta’s internal control over financial reporting as of December 31, 2019. In connection with the audit of Martin Marietta’s 2019 consolidated financial statements, Martin Marietta entered into an engagement letter with PwC that sets forth the terms by which PwC would perform audit services for Martin Marietta.</w:t>
      </w:r>
    </w:p>
    <w:p>
      <w:pPr>
        <w:spacing w:after="0" w:line="162"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w:t>
      </w:r>
    </w:p>
    <w:p>
      <w:pPr>
        <w:spacing w:after="0" w:line="197" w:lineRule="exact"/>
        <w:rPr>
          <w:sz w:val="20"/>
          <w:szCs w:val="20"/>
          <w:color w:val="auto"/>
        </w:rPr>
      </w:pPr>
    </w:p>
    <w:p>
      <w:pPr>
        <w:ind w:left="2360" w:right="2900"/>
        <w:spacing w:after="0" w:line="279"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on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1036955</wp:posOffset>
            </wp:positionH>
            <wp:positionV relativeFrom="paragraph">
              <wp:posOffset>-405765</wp:posOffset>
            </wp:positionV>
            <wp:extent cx="321310" cy="3213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1310" cy="321310"/>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Summary of Fees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aggregate fees billed for professional services rendered to Martin Marietta by PwC in 2019 and 2018.</w:t>
      </w:r>
    </w:p>
    <w:p>
      <w:pPr>
        <w:spacing w:after="0" w:line="241" w:lineRule="exact"/>
        <w:rPr>
          <w:sz w:val="20"/>
          <w:szCs w:val="20"/>
          <w:color w:val="auto"/>
        </w:rPr>
      </w:pPr>
    </w:p>
    <w:tbl>
      <w:tblPr>
        <w:tblLayout w:type="fixed"/>
        <w:tblInd w:w="960" w:type="dxa"/>
        <w:tblCellMar>
          <w:top w:w="0" w:type="dxa"/>
          <w:left w:w="0" w:type="dxa"/>
          <w:bottom w:w="0" w:type="dxa"/>
          <w:right w:w="0" w:type="dxa"/>
        </w:tblCellMar>
      </w:tblPr>
      <w:tr>
        <w:trPr>
          <w:trHeight w:val="213"/>
        </w:trPr>
        <w:tc>
          <w:tcPr>
            <w:tcW w:w="6820" w:type="dxa"/>
            <w:vAlign w:val="bottom"/>
            <w:tcBorders>
              <w:right w:val="single" w:sz="8" w:color="007CBA"/>
            </w:tcBorders>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right"/>
              <w:ind w:right="429"/>
              <w:spacing w:after="0"/>
              <w:rPr>
                <w:sz w:val="20"/>
                <w:szCs w:val="20"/>
                <w:color w:val="auto"/>
              </w:rPr>
            </w:pPr>
            <w:r>
              <w:rPr>
                <w:rFonts w:ascii="Arial" w:cs="Arial" w:eastAsia="Arial" w:hAnsi="Arial"/>
                <w:sz w:val="14"/>
                <w:szCs w:val="14"/>
                <w:b w:val="1"/>
                <w:bCs w:val="1"/>
                <w:color w:val="FFFFFF"/>
              </w:rPr>
              <w:t>2019</w:t>
            </w:r>
          </w:p>
        </w:tc>
        <w:tc>
          <w:tcPr>
            <w:tcW w:w="1260" w:type="dxa"/>
            <w:vAlign w:val="bottom"/>
            <w:shd w:val="clear" w:color="auto" w:fill="007CBA"/>
          </w:tcPr>
          <w:p>
            <w:pPr>
              <w:jc w:val="right"/>
              <w:ind w:right="409"/>
              <w:spacing w:after="0"/>
              <w:rPr>
                <w:sz w:val="20"/>
                <w:szCs w:val="20"/>
                <w:color w:val="auto"/>
              </w:rPr>
            </w:pPr>
            <w:r>
              <w:rPr>
                <w:rFonts w:ascii="Arial" w:cs="Arial" w:eastAsia="Arial" w:hAnsi="Arial"/>
                <w:sz w:val="14"/>
                <w:szCs w:val="14"/>
                <w:b w:val="1"/>
                <w:bCs w:val="1"/>
                <w:color w:val="FFFFFF"/>
              </w:rPr>
              <w:t>2018</w:t>
            </w:r>
          </w:p>
        </w:tc>
      </w:tr>
      <w:tr>
        <w:trPr>
          <w:trHeight w:val="293"/>
        </w:trPr>
        <w:tc>
          <w:tcPr>
            <w:tcW w:w="6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Audit Fees</w:t>
            </w:r>
            <w:r>
              <w:rPr>
                <w:rFonts w:ascii="Arial" w:cs="Arial" w:eastAsia="Arial" w:hAnsi="Arial"/>
                <w:sz w:val="24"/>
                <w:szCs w:val="24"/>
                <w:color w:val="auto"/>
                <w:vertAlign w:val="superscript"/>
              </w:rPr>
              <w:t>1</w:t>
            </w:r>
          </w:p>
        </w:tc>
        <w:tc>
          <w:tcPr>
            <w:tcW w:w="126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$2,819,000</w:t>
            </w:r>
          </w:p>
        </w:tc>
        <w:tc>
          <w:tcPr>
            <w:tcW w:w="1260" w:type="dxa"/>
            <w:vAlign w:val="bottom"/>
            <w:shd w:val="clear" w:color="auto" w:fill="E5F1F8"/>
          </w:tcPr>
          <w:p>
            <w:pPr>
              <w:jc w:val="right"/>
              <w:ind w:right="209"/>
              <w:spacing w:after="0"/>
              <w:rPr>
                <w:sz w:val="20"/>
                <w:szCs w:val="20"/>
                <w:color w:val="auto"/>
              </w:rPr>
            </w:pPr>
            <w:r>
              <w:rPr>
                <w:rFonts w:ascii="Arial" w:cs="Arial" w:eastAsia="Arial" w:hAnsi="Arial"/>
                <w:sz w:val="14"/>
                <w:szCs w:val="14"/>
                <w:color w:val="auto"/>
              </w:rPr>
              <w:t>$2,883,000</w:t>
            </w:r>
          </w:p>
        </w:tc>
      </w:tr>
      <w:tr>
        <w:trPr>
          <w:trHeight w:val="293"/>
        </w:trPr>
        <w:tc>
          <w:tcPr>
            <w:tcW w:w="6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24"/>
                <w:szCs w:val="24"/>
                <w:color w:val="auto"/>
                <w:vertAlign w:val="superscript"/>
              </w:rPr>
              <w:t>2</w:t>
            </w:r>
          </w:p>
        </w:tc>
        <w:tc>
          <w:tcPr>
            <w:tcW w:w="126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100,000</w:t>
            </w:r>
          </w:p>
        </w:tc>
        <w:tc>
          <w:tcPr>
            <w:tcW w:w="1260" w:type="dxa"/>
            <w:vAlign w:val="bottom"/>
          </w:tcPr>
          <w:p>
            <w:pPr>
              <w:jc w:val="right"/>
              <w:ind w:right="209"/>
              <w:spacing w:after="0"/>
              <w:rPr>
                <w:sz w:val="20"/>
                <w:szCs w:val="20"/>
                <w:color w:val="auto"/>
              </w:rPr>
            </w:pPr>
            <w:r>
              <w:rPr>
                <w:rFonts w:ascii="Arial" w:cs="Arial" w:eastAsia="Arial" w:hAnsi="Arial"/>
                <w:sz w:val="14"/>
                <w:szCs w:val="14"/>
                <w:color w:val="auto"/>
              </w:rPr>
              <w:t>100,000</w:t>
            </w:r>
          </w:p>
        </w:tc>
      </w:tr>
      <w:tr>
        <w:trPr>
          <w:trHeight w:val="293"/>
        </w:trPr>
        <w:tc>
          <w:tcPr>
            <w:tcW w:w="6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Tax Fees</w:t>
            </w:r>
            <w:r>
              <w:rPr>
                <w:rFonts w:ascii="Arial" w:cs="Arial" w:eastAsia="Arial" w:hAnsi="Arial"/>
                <w:sz w:val="24"/>
                <w:szCs w:val="24"/>
                <w:color w:val="auto"/>
                <w:vertAlign w:val="superscript"/>
              </w:rPr>
              <w:t>3</w:t>
            </w:r>
          </w:p>
        </w:tc>
        <w:tc>
          <w:tcPr>
            <w:tcW w:w="126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F1F8"/>
          </w:tcPr>
          <w:p>
            <w:pPr>
              <w:jc w:val="right"/>
              <w:ind w:right="209"/>
              <w:spacing w:after="0"/>
              <w:rPr>
                <w:sz w:val="20"/>
                <w:szCs w:val="20"/>
                <w:color w:val="auto"/>
              </w:rPr>
            </w:pPr>
            <w:r>
              <w:rPr>
                <w:rFonts w:ascii="Arial" w:cs="Arial" w:eastAsia="Arial" w:hAnsi="Arial"/>
                <w:sz w:val="14"/>
                <w:szCs w:val="14"/>
                <w:color w:val="auto"/>
              </w:rPr>
              <w:t>22,000</w:t>
            </w:r>
          </w:p>
        </w:tc>
      </w:tr>
      <w:tr>
        <w:trPr>
          <w:trHeight w:val="307"/>
        </w:trPr>
        <w:tc>
          <w:tcPr>
            <w:tcW w:w="682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All Other Fees</w:t>
            </w:r>
            <w:r>
              <w:rPr>
                <w:rFonts w:ascii="Arial" w:cs="Arial" w:eastAsia="Arial" w:hAnsi="Arial"/>
                <w:sz w:val="24"/>
                <w:szCs w:val="24"/>
                <w:color w:val="auto"/>
                <w:vertAlign w:val="superscript"/>
              </w:rPr>
              <w:t>4</w:t>
            </w:r>
          </w:p>
        </w:tc>
        <w:tc>
          <w:tcPr>
            <w:tcW w:w="1260" w:type="dxa"/>
            <w:vAlign w:val="bottom"/>
            <w:tcBorders>
              <w:bottom w:val="single" w:sz="8" w:color="007CBA"/>
              <w:right w:val="single" w:sz="8" w:color="007CBA"/>
            </w:tcBorders>
          </w:tcPr>
          <w:p>
            <w:pPr>
              <w:jc w:val="right"/>
              <w:ind w:right="229"/>
              <w:spacing w:after="0"/>
              <w:rPr>
                <w:sz w:val="20"/>
                <w:szCs w:val="20"/>
                <w:color w:val="auto"/>
              </w:rPr>
            </w:pPr>
            <w:r>
              <w:rPr>
                <w:rFonts w:ascii="Arial" w:cs="Arial" w:eastAsia="Arial" w:hAnsi="Arial"/>
                <w:sz w:val="14"/>
                <w:szCs w:val="14"/>
                <w:color w:val="auto"/>
              </w:rPr>
              <w:t>3,000</w:t>
            </w:r>
          </w:p>
        </w:tc>
        <w:tc>
          <w:tcPr>
            <w:tcW w:w="1260" w:type="dxa"/>
            <w:vAlign w:val="bottom"/>
            <w:tcBorders>
              <w:bottom w:val="single" w:sz="8" w:color="007CBA"/>
            </w:tcBorders>
          </w:tcPr>
          <w:p>
            <w:pPr>
              <w:jc w:val="right"/>
              <w:ind w:right="209"/>
              <w:spacing w:after="0"/>
              <w:rPr>
                <w:sz w:val="20"/>
                <w:szCs w:val="20"/>
                <w:color w:val="auto"/>
              </w:rPr>
            </w:pPr>
            <w:r>
              <w:rPr>
                <w:rFonts w:ascii="Arial" w:cs="Arial" w:eastAsia="Arial" w:hAnsi="Arial"/>
                <w:sz w:val="14"/>
                <w:szCs w:val="14"/>
                <w:color w:val="auto"/>
              </w:rPr>
              <w:t>3,000</w:t>
            </w:r>
          </w:p>
        </w:tc>
      </w:tr>
      <w:tr>
        <w:trPr>
          <w:trHeight w:val="278"/>
        </w:trPr>
        <w:tc>
          <w:tcPr>
            <w:tcW w:w="68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E5F1F8"/>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$2,922,000</w:t>
            </w:r>
          </w:p>
        </w:tc>
        <w:tc>
          <w:tcPr>
            <w:tcW w:w="1260" w:type="dxa"/>
            <w:vAlign w:val="bottom"/>
            <w:tcBorders>
              <w:bottom w:val="single" w:sz="8" w:color="E5F1F8"/>
            </w:tcBorders>
            <w:shd w:val="clear" w:color="auto" w:fill="E5F1F8"/>
          </w:tcPr>
          <w:p>
            <w:pPr>
              <w:jc w:val="right"/>
              <w:ind w:right="209"/>
              <w:spacing w:after="0"/>
              <w:rPr>
                <w:sz w:val="20"/>
                <w:szCs w:val="20"/>
                <w:color w:val="auto"/>
              </w:rPr>
            </w:pPr>
            <w:r>
              <w:rPr>
                <w:rFonts w:ascii="Arial" w:cs="Arial" w:eastAsia="Arial" w:hAnsi="Arial"/>
                <w:sz w:val="14"/>
                <w:szCs w:val="14"/>
                <w:color w:val="auto"/>
              </w:rPr>
              <w:t>$3,008,000</w:t>
            </w:r>
          </w:p>
        </w:tc>
      </w:tr>
      <w:tr>
        <w:trPr>
          <w:trHeight w:val="235"/>
        </w:trPr>
        <w:tc>
          <w:tcPr>
            <w:tcW w:w="6820" w:type="dxa"/>
            <w:vAlign w:val="bottom"/>
            <w:tcBorders>
              <w:top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Percentage of Audit &amp; Audit-Related Fees to Total Fees</w:t>
            </w:r>
          </w:p>
        </w:tc>
        <w:tc>
          <w:tcPr>
            <w:tcW w:w="1260" w:type="dxa"/>
            <w:vAlign w:val="bottom"/>
            <w:tcBorders>
              <w:top w:val="single" w:sz="8" w:color="007CBA"/>
              <w:right w:val="single" w:sz="8" w:color="007CBA"/>
            </w:tcBorders>
          </w:tcPr>
          <w:p>
            <w:pPr>
              <w:jc w:val="right"/>
              <w:ind w:right="89"/>
              <w:spacing w:after="0"/>
              <w:rPr>
                <w:sz w:val="20"/>
                <w:szCs w:val="20"/>
                <w:color w:val="auto"/>
              </w:rPr>
            </w:pPr>
            <w:r>
              <w:rPr>
                <w:rFonts w:ascii="Arial" w:cs="Arial" w:eastAsia="Arial" w:hAnsi="Arial"/>
                <w:sz w:val="14"/>
                <w:szCs w:val="14"/>
                <w:color w:val="auto"/>
              </w:rPr>
              <w:t>99.9%</w:t>
            </w:r>
          </w:p>
        </w:tc>
        <w:tc>
          <w:tcPr>
            <w:tcW w:w="1260" w:type="dxa"/>
            <w:vAlign w:val="bottom"/>
            <w:tcBorders>
              <w:top w:val="single" w:sz="8" w:color="007CBA"/>
            </w:tcBorders>
          </w:tcPr>
          <w:p>
            <w:pPr>
              <w:jc w:val="right"/>
              <w:ind w:right="89"/>
              <w:spacing w:after="0"/>
              <w:rPr>
                <w:sz w:val="20"/>
                <w:szCs w:val="20"/>
                <w:color w:val="auto"/>
              </w:rPr>
            </w:pPr>
            <w:r>
              <w:rPr>
                <w:rFonts w:ascii="Arial" w:cs="Arial" w:eastAsia="Arial" w:hAnsi="Arial"/>
                <w:sz w:val="14"/>
                <w:szCs w:val="14"/>
                <w:color w:val="auto"/>
              </w:rPr>
              <w:t>99.2%</w:t>
            </w:r>
          </w:p>
        </w:tc>
      </w:tr>
      <w:tr>
        <w:trPr>
          <w:trHeight w:val="38"/>
        </w:trPr>
        <w:tc>
          <w:tcPr>
            <w:tcW w:w="6820" w:type="dxa"/>
            <w:vAlign w:val="bottom"/>
            <w:tcBorders>
              <w:bottom w:val="single" w:sz="8" w:color="007CBA"/>
              <w:right w:val="single" w:sz="8" w:color="007CBA"/>
            </w:tcBorders>
          </w:tcPr>
          <w:p>
            <w:pPr>
              <w:spacing w:after="0"/>
              <w:rPr>
                <w:sz w:val="3"/>
                <w:szCs w:val="3"/>
                <w:color w:val="auto"/>
              </w:rPr>
            </w:pPr>
          </w:p>
        </w:tc>
        <w:tc>
          <w:tcPr>
            <w:tcW w:w="1260" w:type="dxa"/>
            <w:vAlign w:val="bottom"/>
            <w:tcBorders>
              <w:bottom w:val="single" w:sz="8" w:color="007CBA"/>
              <w:right w:val="single" w:sz="8" w:color="007CBA"/>
            </w:tcBorders>
          </w:tcPr>
          <w:p>
            <w:pPr>
              <w:spacing w:after="0"/>
              <w:rPr>
                <w:sz w:val="3"/>
                <w:szCs w:val="3"/>
                <w:color w:val="auto"/>
              </w:rPr>
            </w:pPr>
          </w:p>
        </w:tc>
        <w:tc>
          <w:tcPr>
            <w:tcW w:w="1260" w:type="dxa"/>
            <w:vAlign w:val="bottom"/>
            <w:tcBorders>
              <w:bottom w:val="single" w:sz="8" w:color="007CBA"/>
            </w:tcBorders>
          </w:tcPr>
          <w:p>
            <w:pPr>
              <w:spacing w:after="0"/>
              <w:rPr>
                <w:sz w:val="3"/>
                <w:szCs w:val="3"/>
                <w:color w:val="auto"/>
              </w:rPr>
            </w:pPr>
          </w:p>
        </w:tc>
      </w:tr>
    </w:tbl>
    <w:p>
      <w:pPr>
        <w:spacing w:after="0" w:line="85" w:lineRule="exact"/>
        <w:rPr>
          <w:sz w:val="20"/>
          <w:szCs w:val="20"/>
          <w:color w:val="auto"/>
        </w:rPr>
      </w:pPr>
    </w:p>
    <w:p>
      <w:pPr>
        <w:ind w:left="400" w:hanging="213"/>
        <w:spacing w:after="0" w:line="181" w:lineRule="auto"/>
        <w:tabs>
          <w:tab w:leader="none" w:pos="4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the annual consolidated financial statement audit, the annual internal controls audit, and reviews of the consolidated financial statements included in the quarterly reports.</w:t>
      </w:r>
    </w:p>
    <w:p>
      <w:pPr>
        <w:ind w:left="400" w:hanging="213"/>
        <w:spacing w:after="0" w:line="197" w:lineRule="auto"/>
        <w:tabs>
          <w:tab w:leader="none" w:pos="40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audit-related services, including agreed-upon procedures reports and subsidiary audits.</w:t>
      </w:r>
    </w:p>
    <w:p>
      <w:pPr>
        <w:ind w:left="400" w:hanging="213"/>
        <w:spacing w:after="0" w:line="197" w:lineRule="auto"/>
        <w:tabs>
          <w:tab w:leader="none" w:pos="40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tax advice related to transfer pricing matters.</w:t>
      </w:r>
    </w:p>
    <w:p>
      <w:pPr>
        <w:ind w:left="400" w:hanging="213"/>
        <w:spacing w:after="0" w:line="197" w:lineRule="auto"/>
        <w:tabs>
          <w:tab w:leader="none" w:pos="40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Other fees include license fees for technical accounting software.</w:t>
      </w:r>
    </w:p>
    <w:p>
      <w:pPr>
        <w:sectPr>
          <w:pgSz w:w="11900" w:h="16838" w:orient="portrait"/>
          <w:cols w:equalWidth="0" w:num="1">
            <w:col w:w="11060"/>
          </w:cols>
          <w:pgMar w:left="320" w:top="455" w:right="519" w:bottom="1440" w:gutter="0" w:footer="0" w:header="0"/>
        </w:sect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Pre-Approval Policies and Procedures</w:t>
      </w:r>
    </w:p>
    <w:p>
      <w:pPr>
        <w:spacing w:after="0" w:line="14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Audit Committee Review</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763905</wp:posOffset>
            </wp:positionV>
            <wp:extent cx="406400" cy="2451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13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93"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31</w:t>
            </w:r>
          </w:p>
        </w:tc>
      </w:tr>
    </w:tbl>
    <w:p>
      <w:pPr>
        <w:sectPr>
          <w:pgSz w:w="11900" w:h="16838" w:orient="portrait"/>
          <w:cols w:equalWidth="0" w:num="1">
            <w:col w:w="11060"/>
          </w:cols>
          <w:pgMar w:left="320" w:top="455" w:right="5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Audit Committee Report</w:t>
      </w:r>
    </w:p>
    <w:p>
      <w:pPr>
        <w:spacing w:after="0" w:line="322" w:lineRule="exact"/>
        <w:rPr>
          <w:sz w:val="20"/>
          <w:szCs w:val="20"/>
          <w:color w:val="auto"/>
        </w:rPr>
      </w:pPr>
    </w:p>
    <w:p>
      <w:pPr>
        <w:jc w:val="both"/>
        <w:ind w:left="180"/>
        <w:spacing w:after="0" w:line="245"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SEC’s regulations, the NYSE listing standards, and the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can be viewed on Martin Marietta’s website at </w:t>
      </w:r>
      <w:r>
        <w:rPr>
          <w:rFonts w:ascii="Arial" w:cs="Arial" w:eastAsia="Arial" w:hAnsi="Arial"/>
          <w:sz w:val="16"/>
          <w:szCs w:val="16"/>
          <w:i w:val="1"/>
          <w:iCs w:val="1"/>
          <w:color w:val="auto"/>
        </w:rPr>
        <w:t>https://ir.martinmarietta.com/corporate-governance.</w:t>
      </w:r>
    </w:p>
    <w:p>
      <w:pPr>
        <w:spacing w:after="0" w:line="178"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60"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 xml:space="preserve">In the discharge of its responsibilities, the Audit Committee has reviewed and discussed with management and the independent auditors Martin Marietta’s audited consolidated financial statements for fiscal year 2019. In addition, the Committee has discussed with the independent auditors matters such as the quality (in addition to acceptability), clarity, consistency, and completeness of Martin Marietta’s financial reporting, as required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w:t>
      </w:r>
    </w:p>
    <w:p>
      <w:pPr>
        <w:spacing w:after="0" w:line="162"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 xml:space="preserve">The Audit Committee has received from the independent auditors written disclosures and a letter concerning the independent auditors’ independence from Martin Marietta, as required by the Public Company Accounting Oversight Board (PCAOB) in Rule 3526,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Concerning Independence</w:t>
      </w:r>
      <w:r>
        <w:rPr>
          <w:rFonts w:ascii="Arial" w:cs="Arial" w:eastAsia="Arial" w:hAnsi="Arial"/>
          <w:sz w:val="16"/>
          <w:szCs w:val="16"/>
          <w:color w:val="auto"/>
        </w:rPr>
        <w:t>, and has discussed with the independent auditors the independent auditors’ independence. These disclosures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by the Committee and discussed with the independent auditors.</w:t>
      </w:r>
    </w:p>
    <w:p>
      <w:pPr>
        <w:spacing w:after="0" w:line="175"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Based on these reviews and discussions, the Audit Committee has recommended to the Board of Directors that the audited financial statements be included in Martin Marietta’s 2019 Annual Report on Form 10-K for filing with the Securities and Exchange Commission.</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February 20, 2020</w:t>
      </w:r>
    </w:p>
    <w:p>
      <w:pPr>
        <w:spacing w:after="0" w:line="148"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Laree E. Perez, </w:t>
      </w:r>
      <w:r>
        <w:rPr>
          <w:rFonts w:ascii="Arial" w:cs="Arial" w:eastAsia="Arial" w:hAnsi="Arial"/>
          <w:sz w:val="17"/>
          <w:szCs w:val="17"/>
          <w:i w:val="1"/>
          <w:iCs w:val="1"/>
          <w:color w:val="auto"/>
        </w:rPr>
        <w:t>Chair</w:t>
      </w:r>
    </w:p>
    <w:p>
      <w:pPr>
        <w:ind w:left="6060"/>
        <w:spacing w:after="0"/>
        <w:rPr>
          <w:sz w:val="20"/>
          <w:szCs w:val="20"/>
          <w:color w:val="auto"/>
        </w:rPr>
      </w:pPr>
      <w:r>
        <w:rPr>
          <w:rFonts w:ascii="Arial" w:cs="Arial" w:eastAsia="Arial" w:hAnsi="Arial"/>
          <w:sz w:val="17"/>
          <w:szCs w:val="17"/>
          <w:color w:val="auto"/>
        </w:rPr>
        <w:t>Dorothy M. Ables</w:t>
      </w:r>
    </w:p>
    <w:p>
      <w:pPr>
        <w:ind w:left="6060"/>
        <w:spacing w:after="0"/>
        <w:rPr>
          <w:sz w:val="20"/>
          <w:szCs w:val="20"/>
          <w:color w:val="auto"/>
        </w:rPr>
      </w:pPr>
      <w:r>
        <w:rPr>
          <w:rFonts w:ascii="Arial" w:cs="Arial" w:eastAsia="Arial" w:hAnsi="Arial"/>
          <w:sz w:val="17"/>
          <w:szCs w:val="17"/>
          <w:color w:val="auto"/>
        </w:rPr>
        <w:t>John J. Koraleski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91440</wp:posOffset>
            </wp:positionV>
            <wp:extent cx="406400" cy="2451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58" w:lineRule="exact"/>
        <w:rPr>
          <w:sz w:val="20"/>
          <w:szCs w:val="20"/>
          <w:color w:val="auto"/>
        </w:rPr>
      </w:pPr>
    </w:p>
    <w:p>
      <w:pPr>
        <w:ind w:left="620" w:hanging="433"/>
        <w:spacing w:after="0"/>
        <w:tabs>
          <w:tab w:leader="none" w:pos="620" w:val="left"/>
        </w:tabs>
        <w:numPr>
          <w:ilvl w:val="0"/>
          <w:numId w:val="85"/>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Management Development and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Compensation Committee Report</w:t>
      </w:r>
    </w:p>
    <w:p>
      <w:pPr>
        <w:spacing w:after="0" w:line="304"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 xml:space="preserve">The Management Development and Compensation Committee has reviewed and discussed with management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beginning on page 34 of this Proxy Statement. Based on this review and discussion, the Management Development and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recommended to the Board of Directors that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 included in Martin Marietta’s 2019 Annual Report on Form 10-K and this Proxy Statement.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February 19, 2020</w:t>
      </w:r>
    </w:p>
    <w:p>
      <w:pPr>
        <w:spacing w:after="0" w:line="148"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MANAGEMENT DEVELOPMENT AND</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COMPENSATION COMMITTEE</w:t>
      </w:r>
    </w:p>
    <w:p>
      <w:pPr>
        <w:spacing w:after="0" w:line="4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John J. Koraleski, </w:t>
      </w:r>
      <w:r>
        <w:rPr>
          <w:rFonts w:ascii="Arial" w:cs="Arial" w:eastAsia="Arial" w:hAnsi="Arial"/>
          <w:sz w:val="17"/>
          <w:szCs w:val="17"/>
          <w:i w:val="1"/>
          <w:iCs w:val="1"/>
          <w:color w:val="auto"/>
        </w:rPr>
        <w:t>Chair</w:t>
      </w:r>
    </w:p>
    <w:p>
      <w:pPr>
        <w:ind w:left="6060"/>
        <w:spacing w:after="0"/>
        <w:rPr>
          <w:sz w:val="20"/>
          <w:szCs w:val="20"/>
          <w:color w:val="auto"/>
        </w:rPr>
      </w:pPr>
      <w:r>
        <w:rPr>
          <w:rFonts w:ascii="Arial" w:cs="Arial" w:eastAsia="Arial" w:hAnsi="Arial"/>
          <w:sz w:val="17"/>
          <w:szCs w:val="17"/>
          <w:color w:val="auto"/>
        </w:rPr>
        <w:t>Thomas H. Pike</w:t>
      </w:r>
    </w:p>
    <w:p>
      <w:pPr>
        <w:ind w:left="6060"/>
        <w:spacing w:after="0"/>
        <w:rPr>
          <w:sz w:val="20"/>
          <w:szCs w:val="20"/>
          <w:color w:val="auto"/>
        </w:rPr>
      </w:pPr>
      <w:r>
        <w:rPr>
          <w:rFonts w:ascii="Arial" w:cs="Arial" w:eastAsia="Arial" w:hAnsi="Arial"/>
          <w:sz w:val="17"/>
          <w:szCs w:val="17"/>
          <w:color w:val="auto"/>
        </w:rPr>
        <w:t>Michael J. Quillen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20" w:right="880"/>
        <w:spacing w:after="0" w:line="261" w:lineRule="auto"/>
        <w:rPr>
          <w:sz w:val="20"/>
          <w:szCs w:val="20"/>
          <w:color w:val="auto"/>
        </w:rPr>
      </w:pPr>
      <w:r>
        <w:rPr>
          <w:rFonts w:ascii="Arial" w:cs="Arial" w:eastAsia="Arial" w:hAnsi="Arial"/>
          <w:sz w:val="42"/>
          <w:szCs w:val="42"/>
          <w:color w:val="auto"/>
        </w:rPr>
        <w:t>Compensation Committee Interlocks and Insider Participation in Compensation Decisions</w:t>
      </w:r>
    </w:p>
    <w:p>
      <w:pPr>
        <w:spacing w:after="0" w:line="259"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The members of Martin Marietta’s Management Development and Compensation Committee are Directors Koraleski, Pike, and Quillen, none of whom has ever been an officer or employee of Martin Marietta or any of its subsidiaries, or had any relationship requiring disclosure by Martin Marietta under Item 404 of Regulation S-K of the SEC. There are no executive officer-Director interlocks where an executive of Martin Marietta serves on the compensation committee of another corporation that has an executive officer serving on Martin Marietta’s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85090</wp:posOffset>
            </wp:positionV>
            <wp:extent cx="406400" cy="2451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34"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bl>
    <w:p>
      <w:pPr>
        <w:sectPr>
          <w:pgSz w:w="11900" w:h="16838" w:orient="portrait"/>
          <w:cols w:equalWidth="0" w:num="1">
            <w:col w:w="11060"/>
          </w:cols>
          <w:pgMar w:left="320" w:top="455"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42"/>
          <w:szCs w:val="42"/>
          <w:color w:val="auto"/>
        </w:rPr>
        <w:t>Compensation Discussion and Analysis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0" w:type="dxa"/>
        <w:tblCellMar>
          <w:top w:w="0" w:type="dxa"/>
          <w:left w:w="0" w:type="dxa"/>
          <w:bottom w:w="0" w:type="dxa"/>
          <w:right w:w="0" w:type="dxa"/>
        </w:tblCellMar>
      </w:tblPr>
      <w:tr>
        <w:trPr>
          <w:trHeight w:val="448"/>
        </w:trPr>
        <w:tc>
          <w:tcPr>
            <w:tcW w:w="320" w:type="dxa"/>
            <w:vAlign w:val="bottom"/>
            <w:shd w:val="clear" w:color="auto" w:fill="E5F1F8"/>
          </w:tcPr>
          <w:p>
            <w:pPr>
              <w:spacing w:after="0"/>
              <w:rPr>
                <w:sz w:val="24"/>
                <w:szCs w:val="24"/>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Introduction</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34</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Executive Summary</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35</w:t>
            </w:r>
          </w:p>
        </w:tc>
      </w:tr>
      <w:tr>
        <w:trPr>
          <w:trHeight w:val="219"/>
        </w:trPr>
        <w:tc>
          <w:tcPr>
            <w:tcW w:w="320" w:type="dxa"/>
            <w:vAlign w:val="bottom"/>
            <w:tcBorders>
              <w:bottom w:val="single" w:sz="8" w:color="E5F1F8"/>
            </w:tcBorders>
            <w:shd w:val="clear" w:color="auto" w:fill="E5F1F8"/>
          </w:tcPr>
          <w:p>
            <w:pPr>
              <w:spacing w:after="0"/>
              <w:rPr>
                <w:sz w:val="19"/>
                <w:szCs w:val="19"/>
                <w:color w:val="auto"/>
              </w:rPr>
            </w:pPr>
          </w:p>
        </w:tc>
        <w:tc>
          <w:tcPr>
            <w:tcW w:w="4040" w:type="dxa"/>
            <w:vAlign w:val="bottom"/>
            <w:tcBorders>
              <w:bottom w:val="single" w:sz="8" w:color="0000EE"/>
            </w:tcBorders>
            <w:gridSpan w:val="8"/>
            <w:shd w:val="clear" w:color="auto" w:fill="E5F1F8"/>
          </w:tcPr>
          <w:p>
            <w:pPr>
              <w:spacing w:after="0"/>
              <w:rPr>
                <w:rFonts w:ascii="Arial" w:cs="Arial" w:eastAsia="Arial" w:hAnsi="Arial"/>
                <w:sz w:val="16"/>
                <w:szCs w:val="16"/>
                <w:color w:val="0000EE"/>
                <w:w w:val="99"/>
              </w:rPr>
            </w:pPr>
            <w:hyperlink w:anchor="page40">
              <w:r>
                <w:rPr>
                  <w:rFonts w:ascii="Arial" w:cs="Arial" w:eastAsia="Arial" w:hAnsi="Arial"/>
                  <w:sz w:val="16"/>
                  <w:szCs w:val="16"/>
                  <w:color w:val="0000EE"/>
                  <w:w w:val="99"/>
                </w:rPr>
                <w:t>Shareholder Engagement and Feedback on 2019 Say on</w:t>
              </w:r>
            </w:hyperlink>
          </w:p>
        </w:tc>
        <w:tc>
          <w:tcPr>
            <w:tcW w:w="840" w:type="dxa"/>
            <w:vAlign w:val="bottom"/>
            <w:tcBorders>
              <w:bottom w:val="single" w:sz="8" w:color="E5F1F8"/>
            </w:tcBorders>
            <w:shd w:val="clear" w:color="auto" w:fill="E5F1F8"/>
          </w:tcPr>
          <w:p>
            <w:pPr>
              <w:spacing w:after="0"/>
              <w:rPr>
                <w:sz w:val="19"/>
                <w:szCs w:val="19"/>
                <w:color w:val="auto"/>
              </w:rPr>
            </w:pPr>
          </w:p>
        </w:tc>
      </w:tr>
      <w:tr>
        <w:trPr>
          <w:trHeight w:val="167"/>
        </w:trPr>
        <w:tc>
          <w:tcPr>
            <w:tcW w:w="320" w:type="dxa"/>
            <w:vAlign w:val="bottom"/>
            <w:tcBorders>
              <w:bottom w:val="single" w:sz="8" w:color="E5F1F8"/>
            </w:tcBorders>
            <w:shd w:val="clear" w:color="auto" w:fill="E5F1F8"/>
          </w:tcPr>
          <w:p>
            <w:pPr>
              <w:spacing w:after="0"/>
              <w:rPr>
                <w:sz w:val="14"/>
                <w:szCs w:val="14"/>
                <w:color w:val="auto"/>
              </w:rPr>
            </w:pPr>
          </w:p>
        </w:tc>
        <w:tc>
          <w:tcPr>
            <w:tcW w:w="280" w:type="dxa"/>
            <w:vAlign w:val="bottom"/>
            <w:tcBorders>
              <w:bottom w:val="single" w:sz="8" w:color="0000EE"/>
            </w:tcBorders>
            <w:shd w:val="clear" w:color="auto" w:fill="E5F1F8"/>
          </w:tcPr>
          <w:p>
            <w:pPr>
              <w:spacing w:after="0" w:line="153" w:lineRule="exact"/>
              <w:rPr>
                <w:rFonts w:ascii="Arial" w:cs="Arial" w:eastAsia="Arial" w:hAnsi="Arial"/>
                <w:sz w:val="16"/>
                <w:szCs w:val="16"/>
                <w:color w:val="0000EE"/>
                <w:w w:val="94"/>
              </w:rPr>
            </w:pPr>
            <w:hyperlink w:anchor="page40">
              <w:r>
                <w:rPr>
                  <w:rFonts w:ascii="Arial" w:cs="Arial" w:eastAsia="Arial" w:hAnsi="Arial"/>
                  <w:sz w:val="16"/>
                  <w:szCs w:val="16"/>
                  <w:color w:val="0000EE"/>
                  <w:w w:val="94"/>
                </w:rPr>
                <w:t>Pay</w:t>
              </w:r>
            </w:hyperlink>
          </w:p>
        </w:tc>
        <w:tc>
          <w:tcPr>
            <w:tcW w:w="3760" w:type="dxa"/>
            <w:vAlign w:val="bottom"/>
            <w:tcBorders>
              <w:bottom w:val="single" w:sz="8" w:color="E5F1F8"/>
            </w:tcBorders>
            <w:gridSpan w:val="7"/>
            <w:shd w:val="clear" w:color="auto" w:fill="E5F1F8"/>
          </w:tcPr>
          <w:p>
            <w:pPr>
              <w:spacing w:after="0"/>
              <w:rPr>
                <w:sz w:val="14"/>
                <w:szCs w:val="14"/>
                <w:color w:val="auto"/>
              </w:rPr>
            </w:pPr>
          </w:p>
        </w:tc>
        <w:tc>
          <w:tcPr>
            <w:tcW w:w="840" w:type="dxa"/>
            <w:vAlign w:val="bottom"/>
            <w:tcBorders>
              <w:bottom w:val="single" w:sz="8" w:color="E5F1F8"/>
            </w:tcBorders>
            <w:shd w:val="clear" w:color="auto" w:fill="E5F1F8"/>
          </w:tcPr>
          <w:p>
            <w:pPr>
              <w:jc w:val="right"/>
              <w:ind w:right="60"/>
              <w:spacing w:after="0" w:line="153" w:lineRule="exact"/>
              <w:rPr>
                <w:sz w:val="20"/>
                <w:szCs w:val="20"/>
                <w:color w:val="auto"/>
              </w:rPr>
            </w:pPr>
            <w:r>
              <w:rPr>
                <w:rFonts w:ascii="Arial" w:cs="Arial" w:eastAsia="Arial" w:hAnsi="Arial"/>
                <w:sz w:val="16"/>
                <w:szCs w:val="16"/>
                <w:color w:val="007CBA"/>
              </w:rPr>
              <w:t>35</w:t>
            </w:r>
          </w:p>
        </w:tc>
      </w:tr>
      <w:tr>
        <w:trPr>
          <w:trHeight w:val="281"/>
        </w:trPr>
        <w:tc>
          <w:tcPr>
            <w:tcW w:w="320" w:type="dxa"/>
            <w:vAlign w:val="bottom"/>
            <w:shd w:val="clear" w:color="auto" w:fill="E5F1F8"/>
          </w:tcPr>
          <w:p>
            <w:pPr>
              <w:spacing w:after="0"/>
              <w:rPr>
                <w:sz w:val="24"/>
                <w:szCs w:val="24"/>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Our 2019 Performance</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36</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Safety, Environment and Sustainability</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37</w:t>
            </w:r>
          </w:p>
        </w:tc>
      </w:tr>
      <w:tr>
        <w:trPr>
          <w:trHeight w:val="219"/>
        </w:trPr>
        <w:tc>
          <w:tcPr>
            <w:tcW w:w="320" w:type="dxa"/>
            <w:vAlign w:val="bottom"/>
            <w:tcBorders>
              <w:bottom w:val="single" w:sz="8" w:color="E5F1F8"/>
            </w:tcBorders>
            <w:shd w:val="clear" w:color="auto" w:fill="E5F1F8"/>
          </w:tcPr>
          <w:p>
            <w:pPr>
              <w:spacing w:after="0"/>
              <w:rPr>
                <w:sz w:val="19"/>
                <w:szCs w:val="19"/>
                <w:color w:val="auto"/>
              </w:rPr>
            </w:pPr>
          </w:p>
        </w:tc>
        <w:tc>
          <w:tcPr>
            <w:tcW w:w="4020" w:type="dxa"/>
            <w:vAlign w:val="bottom"/>
            <w:tcBorders>
              <w:bottom w:val="single" w:sz="8" w:color="0000EE"/>
            </w:tcBorders>
            <w:gridSpan w:val="7"/>
            <w:shd w:val="clear" w:color="auto" w:fill="E5F1F8"/>
          </w:tcPr>
          <w:p>
            <w:pPr>
              <w:spacing w:after="0"/>
              <w:rPr>
                <w:rFonts w:ascii="Arial" w:cs="Arial" w:eastAsia="Arial" w:hAnsi="Arial"/>
                <w:sz w:val="16"/>
                <w:szCs w:val="16"/>
                <w:color w:val="0000EE"/>
                <w:w w:val="99"/>
              </w:rPr>
            </w:pPr>
            <w:hyperlink w:anchor="page45">
              <w:r>
                <w:rPr>
                  <w:rFonts w:ascii="Arial" w:cs="Arial" w:eastAsia="Arial" w:hAnsi="Arial"/>
                  <w:sz w:val="16"/>
                  <w:szCs w:val="16"/>
                  <w:color w:val="0000EE"/>
                  <w:w w:val="99"/>
                </w:rPr>
                <w:t>Components of Executive Compensation - Performance-</w:t>
              </w:r>
            </w:hyperlink>
          </w:p>
        </w:tc>
        <w:tc>
          <w:tcPr>
            <w:tcW w:w="20" w:type="dxa"/>
            <w:vAlign w:val="bottom"/>
            <w:tcBorders>
              <w:bottom w:val="single" w:sz="8" w:color="E5F1F8"/>
            </w:tcBorders>
            <w:shd w:val="clear" w:color="auto" w:fill="E5F1F8"/>
          </w:tcPr>
          <w:p>
            <w:pPr>
              <w:spacing w:after="0"/>
              <w:rPr>
                <w:sz w:val="19"/>
                <w:szCs w:val="19"/>
                <w:color w:val="auto"/>
              </w:rPr>
            </w:pPr>
          </w:p>
        </w:tc>
        <w:tc>
          <w:tcPr>
            <w:tcW w:w="840" w:type="dxa"/>
            <w:vAlign w:val="bottom"/>
            <w:tcBorders>
              <w:bottom w:val="single" w:sz="8" w:color="E5F1F8"/>
            </w:tcBorders>
            <w:shd w:val="clear" w:color="auto" w:fill="E5F1F8"/>
          </w:tcPr>
          <w:p>
            <w:pPr>
              <w:spacing w:after="0"/>
              <w:rPr>
                <w:sz w:val="19"/>
                <w:szCs w:val="19"/>
                <w:color w:val="auto"/>
              </w:rPr>
            </w:pPr>
          </w:p>
        </w:tc>
      </w:tr>
      <w:tr>
        <w:trPr>
          <w:trHeight w:val="167"/>
        </w:trPr>
        <w:tc>
          <w:tcPr>
            <w:tcW w:w="320" w:type="dxa"/>
            <w:vAlign w:val="bottom"/>
            <w:tcBorders>
              <w:bottom w:val="single" w:sz="8" w:color="E5F1F8"/>
            </w:tcBorders>
            <w:shd w:val="clear" w:color="auto" w:fill="E5F1F8"/>
          </w:tcPr>
          <w:p>
            <w:pPr>
              <w:spacing w:after="0"/>
              <w:rPr>
                <w:sz w:val="14"/>
                <w:szCs w:val="14"/>
                <w:color w:val="auto"/>
              </w:rPr>
            </w:pPr>
          </w:p>
        </w:tc>
        <w:tc>
          <w:tcPr>
            <w:tcW w:w="1640" w:type="dxa"/>
            <w:vAlign w:val="bottom"/>
            <w:tcBorders>
              <w:bottom w:val="single" w:sz="8" w:color="0000EE"/>
            </w:tcBorders>
            <w:gridSpan w:val="3"/>
            <w:shd w:val="clear" w:color="auto" w:fill="E5F1F8"/>
          </w:tcPr>
          <w:p>
            <w:pPr>
              <w:spacing w:after="0" w:line="167" w:lineRule="exact"/>
              <w:rPr>
                <w:rFonts w:ascii="Arial" w:cs="Arial" w:eastAsia="Arial" w:hAnsi="Arial"/>
                <w:sz w:val="16"/>
                <w:szCs w:val="16"/>
                <w:color w:val="0000EE"/>
                <w:w w:val="99"/>
              </w:rPr>
            </w:pPr>
            <w:hyperlink w:anchor="page45">
              <w:r>
                <w:rPr>
                  <w:rFonts w:ascii="Arial" w:cs="Arial" w:eastAsia="Arial" w:hAnsi="Arial"/>
                  <w:sz w:val="16"/>
                  <w:szCs w:val="16"/>
                  <w:color w:val="0000EE"/>
                  <w:w w:val="99"/>
                </w:rPr>
                <w:t>Related Compensation</w:t>
              </w:r>
            </w:hyperlink>
          </w:p>
        </w:tc>
        <w:tc>
          <w:tcPr>
            <w:tcW w:w="2400" w:type="dxa"/>
            <w:vAlign w:val="bottom"/>
            <w:tcBorders>
              <w:bottom w:val="single" w:sz="8" w:color="E5F1F8"/>
            </w:tcBorders>
            <w:gridSpan w:val="5"/>
            <w:shd w:val="clear" w:color="auto" w:fill="E5F1F8"/>
          </w:tcPr>
          <w:p>
            <w:pPr>
              <w:spacing w:after="0"/>
              <w:rPr>
                <w:sz w:val="14"/>
                <w:szCs w:val="14"/>
                <w:color w:val="auto"/>
              </w:rPr>
            </w:pPr>
          </w:p>
        </w:tc>
        <w:tc>
          <w:tcPr>
            <w:tcW w:w="840" w:type="dxa"/>
            <w:vAlign w:val="bottom"/>
            <w:tcBorders>
              <w:bottom w:val="single" w:sz="8" w:color="E5F1F8"/>
            </w:tcBorders>
            <w:shd w:val="clear" w:color="auto" w:fill="E5F1F8"/>
          </w:tcPr>
          <w:p>
            <w:pPr>
              <w:jc w:val="right"/>
              <w:ind w:right="60"/>
              <w:spacing w:after="0" w:line="167" w:lineRule="exact"/>
              <w:rPr>
                <w:sz w:val="20"/>
                <w:szCs w:val="20"/>
                <w:color w:val="auto"/>
              </w:rPr>
            </w:pPr>
            <w:r>
              <w:rPr>
                <w:rFonts w:ascii="Arial" w:cs="Arial" w:eastAsia="Arial" w:hAnsi="Arial"/>
                <w:sz w:val="16"/>
                <w:szCs w:val="16"/>
                <w:color w:val="007CBA"/>
              </w:rPr>
              <w:t>40</w:t>
            </w:r>
          </w:p>
        </w:tc>
      </w:tr>
      <w:tr>
        <w:trPr>
          <w:trHeight w:val="268"/>
        </w:trPr>
        <w:tc>
          <w:tcPr>
            <w:tcW w:w="320" w:type="dxa"/>
            <w:vAlign w:val="bottom"/>
            <w:shd w:val="clear" w:color="auto" w:fill="E5F1F8"/>
          </w:tcPr>
          <w:p>
            <w:pPr>
              <w:spacing w:after="0"/>
              <w:rPr>
                <w:sz w:val="23"/>
                <w:szCs w:val="23"/>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Pay Decisions and Compensation Governance Practices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41</w:t>
            </w:r>
          </w:p>
        </w:tc>
      </w:tr>
      <w:tr>
        <w:trPr>
          <w:trHeight w:val="219"/>
        </w:trPr>
        <w:tc>
          <w:tcPr>
            <w:tcW w:w="320" w:type="dxa"/>
            <w:vAlign w:val="bottom"/>
            <w:tcBorders>
              <w:bottom w:val="single" w:sz="8" w:color="E5F1F8"/>
            </w:tcBorders>
            <w:shd w:val="clear" w:color="auto" w:fill="E5F1F8"/>
          </w:tcPr>
          <w:p>
            <w:pPr>
              <w:spacing w:after="0"/>
              <w:rPr>
                <w:sz w:val="19"/>
                <w:szCs w:val="19"/>
                <w:color w:val="auto"/>
              </w:rPr>
            </w:pPr>
          </w:p>
        </w:tc>
        <w:tc>
          <w:tcPr>
            <w:tcW w:w="2600" w:type="dxa"/>
            <w:vAlign w:val="bottom"/>
            <w:tcBorders>
              <w:bottom w:val="single" w:sz="8" w:color="0000EE"/>
            </w:tcBorders>
            <w:gridSpan w:val="5"/>
            <w:shd w:val="clear" w:color="auto" w:fill="E5F1F8"/>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2019 Chairman, President and CEO</w:t>
              </w:r>
            </w:hyperlink>
          </w:p>
        </w:tc>
        <w:tc>
          <w:tcPr>
            <w:tcW w:w="1440" w:type="dxa"/>
            <w:vAlign w:val="bottom"/>
            <w:tcBorders>
              <w:bottom w:val="single" w:sz="8" w:color="E5F1F8"/>
            </w:tcBorders>
            <w:gridSpan w:val="3"/>
            <w:shd w:val="clear" w:color="auto" w:fill="E5F1F8"/>
          </w:tcPr>
          <w:p>
            <w:pPr>
              <w:spacing w:after="0"/>
              <w:rPr>
                <w:sz w:val="19"/>
                <w:szCs w:val="19"/>
                <w:color w:val="auto"/>
              </w:rPr>
            </w:pPr>
          </w:p>
        </w:tc>
        <w:tc>
          <w:tcPr>
            <w:tcW w:w="840" w:type="dxa"/>
            <w:vAlign w:val="bottom"/>
            <w:tcBorders>
              <w:bottom w:val="single" w:sz="8" w:color="E5F1F8"/>
            </w:tcBorders>
            <w:shd w:val="clear" w:color="auto" w:fill="E5F1F8"/>
          </w:tcPr>
          <w:p>
            <w:pPr>
              <w:spacing w:after="0"/>
              <w:rPr>
                <w:sz w:val="19"/>
                <w:szCs w:val="19"/>
                <w:color w:val="auto"/>
              </w:rPr>
            </w:pPr>
          </w:p>
        </w:tc>
      </w:tr>
      <w:tr>
        <w:trPr>
          <w:trHeight w:val="167"/>
        </w:trPr>
        <w:tc>
          <w:tcPr>
            <w:tcW w:w="320" w:type="dxa"/>
            <w:vAlign w:val="bottom"/>
            <w:tcBorders>
              <w:bottom w:val="single" w:sz="8" w:color="E5F1F8"/>
            </w:tcBorders>
            <w:shd w:val="clear" w:color="auto" w:fill="E5F1F8"/>
          </w:tcPr>
          <w:p>
            <w:pPr>
              <w:spacing w:after="0"/>
              <w:rPr>
                <w:sz w:val="14"/>
                <w:szCs w:val="14"/>
                <w:color w:val="auto"/>
              </w:rPr>
            </w:pPr>
          </w:p>
        </w:tc>
        <w:tc>
          <w:tcPr>
            <w:tcW w:w="1040" w:type="dxa"/>
            <w:vAlign w:val="bottom"/>
            <w:tcBorders>
              <w:bottom w:val="single" w:sz="8" w:color="0000EE"/>
            </w:tcBorders>
            <w:gridSpan w:val="2"/>
            <w:shd w:val="clear" w:color="auto" w:fill="E5F1F8"/>
          </w:tcPr>
          <w:p>
            <w:pPr>
              <w:spacing w:after="0" w:line="167" w:lineRule="exact"/>
              <w:rPr>
                <w:rFonts w:ascii="Arial" w:cs="Arial" w:eastAsia="Arial" w:hAnsi="Arial"/>
                <w:sz w:val="16"/>
                <w:szCs w:val="16"/>
                <w:color w:val="0000EE"/>
                <w:w w:val="98"/>
              </w:rPr>
            </w:pPr>
            <w:hyperlink w:anchor="page47">
              <w:r>
                <w:rPr>
                  <w:rFonts w:ascii="Arial" w:cs="Arial" w:eastAsia="Arial" w:hAnsi="Arial"/>
                  <w:sz w:val="16"/>
                  <w:szCs w:val="16"/>
                  <w:color w:val="0000EE"/>
                  <w:w w:val="98"/>
                </w:rPr>
                <w:t>Compensation</w:t>
              </w:r>
            </w:hyperlink>
          </w:p>
        </w:tc>
        <w:tc>
          <w:tcPr>
            <w:tcW w:w="3000" w:type="dxa"/>
            <w:vAlign w:val="bottom"/>
            <w:tcBorders>
              <w:bottom w:val="single" w:sz="8" w:color="E5F1F8"/>
            </w:tcBorders>
            <w:gridSpan w:val="6"/>
            <w:shd w:val="clear" w:color="auto" w:fill="E5F1F8"/>
          </w:tcPr>
          <w:p>
            <w:pPr>
              <w:spacing w:after="0"/>
              <w:rPr>
                <w:sz w:val="14"/>
                <w:szCs w:val="14"/>
                <w:color w:val="auto"/>
              </w:rPr>
            </w:pPr>
          </w:p>
        </w:tc>
        <w:tc>
          <w:tcPr>
            <w:tcW w:w="840" w:type="dxa"/>
            <w:vAlign w:val="bottom"/>
            <w:tcBorders>
              <w:bottom w:val="single" w:sz="8" w:color="E5F1F8"/>
            </w:tcBorders>
            <w:shd w:val="clear" w:color="auto" w:fill="E5F1F8"/>
          </w:tcPr>
          <w:p>
            <w:pPr>
              <w:jc w:val="right"/>
              <w:ind w:right="60"/>
              <w:spacing w:after="0" w:line="167" w:lineRule="exact"/>
              <w:rPr>
                <w:sz w:val="20"/>
                <w:szCs w:val="20"/>
                <w:color w:val="auto"/>
              </w:rPr>
            </w:pPr>
            <w:r>
              <w:rPr>
                <w:rFonts w:ascii="Arial" w:cs="Arial" w:eastAsia="Arial" w:hAnsi="Arial"/>
                <w:sz w:val="16"/>
                <w:szCs w:val="16"/>
                <w:color w:val="007CBA"/>
              </w:rPr>
              <w:t>42</w:t>
            </w:r>
          </w:p>
        </w:tc>
      </w:tr>
      <w:tr>
        <w:trPr>
          <w:trHeight w:val="268"/>
        </w:trPr>
        <w:tc>
          <w:tcPr>
            <w:tcW w:w="320" w:type="dxa"/>
            <w:vAlign w:val="bottom"/>
            <w:shd w:val="clear" w:color="auto" w:fill="E5F1F8"/>
          </w:tcPr>
          <w:p>
            <w:pPr>
              <w:spacing w:after="0"/>
              <w:rPr>
                <w:sz w:val="23"/>
                <w:szCs w:val="23"/>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CEO Target Opportunity Mix</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42</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Determination of CEO Compensation</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42</w:t>
            </w:r>
          </w:p>
        </w:tc>
      </w:tr>
      <w:tr>
        <w:trPr>
          <w:trHeight w:val="219"/>
        </w:trPr>
        <w:tc>
          <w:tcPr>
            <w:tcW w:w="320" w:type="dxa"/>
            <w:vAlign w:val="bottom"/>
            <w:shd w:val="clear" w:color="auto" w:fill="E5F1F8"/>
          </w:tcPr>
          <w:p>
            <w:pPr>
              <w:spacing w:after="0"/>
              <w:rPr>
                <w:sz w:val="19"/>
                <w:szCs w:val="19"/>
                <w:color w:val="auto"/>
              </w:rPr>
            </w:pPr>
          </w:p>
        </w:tc>
        <w:tc>
          <w:tcPr>
            <w:tcW w:w="4040" w:type="dxa"/>
            <w:vAlign w:val="bottom"/>
            <w:gridSpan w:val="8"/>
            <w:shd w:val="clear" w:color="auto" w:fill="E5F1F8"/>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2019 Named Executive Officers’ Compensation - Our</w:t>
              </w:r>
            </w:hyperlink>
          </w:p>
        </w:tc>
        <w:tc>
          <w:tcPr>
            <w:tcW w:w="840" w:type="dxa"/>
            <w:vAlign w:val="bottom"/>
            <w:shd w:val="clear" w:color="auto" w:fill="E5F1F8"/>
          </w:tcPr>
          <w:p>
            <w:pPr>
              <w:spacing w:after="0"/>
              <w:rPr>
                <w:sz w:val="19"/>
                <w:szCs w:val="19"/>
                <w:color w:val="auto"/>
              </w:rPr>
            </w:pPr>
          </w:p>
        </w:tc>
      </w:tr>
      <w:tr>
        <w:trPr>
          <w:trHeight w:val="167"/>
        </w:trPr>
        <w:tc>
          <w:tcPr>
            <w:tcW w:w="320" w:type="dxa"/>
            <w:vAlign w:val="bottom"/>
            <w:tcBorders>
              <w:top w:val="single" w:sz="8" w:color="E5F1F8"/>
              <w:bottom w:val="single" w:sz="8" w:color="E5F1F8"/>
            </w:tcBorders>
            <w:shd w:val="clear" w:color="auto" w:fill="E5F1F8"/>
          </w:tcPr>
          <w:p>
            <w:pPr>
              <w:spacing w:after="0"/>
              <w:rPr>
                <w:sz w:val="14"/>
                <w:szCs w:val="14"/>
                <w:color w:val="auto"/>
              </w:rPr>
            </w:pPr>
          </w:p>
        </w:tc>
        <w:tc>
          <w:tcPr>
            <w:tcW w:w="1680" w:type="dxa"/>
            <w:vAlign w:val="bottom"/>
            <w:tcBorders>
              <w:top w:val="single" w:sz="8" w:color="0000EE"/>
              <w:bottom w:val="single" w:sz="8" w:color="0000EE"/>
            </w:tcBorders>
            <w:gridSpan w:val="4"/>
            <w:shd w:val="clear" w:color="auto" w:fill="E5F1F8"/>
          </w:tcPr>
          <w:p>
            <w:pPr>
              <w:spacing w:after="0" w:line="167" w:lineRule="exact"/>
              <w:rPr>
                <w:rFonts w:ascii="Arial" w:cs="Arial" w:eastAsia="Arial" w:hAnsi="Arial"/>
                <w:sz w:val="16"/>
                <w:szCs w:val="16"/>
                <w:color w:val="0000EE"/>
                <w:w w:val="99"/>
              </w:rPr>
            </w:pPr>
            <w:hyperlink w:anchor="page47">
              <w:r>
                <w:rPr>
                  <w:rFonts w:ascii="Arial" w:cs="Arial" w:eastAsia="Arial" w:hAnsi="Arial"/>
                  <w:sz w:val="16"/>
                  <w:szCs w:val="16"/>
                  <w:color w:val="0000EE"/>
                  <w:w w:val="99"/>
                </w:rPr>
                <w:t>Compensation Strategy</w:t>
              </w:r>
            </w:hyperlink>
          </w:p>
        </w:tc>
        <w:tc>
          <w:tcPr>
            <w:tcW w:w="2080" w:type="dxa"/>
            <w:vAlign w:val="bottom"/>
            <w:tcBorders>
              <w:top w:val="single" w:sz="8" w:color="0000EE"/>
              <w:bottom w:val="single" w:sz="8" w:color="E5F1F8"/>
            </w:tcBorders>
            <w:gridSpan w:val="2"/>
            <w:shd w:val="clear" w:color="auto" w:fill="E5F1F8"/>
          </w:tcPr>
          <w:p>
            <w:pPr>
              <w:spacing w:after="0"/>
              <w:rPr>
                <w:sz w:val="14"/>
                <w:szCs w:val="14"/>
                <w:color w:val="auto"/>
              </w:rPr>
            </w:pPr>
          </w:p>
        </w:tc>
        <w:tc>
          <w:tcPr>
            <w:tcW w:w="280" w:type="dxa"/>
            <w:vAlign w:val="bottom"/>
            <w:tcBorders>
              <w:top w:val="single" w:sz="8" w:color="E5F1F8"/>
              <w:bottom w:val="single" w:sz="8" w:color="E5F1F8"/>
            </w:tcBorders>
            <w:gridSpan w:val="2"/>
            <w:shd w:val="clear" w:color="auto" w:fill="E5F1F8"/>
          </w:tcPr>
          <w:p>
            <w:pPr>
              <w:spacing w:after="0"/>
              <w:rPr>
                <w:sz w:val="14"/>
                <w:szCs w:val="14"/>
                <w:color w:val="auto"/>
              </w:rPr>
            </w:pPr>
          </w:p>
        </w:tc>
        <w:tc>
          <w:tcPr>
            <w:tcW w:w="840" w:type="dxa"/>
            <w:vAlign w:val="bottom"/>
            <w:tcBorders>
              <w:top w:val="single" w:sz="8" w:color="E5F1F8"/>
              <w:bottom w:val="single" w:sz="8" w:color="E5F1F8"/>
            </w:tcBorders>
            <w:shd w:val="clear" w:color="auto" w:fill="E5F1F8"/>
          </w:tcPr>
          <w:p>
            <w:pPr>
              <w:jc w:val="right"/>
              <w:ind w:right="60"/>
              <w:spacing w:after="0" w:line="167" w:lineRule="exact"/>
              <w:rPr>
                <w:sz w:val="20"/>
                <w:szCs w:val="20"/>
                <w:color w:val="auto"/>
              </w:rPr>
            </w:pPr>
            <w:r>
              <w:rPr>
                <w:rFonts w:ascii="Arial" w:cs="Arial" w:eastAsia="Arial" w:hAnsi="Arial"/>
                <w:sz w:val="16"/>
                <w:szCs w:val="16"/>
                <w:color w:val="007CBA"/>
              </w:rPr>
              <w:t>42</w:t>
            </w:r>
          </w:p>
        </w:tc>
      </w:tr>
      <w:tr>
        <w:trPr>
          <w:trHeight w:val="268"/>
        </w:trPr>
        <w:tc>
          <w:tcPr>
            <w:tcW w:w="320" w:type="dxa"/>
            <w:vAlign w:val="bottom"/>
            <w:shd w:val="clear" w:color="auto" w:fill="E5F1F8"/>
          </w:tcPr>
          <w:p>
            <w:pPr>
              <w:spacing w:after="0"/>
              <w:rPr>
                <w:sz w:val="23"/>
                <w:szCs w:val="23"/>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Considerations Regarding 2019 Compensation</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45</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2019 Base Salary</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45</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2019 Annual Cash Incentive Goals and Results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46</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2019 Long-Term Incentive Compensation Overview</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48</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PSU Awards (55% of LTI Award)</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48</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Selection of Relative TSR</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49</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Performance-Based RSU Awards (45% of LTI Award)</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49</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2019-2021 Performance Goals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49</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2017-2019 PSU Award Payouts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51</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Ongoing Corporate Governance Policies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51</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Compensation Decision Process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51</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Compensation Program Risk Assessment</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53</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Stock-Based Awards Generally</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53</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Stock Ownership Requirements</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53</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Anti-Hedging and Pledging Policy</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54</w:t>
            </w:r>
          </w:p>
        </w:tc>
      </w:tr>
      <w:tr>
        <w:trPr>
          <w:trHeight w:val="253"/>
        </w:trPr>
        <w:tc>
          <w:tcPr>
            <w:tcW w:w="320" w:type="dxa"/>
            <w:vAlign w:val="bottom"/>
            <w:shd w:val="clear" w:color="auto" w:fill="E5F1F8"/>
          </w:tcPr>
          <w:p>
            <w:pPr>
              <w:spacing w:after="0"/>
              <w:rPr>
                <w:sz w:val="22"/>
                <w:szCs w:val="22"/>
                <w:color w:val="auto"/>
              </w:rPr>
            </w:pPr>
          </w:p>
        </w:tc>
        <w:tc>
          <w:tcPr>
            <w:tcW w:w="4040" w:type="dxa"/>
            <w:vAlign w:val="bottom"/>
            <w:gridSpan w:val="8"/>
            <w:shd w:val="clear" w:color="auto" w:fill="E5F1F8"/>
          </w:tcPr>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Clawback Policy</w:t>
              </w:r>
            </w:hyperlink>
          </w:p>
        </w:tc>
        <w:tc>
          <w:tcPr>
            <w:tcW w:w="8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54</w:t>
            </w:r>
          </w:p>
        </w:tc>
      </w:tr>
      <w:tr>
        <w:trPr>
          <w:trHeight w:val="232"/>
        </w:trPr>
        <w:tc>
          <w:tcPr>
            <w:tcW w:w="320" w:type="dxa"/>
            <w:vAlign w:val="bottom"/>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760" w:type="dxa"/>
            <w:vAlign w:val="bottom"/>
            <w:shd w:val="clear" w:color="auto" w:fill="E5F1F8"/>
          </w:tcPr>
          <w:p>
            <w:pPr>
              <w:spacing w:after="0"/>
              <w:rPr>
                <w:sz w:val="20"/>
                <w:szCs w:val="20"/>
                <w:color w:val="auto"/>
              </w:rPr>
            </w:pPr>
          </w:p>
        </w:tc>
        <w:tc>
          <w:tcPr>
            <w:tcW w:w="600" w:type="dxa"/>
            <w:vAlign w:val="bottom"/>
            <w:shd w:val="clear" w:color="auto" w:fill="E5F1F8"/>
          </w:tcPr>
          <w:p>
            <w:pPr>
              <w:spacing w:after="0"/>
              <w:rPr>
                <w:sz w:val="20"/>
                <w:szCs w:val="20"/>
                <w:color w:val="auto"/>
              </w:rPr>
            </w:pPr>
          </w:p>
        </w:tc>
        <w:tc>
          <w:tcPr>
            <w:tcW w:w="40" w:type="dxa"/>
            <w:vAlign w:val="bottom"/>
            <w:shd w:val="clear" w:color="auto" w:fill="E5F1F8"/>
          </w:tcPr>
          <w:p>
            <w:pPr>
              <w:spacing w:after="0"/>
              <w:rPr>
                <w:sz w:val="20"/>
                <w:szCs w:val="20"/>
                <w:color w:val="auto"/>
              </w:rPr>
            </w:pPr>
          </w:p>
        </w:tc>
        <w:tc>
          <w:tcPr>
            <w:tcW w:w="920" w:type="dxa"/>
            <w:vAlign w:val="bottom"/>
            <w:shd w:val="clear" w:color="auto" w:fill="E5F1F8"/>
          </w:tcPr>
          <w:p>
            <w:pPr>
              <w:spacing w:after="0"/>
              <w:rPr>
                <w:sz w:val="20"/>
                <w:szCs w:val="20"/>
                <w:color w:val="auto"/>
              </w:rPr>
            </w:pPr>
          </w:p>
        </w:tc>
        <w:tc>
          <w:tcPr>
            <w:tcW w:w="1160" w:type="dxa"/>
            <w:vAlign w:val="bottom"/>
            <w:shd w:val="clear" w:color="auto" w:fill="E5F1F8"/>
          </w:tcPr>
          <w:p>
            <w:pPr>
              <w:spacing w:after="0"/>
              <w:rPr>
                <w:sz w:val="20"/>
                <w:szCs w:val="20"/>
                <w:color w:val="auto"/>
              </w:rPr>
            </w:pPr>
          </w:p>
        </w:tc>
        <w:tc>
          <w:tcPr>
            <w:tcW w:w="260" w:type="dxa"/>
            <w:vAlign w:val="bottom"/>
            <w:shd w:val="clear" w:color="auto" w:fill="E5F1F8"/>
          </w:tcPr>
          <w:p>
            <w:pPr>
              <w:spacing w:after="0"/>
              <w:rPr>
                <w:sz w:val="20"/>
                <w:szCs w:val="20"/>
                <w:color w:val="auto"/>
              </w:rPr>
            </w:pPr>
          </w:p>
        </w:tc>
        <w:tc>
          <w:tcPr>
            <w:tcW w:w="20" w:type="dxa"/>
            <w:vAlign w:val="bottom"/>
            <w:shd w:val="clear" w:color="auto" w:fill="E5F1F8"/>
          </w:tcPr>
          <w:p>
            <w:pPr>
              <w:spacing w:after="0"/>
              <w:rPr>
                <w:sz w:val="20"/>
                <w:szCs w:val="20"/>
                <w:color w:val="auto"/>
              </w:rPr>
            </w:pPr>
          </w:p>
        </w:tc>
        <w:tc>
          <w:tcPr>
            <w:tcW w:w="840" w:type="dxa"/>
            <w:vAlign w:val="bottom"/>
            <w:shd w:val="clear" w:color="auto" w:fill="E5F1F8"/>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2"/>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Our Use of Independent</w:t>
              </w:r>
            </w:hyperlink>
          </w:p>
        </w:tc>
        <w:tc>
          <w:tcPr>
            <w:tcW w:w="1340" w:type="dxa"/>
            <w:vAlign w:val="bottom"/>
            <w:shd w:val="clear" w:color="auto" w:fill="E5F1F8"/>
          </w:tcPr>
          <w:p>
            <w:pPr>
              <w:spacing w:after="0"/>
              <w:rPr>
                <w:sz w:val="24"/>
                <w:szCs w:val="24"/>
                <w:color w:val="auto"/>
              </w:rPr>
            </w:pPr>
          </w:p>
        </w:tc>
      </w:tr>
      <w:tr>
        <w:trPr>
          <w:trHeight w:val="206"/>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Compensation Consultants</w:t>
              </w:r>
            </w:hyperlink>
          </w:p>
        </w:tc>
        <w:tc>
          <w:tcPr>
            <w:tcW w:w="13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54</w:t>
            </w:r>
          </w:p>
        </w:tc>
      </w:tr>
      <w:tr>
        <w:trPr>
          <w:trHeight w:val="247"/>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Practice Regarding Timing of</w:t>
              </w:r>
            </w:hyperlink>
          </w:p>
        </w:tc>
        <w:tc>
          <w:tcPr>
            <w:tcW w:w="1340" w:type="dxa"/>
            <w:vAlign w:val="bottom"/>
            <w:shd w:val="clear" w:color="auto" w:fill="E5F1F8"/>
          </w:tcPr>
          <w:p>
            <w:pPr>
              <w:spacing w:after="0"/>
              <w:rPr>
                <w:sz w:val="21"/>
                <w:szCs w:val="21"/>
                <w:color w:val="auto"/>
              </w:rPr>
            </w:pPr>
          </w:p>
        </w:tc>
      </w:tr>
      <w:tr>
        <w:trPr>
          <w:trHeight w:val="206"/>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Equity Grants</w:t>
              </w:r>
            </w:hyperlink>
          </w:p>
        </w:tc>
        <w:tc>
          <w:tcPr>
            <w:tcW w:w="13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55</w:t>
            </w:r>
          </w:p>
        </w:tc>
      </w:tr>
      <w:tr>
        <w:trPr>
          <w:trHeight w:val="253"/>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Perquisites</w:t>
              </w:r>
            </w:hyperlink>
          </w:p>
        </w:tc>
        <w:tc>
          <w:tcPr>
            <w:tcW w:w="13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55</w:t>
            </w:r>
          </w:p>
        </w:tc>
      </w:tr>
      <w:tr>
        <w:trPr>
          <w:trHeight w:val="253"/>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Retirement and Other Benefits</w:t>
              </w:r>
            </w:hyperlink>
          </w:p>
        </w:tc>
        <w:tc>
          <w:tcPr>
            <w:tcW w:w="13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55</w:t>
            </w:r>
          </w:p>
        </w:tc>
      </w:tr>
      <w:tr>
        <w:trPr>
          <w:trHeight w:val="247"/>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Potential Payments upon Termination</w:t>
              </w:r>
            </w:hyperlink>
          </w:p>
        </w:tc>
        <w:tc>
          <w:tcPr>
            <w:tcW w:w="1340" w:type="dxa"/>
            <w:vAlign w:val="bottom"/>
            <w:shd w:val="clear" w:color="auto" w:fill="E5F1F8"/>
          </w:tcPr>
          <w:p>
            <w:pPr>
              <w:spacing w:after="0"/>
              <w:rPr>
                <w:sz w:val="21"/>
                <w:szCs w:val="21"/>
                <w:color w:val="auto"/>
              </w:rPr>
            </w:pPr>
          </w:p>
        </w:tc>
      </w:tr>
      <w:tr>
        <w:trPr>
          <w:trHeight w:val="206"/>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or Change of Control</w:t>
              </w:r>
            </w:hyperlink>
          </w:p>
        </w:tc>
        <w:tc>
          <w:tcPr>
            <w:tcW w:w="13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56</w:t>
            </w:r>
          </w:p>
        </w:tc>
      </w:tr>
      <w:tr>
        <w:trPr>
          <w:trHeight w:val="253"/>
        </w:trPr>
        <w:tc>
          <w:tcPr>
            <w:tcW w:w="3980" w:type="dxa"/>
            <w:vAlign w:val="bottom"/>
            <w:shd w:val="clear" w:color="auto" w:fill="E5F1F8"/>
          </w:tcPr>
          <w:p>
            <w:pPr>
              <w:ind w:left="32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Tax and Accounting Implications</w:t>
              </w:r>
            </w:hyperlink>
          </w:p>
        </w:tc>
        <w:tc>
          <w:tcPr>
            <w:tcW w:w="1340" w:type="dxa"/>
            <w:vAlign w:val="bottom"/>
            <w:shd w:val="clear" w:color="auto" w:fill="E5F1F8"/>
          </w:tcPr>
          <w:p>
            <w:pPr>
              <w:jc w:val="right"/>
              <w:ind w:right="60"/>
              <w:spacing w:after="0"/>
              <w:rPr>
                <w:sz w:val="20"/>
                <w:szCs w:val="20"/>
                <w:color w:val="auto"/>
              </w:rPr>
            </w:pPr>
            <w:r>
              <w:rPr>
                <w:rFonts w:ascii="Arial" w:cs="Arial" w:eastAsia="Arial" w:hAnsi="Arial"/>
                <w:sz w:val="16"/>
                <w:szCs w:val="16"/>
                <w:color w:val="007CBA"/>
              </w:rPr>
              <w:t>56</w:t>
            </w:r>
          </w:p>
        </w:tc>
      </w:tr>
      <w:tr>
        <w:trPr>
          <w:trHeight w:val="245"/>
        </w:trPr>
        <w:tc>
          <w:tcPr>
            <w:tcW w:w="3980" w:type="dxa"/>
            <w:vAlign w:val="bottom"/>
            <w:shd w:val="clear" w:color="auto" w:fill="E5F1F8"/>
          </w:tcPr>
          <w:p>
            <w:pPr>
              <w:spacing w:after="0"/>
              <w:rPr>
                <w:sz w:val="21"/>
                <w:szCs w:val="21"/>
                <w:color w:val="auto"/>
              </w:rPr>
            </w:pPr>
          </w:p>
        </w:tc>
        <w:tc>
          <w:tcPr>
            <w:tcW w:w="1340" w:type="dxa"/>
            <w:vAlign w:val="bottom"/>
            <w:shd w:val="clear" w:color="auto" w:fill="E5F1F8"/>
          </w:tcPr>
          <w:p>
            <w:pPr>
              <w:spacing w:after="0"/>
              <w:rPr>
                <w:sz w:val="21"/>
                <w:szCs w:val="2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Introduction</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This Compensation Discussion and Analysis, or CD&amp;A, describes our 2019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named executive officers, or NEOs (the CEO, the CFO, and the three other most highly compensated executive officers in 2019) as presented below in the tables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following this CD&amp;A, which contain detailed compensation information quantifying and further explaining our NEOs’ compensation.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Arial" w:cs="Arial" w:eastAsia="Arial" w:hAnsi="Arial"/>
                <w:sz w:val="16"/>
                <w:szCs w:val="16"/>
                <w:color w:val="auto"/>
              </w:rPr>
              <w:t>For 2019, our NEOs were:</w:t>
            </w:r>
          </w:p>
        </w:tc>
        <w:tc>
          <w:tcPr>
            <w:tcW w:w="3260" w:type="dxa"/>
            <w:vAlign w:val="bottom"/>
          </w:tcPr>
          <w:p>
            <w:pPr>
              <w:spacing w:after="0"/>
              <w:rPr>
                <w:sz w:val="16"/>
                <w:szCs w:val="16"/>
                <w:color w:val="auto"/>
              </w:rPr>
            </w:pPr>
          </w:p>
        </w:tc>
      </w:tr>
      <w:tr>
        <w:trPr>
          <w:trHeight w:val="205"/>
        </w:trPr>
        <w:tc>
          <w:tcPr>
            <w:tcW w:w="20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53"/>
        </w:trPr>
        <w:tc>
          <w:tcPr>
            <w:tcW w:w="206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3260" w:type="dxa"/>
            <w:vAlign w:val="bottom"/>
            <w:shd w:val="clear" w:color="auto" w:fill="007CBA"/>
          </w:tcPr>
          <w:p>
            <w:pPr>
              <w:ind w:left="200"/>
              <w:spacing w:after="0"/>
              <w:rPr>
                <w:sz w:val="20"/>
                <w:szCs w:val="20"/>
                <w:color w:val="auto"/>
              </w:rPr>
            </w:pPr>
            <w:r>
              <w:rPr>
                <w:rFonts w:ascii="Arial" w:cs="Arial" w:eastAsia="Arial" w:hAnsi="Arial"/>
                <w:sz w:val="16"/>
                <w:szCs w:val="16"/>
                <w:b w:val="1"/>
                <w:bCs w:val="1"/>
                <w:color w:val="FFFFFF"/>
              </w:rPr>
              <w:t>Title</w:t>
            </w:r>
          </w:p>
        </w:tc>
      </w:tr>
      <w:tr>
        <w:trPr>
          <w:trHeight w:val="228"/>
        </w:trPr>
        <w:tc>
          <w:tcPr>
            <w:tcW w:w="2060" w:type="dxa"/>
            <w:vAlign w:val="bottom"/>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32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Chairman of the Board, President and</w:t>
            </w:r>
          </w:p>
        </w:tc>
      </w:tr>
      <w:tr>
        <w:trPr>
          <w:trHeight w:val="211"/>
        </w:trPr>
        <w:tc>
          <w:tcPr>
            <w:tcW w:w="2060" w:type="dxa"/>
            <w:vAlign w:val="bottom"/>
            <w:shd w:val="clear" w:color="auto" w:fill="E5F1F8"/>
          </w:tcPr>
          <w:p>
            <w:pPr>
              <w:spacing w:after="0"/>
              <w:rPr>
                <w:sz w:val="18"/>
                <w:szCs w:val="18"/>
                <w:color w:val="auto"/>
              </w:rPr>
            </w:pPr>
          </w:p>
        </w:tc>
        <w:tc>
          <w:tcPr>
            <w:tcW w:w="32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Chief Executive Officer</w:t>
            </w:r>
          </w:p>
        </w:tc>
      </w:tr>
      <w:tr>
        <w:trPr>
          <w:trHeight w:val="228"/>
        </w:trPr>
        <w:tc>
          <w:tcPr>
            <w:tcW w:w="2060" w:type="dxa"/>
            <w:vAlign w:val="bottom"/>
          </w:tcPr>
          <w:p>
            <w:pPr>
              <w:ind w:left="60"/>
              <w:spacing w:after="0"/>
              <w:rPr>
                <w:sz w:val="20"/>
                <w:szCs w:val="20"/>
                <w:color w:val="auto"/>
              </w:rPr>
            </w:pPr>
            <w:r>
              <w:rPr>
                <w:rFonts w:ascii="Arial" w:cs="Arial" w:eastAsia="Arial" w:hAnsi="Arial"/>
                <w:sz w:val="16"/>
                <w:szCs w:val="16"/>
                <w:color w:val="auto"/>
              </w:rPr>
              <w:t>James A. J. Nickolas</w:t>
            </w:r>
          </w:p>
        </w:tc>
        <w:tc>
          <w:tcPr>
            <w:tcW w:w="3260" w:type="dxa"/>
            <w:vAlign w:val="bottom"/>
          </w:tcPr>
          <w:p>
            <w:pPr>
              <w:ind w:left="200"/>
              <w:spacing w:after="0"/>
              <w:rPr>
                <w:sz w:val="20"/>
                <w:szCs w:val="20"/>
                <w:color w:val="auto"/>
              </w:rPr>
            </w:pPr>
            <w:r>
              <w:rPr>
                <w:rFonts w:ascii="Arial" w:cs="Arial" w:eastAsia="Arial" w:hAnsi="Arial"/>
                <w:sz w:val="16"/>
                <w:szCs w:val="16"/>
                <w:color w:val="auto"/>
              </w:rPr>
              <w:t>Senior   Vice   President   and   Chief</w:t>
            </w:r>
          </w:p>
        </w:tc>
      </w:tr>
      <w:tr>
        <w:trPr>
          <w:trHeight w:val="202"/>
        </w:trPr>
        <w:tc>
          <w:tcPr>
            <w:tcW w:w="2060" w:type="dxa"/>
            <w:vAlign w:val="bottom"/>
          </w:tcPr>
          <w:p>
            <w:pPr>
              <w:spacing w:after="0"/>
              <w:rPr>
                <w:sz w:val="17"/>
                <w:szCs w:val="17"/>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Financial Officer</w:t>
            </w:r>
          </w:p>
        </w:tc>
      </w:tr>
      <w:tr>
        <w:trPr>
          <w:trHeight w:val="238"/>
        </w:trPr>
        <w:tc>
          <w:tcPr>
            <w:tcW w:w="2060" w:type="dxa"/>
            <w:vAlign w:val="bottom"/>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32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Executive  Vice  President,  General</w:t>
            </w:r>
          </w:p>
        </w:tc>
      </w:tr>
      <w:tr>
        <w:trPr>
          <w:trHeight w:val="211"/>
        </w:trPr>
        <w:tc>
          <w:tcPr>
            <w:tcW w:w="2060" w:type="dxa"/>
            <w:vAlign w:val="bottom"/>
            <w:shd w:val="clear" w:color="auto" w:fill="E5F1F8"/>
          </w:tcPr>
          <w:p>
            <w:pPr>
              <w:spacing w:after="0"/>
              <w:rPr>
                <w:sz w:val="18"/>
                <w:szCs w:val="18"/>
                <w:color w:val="auto"/>
              </w:rPr>
            </w:pPr>
          </w:p>
        </w:tc>
        <w:tc>
          <w:tcPr>
            <w:tcW w:w="32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Counsel and Corporate Secretary</w:t>
            </w:r>
          </w:p>
        </w:tc>
      </w:tr>
      <w:tr>
        <w:trPr>
          <w:trHeight w:val="228"/>
        </w:trPr>
        <w:tc>
          <w:tcPr>
            <w:tcW w:w="2060" w:type="dxa"/>
            <w:vAlign w:val="bottom"/>
          </w:tcPr>
          <w:p>
            <w:pPr>
              <w:ind w:left="60"/>
              <w:spacing w:after="0"/>
              <w:rPr>
                <w:sz w:val="20"/>
                <w:szCs w:val="20"/>
                <w:color w:val="auto"/>
              </w:rPr>
            </w:pPr>
            <w:r>
              <w:rPr>
                <w:rFonts w:ascii="Arial" w:cs="Arial" w:eastAsia="Arial" w:hAnsi="Arial"/>
                <w:sz w:val="16"/>
                <w:szCs w:val="16"/>
                <w:color w:val="auto"/>
              </w:rPr>
              <w:t>Daniel L. Grant</w:t>
            </w:r>
          </w:p>
        </w:tc>
        <w:tc>
          <w:tcPr>
            <w:tcW w:w="3260" w:type="dxa"/>
            <w:vAlign w:val="bottom"/>
          </w:tcPr>
          <w:p>
            <w:pPr>
              <w:ind w:left="200"/>
              <w:spacing w:after="0"/>
              <w:rPr>
                <w:sz w:val="20"/>
                <w:szCs w:val="20"/>
                <w:color w:val="auto"/>
              </w:rPr>
            </w:pPr>
            <w:r>
              <w:rPr>
                <w:rFonts w:ascii="Arial" w:cs="Arial" w:eastAsia="Arial" w:hAnsi="Arial"/>
                <w:sz w:val="16"/>
                <w:szCs w:val="16"/>
                <w:color w:val="auto"/>
              </w:rPr>
              <w:t>Senior Vice President – Strategy and</w:t>
            </w:r>
          </w:p>
        </w:tc>
      </w:tr>
      <w:tr>
        <w:trPr>
          <w:trHeight w:val="202"/>
        </w:trPr>
        <w:tc>
          <w:tcPr>
            <w:tcW w:w="2060" w:type="dxa"/>
            <w:vAlign w:val="bottom"/>
          </w:tcPr>
          <w:p>
            <w:pPr>
              <w:spacing w:after="0"/>
              <w:rPr>
                <w:sz w:val="17"/>
                <w:szCs w:val="17"/>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Development</w:t>
            </w:r>
          </w:p>
        </w:tc>
      </w:tr>
      <w:tr>
        <w:trPr>
          <w:trHeight w:val="238"/>
        </w:trPr>
        <w:tc>
          <w:tcPr>
            <w:tcW w:w="2060" w:type="dxa"/>
            <w:vAlign w:val="bottom"/>
            <w:shd w:val="clear" w:color="auto" w:fill="E5F1F8"/>
          </w:tcPr>
          <w:p>
            <w:pPr>
              <w:ind w:left="60"/>
              <w:spacing w:after="0"/>
              <w:rPr>
                <w:sz w:val="20"/>
                <w:szCs w:val="20"/>
                <w:color w:val="auto"/>
              </w:rPr>
            </w:pPr>
            <w:r>
              <w:rPr>
                <w:rFonts w:ascii="Arial" w:cs="Arial" w:eastAsia="Arial" w:hAnsi="Arial"/>
                <w:sz w:val="16"/>
                <w:szCs w:val="16"/>
                <w:color w:val="auto"/>
              </w:rPr>
              <w:t>Craig M. LaTorre</w:t>
            </w:r>
          </w:p>
        </w:tc>
        <w:tc>
          <w:tcPr>
            <w:tcW w:w="3260" w:type="dxa"/>
            <w:vAlign w:val="bottom"/>
            <w:shd w:val="clear" w:color="auto" w:fill="E5F1F8"/>
          </w:tcPr>
          <w:p>
            <w:pPr>
              <w:ind w:left="200"/>
              <w:spacing w:after="0"/>
              <w:rPr>
                <w:sz w:val="20"/>
                <w:szCs w:val="20"/>
                <w:color w:val="auto"/>
              </w:rPr>
            </w:pPr>
            <w:r>
              <w:rPr>
                <w:rFonts w:ascii="Arial" w:cs="Arial" w:eastAsia="Arial" w:hAnsi="Arial"/>
                <w:sz w:val="16"/>
                <w:szCs w:val="16"/>
                <w:color w:val="auto"/>
              </w:rPr>
              <w:t>Senior Vice President and Chief Human</w:t>
            </w:r>
          </w:p>
        </w:tc>
      </w:tr>
      <w:tr>
        <w:trPr>
          <w:trHeight w:val="205"/>
        </w:trPr>
        <w:tc>
          <w:tcPr>
            <w:tcW w:w="2060" w:type="dxa"/>
            <w:vAlign w:val="bottom"/>
            <w:tcBorders>
              <w:bottom w:val="single" w:sz="8" w:color="007CBA"/>
            </w:tcBorders>
            <w:shd w:val="clear" w:color="auto" w:fill="E5F1F8"/>
          </w:tcPr>
          <w:p>
            <w:pPr>
              <w:spacing w:after="0"/>
              <w:rPr>
                <w:sz w:val="17"/>
                <w:szCs w:val="17"/>
                <w:color w:val="auto"/>
              </w:rPr>
            </w:pPr>
          </w:p>
        </w:tc>
        <w:tc>
          <w:tcPr>
            <w:tcW w:w="3260" w:type="dxa"/>
            <w:vAlign w:val="bottom"/>
            <w:tcBorders>
              <w:bottom w:val="single" w:sz="8" w:color="007CBA"/>
            </w:tcBorders>
            <w:shd w:val="clear" w:color="auto" w:fill="E5F1F8"/>
          </w:tcPr>
          <w:p>
            <w:pPr>
              <w:ind w:left="200"/>
              <w:spacing w:after="0"/>
              <w:rPr>
                <w:sz w:val="20"/>
                <w:szCs w:val="20"/>
                <w:color w:val="auto"/>
              </w:rPr>
            </w:pPr>
            <w:r>
              <w:rPr>
                <w:rFonts w:ascii="Arial" w:cs="Arial" w:eastAsia="Arial" w:hAnsi="Arial"/>
                <w:sz w:val="16"/>
                <w:szCs w:val="16"/>
                <w:color w:val="auto"/>
              </w:rPr>
              <w:t>Resources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177800</wp:posOffset>
            </wp:positionV>
            <wp:extent cx="406400" cy="2451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14" w:lineRule="exact"/>
        <w:rPr>
          <w:sz w:val="20"/>
          <w:szCs w:val="20"/>
          <w:color w:val="auto"/>
        </w:rPr>
      </w:pPr>
    </w:p>
    <w:p>
      <w:pPr>
        <w:ind w:left="620" w:hanging="433"/>
        <w:spacing w:after="0"/>
        <w:tabs>
          <w:tab w:leader="none" w:pos="620" w:val="left"/>
        </w:tabs>
        <w:numPr>
          <w:ilvl w:val="0"/>
          <w:numId w:val="86"/>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Executive Summary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Executive Summary</w:t>
      </w:r>
    </w:p>
    <w:p>
      <w:pPr>
        <w:sectPr>
          <w:pgSz w:w="11900" w:h="16838" w:orient="portrait"/>
          <w:cols w:equalWidth="0" w:num="1">
            <w:col w:w="11060"/>
          </w:cols>
          <w:pgMar w:left="320" w:top="455" w:right="519" w:bottom="1440" w:gutter="0" w:footer="0" w:header="0"/>
        </w:sectPr>
      </w:pPr>
    </w:p>
    <w:p>
      <w:pPr>
        <w:spacing w:after="0" w:line="303"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We are committed to maintaining strong pay and governance practices in which compensation is tied to performance. The Committee hired Mercer, a leading independent consulting firm to help in this regard.</w:t>
      </w:r>
    </w:p>
    <w:p>
      <w:pPr>
        <w:spacing w:after="0" w:line="17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Committee feels strongly that our executive compensation programs should evolve and be adjusted over time to support the achievement of our business goals, to reflect our challenges, and to promote both the near- and long-term profitable growth of Martin Marietta. During 2019, the Committee reviewed and evaluated market trends and best practices in designing and implementing elements of our compensation program. The Committee continues to believe that the goals for our executive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compensation programs are to incentivize and reward achievements that create value for our shareholders.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annual incentives are based on the achievement of various performance metrics, including overall financial performance, shareholder returns, safety performance, sustainability, environmental and regulatory compliance results, management of working capital, and organic and inorganic growth. Our long-term incentives are designed to align executives with shareholder interests and to tie incentives with long-term goals. To ensure our plans achieve these goals, we conduct an annual assessment of compensation practices, which are more fully described below.</w:t>
      </w:r>
    </w:p>
    <w:p>
      <w:pPr>
        <w:spacing w:after="0" w:line="20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1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Shareholder Engagement and Feedback on 2019 Say On Pay</w:t>
      </w:r>
    </w:p>
    <w:p>
      <w:pPr>
        <w:spacing w:after="0" w:line="223" w:lineRule="exact"/>
        <w:rPr>
          <w:sz w:val="20"/>
          <w:szCs w:val="20"/>
          <w:color w:val="auto"/>
        </w:rPr>
      </w:pPr>
    </w:p>
    <w:p>
      <w:pPr>
        <w:jc w:val="both"/>
        <w:ind w:left="180"/>
        <w:spacing w:after="0" w:line="246" w:lineRule="auto"/>
        <w:rPr>
          <w:sz w:val="20"/>
          <w:szCs w:val="20"/>
          <w:color w:val="auto"/>
        </w:rPr>
      </w:pPr>
      <w:r>
        <w:rPr>
          <w:rFonts w:ascii="Arial" w:cs="Arial" w:eastAsia="Arial" w:hAnsi="Arial"/>
          <w:sz w:val="16"/>
          <w:szCs w:val="16"/>
          <w:color w:val="auto"/>
        </w:rPr>
        <w:t>We regularly engage with our shareholders to understand the topics that matter most to them as they relate to executive compensation. We view a continuing, constructive dialogue with our long-term shareholders as critically important to ensuring that we remain aligned with their interests. We regularly talk to long-term shareholders and appreciate the opportunity to gain further insight and understanding into their views. Typically, we speak with our top 25 shareholders, representing 70% of our outstanding shares, at least annually. In 2019 our investor relations outreach extended to 82 meetings with 189 investment groups in the United States, Canada, the United Kingdom, Sweden, Belgium, the Netherlands, and France.</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5940" w:type="dxa"/>
            <w:vAlign w:val="bottom"/>
          </w:tcPr>
          <w:p>
            <w:pPr>
              <w:spacing w:after="0"/>
              <w:rPr>
                <w:sz w:val="20"/>
                <w:szCs w:val="20"/>
                <w:color w:val="auto"/>
              </w:rPr>
            </w:pPr>
            <w:r>
              <w:rPr>
                <w:rFonts w:ascii="Arial" w:cs="Arial" w:eastAsia="Arial" w:hAnsi="Arial"/>
                <w:sz w:val="16"/>
                <w:szCs w:val="16"/>
                <w:b w:val="1"/>
                <w:bCs w:val="1"/>
                <w:color w:val="auto"/>
              </w:rPr>
              <w:t>Avenues of engagement</w:t>
            </w:r>
          </w:p>
        </w:tc>
        <w:tc>
          <w:tcPr>
            <w:tcW w:w="4380" w:type="dxa"/>
            <w:vAlign w:val="bottom"/>
            <w:gridSpan w:val="2"/>
          </w:tcPr>
          <w:p>
            <w:pPr>
              <w:ind w:left="280"/>
              <w:spacing w:after="0"/>
              <w:rPr>
                <w:sz w:val="20"/>
                <w:szCs w:val="20"/>
                <w:color w:val="auto"/>
              </w:rPr>
            </w:pPr>
            <w:r>
              <w:rPr>
                <w:rFonts w:ascii="Arial" w:cs="Arial" w:eastAsia="Arial" w:hAnsi="Arial"/>
                <w:sz w:val="16"/>
                <w:szCs w:val="16"/>
                <w:b w:val="1"/>
                <w:bCs w:val="1"/>
                <w:color w:val="auto"/>
              </w:rPr>
              <w:t>Discussion highlights</w:t>
            </w:r>
          </w:p>
        </w:tc>
      </w:tr>
      <w:tr>
        <w:trPr>
          <w:trHeight w:val="253"/>
        </w:trPr>
        <w:tc>
          <w:tcPr>
            <w:tcW w:w="5940" w:type="dxa"/>
            <w:vAlign w:val="bottom"/>
          </w:tcPr>
          <w:p>
            <w:pPr>
              <w:ind w:left="560"/>
              <w:spacing w:after="0"/>
              <w:rPr>
                <w:sz w:val="20"/>
                <w:szCs w:val="20"/>
                <w:color w:val="auto"/>
              </w:rPr>
            </w:pPr>
            <w:r>
              <w:rPr>
                <w:rFonts w:ascii="Arial" w:cs="Arial" w:eastAsia="Arial" w:hAnsi="Arial"/>
                <w:sz w:val="16"/>
                <w:szCs w:val="16"/>
                <w:color w:val="auto"/>
              </w:rPr>
              <w:t>We hold in-person meetings with investor groups across the globe</w:t>
            </w:r>
          </w:p>
        </w:tc>
        <w:tc>
          <w:tcPr>
            <w:tcW w:w="460" w:type="dxa"/>
            <w:vAlign w:val="bottom"/>
          </w:tcPr>
          <w:p>
            <w:pPr>
              <w:ind w:left="280"/>
              <w:spacing w:after="0"/>
              <w:rPr>
                <w:sz w:val="20"/>
                <w:szCs w:val="20"/>
                <w:color w:val="auto"/>
              </w:rPr>
            </w:pPr>
            <w:r>
              <w:rPr>
                <w:rFonts w:ascii="Arial" w:cs="Arial" w:eastAsia="Arial" w:hAnsi="Arial"/>
                <w:sz w:val="16"/>
                <w:szCs w:val="16"/>
                <w:color w:val="007CBA"/>
              </w:rPr>
              <w:t>›</w:t>
            </w:r>
          </w:p>
        </w:tc>
        <w:tc>
          <w:tcPr>
            <w:tcW w:w="3920" w:type="dxa"/>
            <w:vAlign w:val="bottom"/>
          </w:tcPr>
          <w:p>
            <w:pPr>
              <w:ind w:left="140"/>
              <w:spacing w:after="0"/>
              <w:rPr>
                <w:sz w:val="20"/>
                <w:szCs w:val="20"/>
                <w:color w:val="auto"/>
              </w:rPr>
            </w:pPr>
            <w:r>
              <w:rPr>
                <w:rFonts w:ascii="Arial" w:cs="Arial" w:eastAsia="Arial" w:hAnsi="Arial"/>
                <w:sz w:val="16"/>
                <w:szCs w:val="16"/>
                <w:color w:val="auto"/>
                <w:w w:val="99"/>
              </w:rPr>
              <w:t>Financial and operating performance of the Company</w:t>
            </w:r>
          </w:p>
        </w:tc>
      </w:tr>
      <w:tr>
        <w:trPr>
          <w:trHeight w:val="333"/>
        </w:trPr>
        <w:tc>
          <w:tcPr>
            <w:tcW w:w="5940" w:type="dxa"/>
            <w:vAlign w:val="bottom"/>
          </w:tcPr>
          <w:p>
            <w:pPr>
              <w:ind w:left="560"/>
              <w:spacing w:after="0"/>
              <w:rPr>
                <w:sz w:val="20"/>
                <w:szCs w:val="20"/>
                <w:color w:val="auto"/>
              </w:rPr>
            </w:pPr>
            <w:r>
              <w:rPr>
                <w:rFonts w:ascii="Arial" w:cs="Arial" w:eastAsia="Arial" w:hAnsi="Arial"/>
                <w:sz w:val="16"/>
                <w:szCs w:val="16"/>
                <w:color w:val="auto"/>
              </w:rPr>
              <w:t>We conduct quarterly conference calls with analysts</w:t>
            </w:r>
          </w:p>
        </w:tc>
        <w:tc>
          <w:tcPr>
            <w:tcW w:w="460" w:type="dxa"/>
            <w:vAlign w:val="bottom"/>
          </w:tcPr>
          <w:p>
            <w:pPr>
              <w:ind w:left="280"/>
              <w:spacing w:after="0"/>
              <w:rPr>
                <w:sz w:val="20"/>
                <w:szCs w:val="20"/>
                <w:color w:val="auto"/>
              </w:rPr>
            </w:pPr>
            <w:r>
              <w:rPr>
                <w:rFonts w:ascii="Arial" w:cs="Arial" w:eastAsia="Arial" w:hAnsi="Arial"/>
                <w:sz w:val="16"/>
                <w:szCs w:val="16"/>
                <w:color w:val="007CBA"/>
              </w:rPr>
              <w:t>›</w:t>
            </w:r>
          </w:p>
        </w:tc>
        <w:tc>
          <w:tcPr>
            <w:tcW w:w="3920" w:type="dxa"/>
            <w:vAlign w:val="bottom"/>
          </w:tcPr>
          <w:p>
            <w:pPr>
              <w:ind w:left="140"/>
              <w:spacing w:after="0"/>
              <w:rPr>
                <w:sz w:val="20"/>
                <w:szCs w:val="20"/>
                <w:color w:val="auto"/>
              </w:rPr>
            </w:pPr>
            <w:r>
              <w:rPr>
                <w:rFonts w:ascii="Arial" w:cs="Arial" w:eastAsia="Arial" w:hAnsi="Arial"/>
                <w:sz w:val="16"/>
                <w:szCs w:val="16"/>
                <w:color w:val="auto"/>
              </w:rPr>
              <w:t>Executive compensation, pay-for-performance</w:t>
            </w:r>
          </w:p>
        </w:tc>
      </w:tr>
      <w:tr>
        <w:trPr>
          <w:trHeight w:val="367"/>
        </w:trPr>
        <w:tc>
          <w:tcPr>
            <w:tcW w:w="5940" w:type="dxa"/>
            <w:vAlign w:val="bottom"/>
          </w:tcPr>
          <w:p>
            <w:pPr>
              <w:ind w:left="560"/>
              <w:spacing w:after="0"/>
              <w:rPr>
                <w:sz w:val="20"/>
                <w:szCs w:val="20"/>
                <w:color w:val="auto"/>
              </w:rPr>
            </w:pPr>
            <w:r>
              <w:rPr>
                <w:rFonts w:ascii="Arial" w:cs="Arial" w:eastAsia="Arial" w:hAnsi="Arial"/>
                <w:sz w:val="16"/>
                <w:szCs w:val="16"/>
                <w:color w:val="auto"/>
              </w:rPr>
              <w:t>We engage with investors continually through meetings, calls and</w:t>
            </w:r>
          </w:p>
        </w:tc>
        <w:tc>
          <w:tcPr>
            <w:tcW w:w="460" w:type="dxa"/>
            <w:vAlign w:val="bottom"/>
          </w:tcPr>
          <w:p>
            <w:pPr>
              <w:ind w:left="280"/>
              <w:spacing w:after="0"/>
              <w:rPr>
                <w:sz w:val="20"/>
                <w:szCs w:val="20"/>
                <w:color w:val="auto"/>
              </w:rPr>
            </w:pPr>
            <w:r>
              <w:rPr>
                <w:rFonts w:ascii="Arial" w:cs="Arial" w:eastAsia="Arial" w:hAnsi="Arial"/>
                <w:sz w:val="16"/>
                <w:szCs w:val="16"/>
                <w:color w:val="007CBA"/>
              </w:rPr>
              <w:t>›</w:t>
            </w:r>
          </w:p>
        </w:tc>
        <w:tc>
          <w:tcPr>
            <w:tcW w:w="3920" w:type="dxa"/>
            <w:vAlign w:val="bottom"/>
          </w:tcPr>
          <w:p>
            <w:pPr>
              <w:ind w:left="140"/>
              <w:spacing w:after="0"/>
              <w:rPr>
                <w:sz w:val="20"/>
                <w:szCs w:val="20"/>
                <w:color w:val="auto"/>
              </w:rPr>
            </w:pPr>
            <w:r>
              <w:rPr>
                <w:rFonts w:ascii="Arial" w:cs="Arial" w:eastAsia="Arial" w:hAnsi="Arial"/>
                <w:sz w:val="16"/>
                <w:szCs w:val="16"/>
                <w:color w:val="auto"/>
              </w:rPr>
              <w:t>Safety, environment and sustainability</w:t>
            </w:r>
          </w:p>
        </w:tc>
      </w:tr>
      <w:tr>
        <w:trPr>
          <w:trHeight w:val="193"/>
        </w:trPr>
        <w:tc>
          <w:tcPr>
            <w:tcW w:w="5940" w:type="dxa"/>
            <w:vAlign w:val="bottom"/>
          </w:tcPr>
          <w:p>
            <w:pPr>
              <w:ind w:left="560"/>
              <w:spacing w:after="0"/>
              <w:rPr>
                <w:sz w:val="20"/>
                <w:szCs w:val="20"/>
                <w:color w:val="auto"/>
              </w:rPr>
            </w:pPr>
            <w:r>
              <w:rPr>
                <w:rFonts w:ascii="Arial" w:cs="Arial" w:eastAsia="Arial" w:hAnsi="Arial"/>
                <w:sz w:val="16"/>
                <w:szCs w:val="16"/>
                <w:color w:val="auto"/>
              </w:rPr>
              <w:t>emails</w:t>
            </w:r>
          </w:p>
        </w:tc>
        <w:tc>
          <w:tcPr>
            <w:tcW w:w="46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74"/>
        </w:trPr>
        <w:tc>
          <w:tcPr>
            <w:tcW w:w="5940" w:type="dxa"/>
            <w:vAlign w:val="bottom"/>
          </w:tcPr>
          <w:p>
            <w:pPr>
              <w:ind w:left="560"/>
              <w:spacing w:after="0"/>
              <w:rPr>
                <w:sz w:val="20"/>
                <w:szCs w:val="20"/>
                <w:color w:val="auto"/>
              </w:rPr>
            </w:pPr>
            <w:r>
              <w:rPr>
                <w:rFonts w:ascii="Arial" w:cs="Arial" w:eastAsia="Arial" w:hAnsi="Arial"/>
                <w:sz w:val="16"/>
                <w:szCs w:val="16"/>
                <w:color w:val="auto"/>
              </w:rPr>
              <w:t>We report investor feedback to the Committee and the Board to assist in</w:t>
            </w:r>
          </w:p>
        </w:tc>
        <w:tc>
          <w:tcPr>
            <w:tcW w:w="460" w:type="dxa"/>
            <w:vAlign w:val="bottom"/>
          </w:tcPr>
          <w:p>
            <w:pPr>
              <w:ind w:left="280"/>
              <w:spacing w:after="0"/>
              <w:rPr>
                <w:sz w:val="20"/>
                <w:szCs w:val="20"/>
                <w:color w:val="auto"/>
              </w:rPr>
            </w:pPr>
            <w:r>
              <w:rPr>
                <w:rFonts w:ascii="Arial" w:cs="Arial" w:eastAsia="Arial" w:hAnsi="Arial"/>
                <w:sz w:val="16"/>
                <w:szCs w:val="16"/>
                <w:color w:val="007CBA"/>
              </w:rPr>
              <w:t>›</w:t>
            </w:r>
          </w:p>
        </w:tc>
        <w:tc>
          <w:tcPr>
            <w:tcW w:w="3920" w:type="dxa"/>
            <w:vAlign w:val="bottom"/>
          </w:tcPr>
          <w:p>
            <w:pPr>
              <w:ind w:left="140"/>
              <w:spacing w:after="0"/>
              <w:rPr>
                <w:sz w:val="20"/>
                <w:szCs w:val="20"/>
                <w:color w:val="auto"/>
              </w:rPr>
            </w:pPr>
            <w:r>
              <w:rPr>
                <w:rFonts w:ascii="Arial" w:cs="Arial" w:eastAsia="Arial" w:hAnsi="Arial"/>
                <w:sz w:val="16"/>
                <w:szCs w:val="16"/>
                <w:color w:val="auto"/>
              </w:rPr>
              <w:t>Ongoing company strategy</w:t>
            </w:r>
          </w:p>
        </w:tc>
      </w:tr>
      <w:tr>
        <w:trPr>
          <w:trHeight w:val="193"/>
        </w:trPr>
        <w:tc>
          <w:tcPr>
            <w:tcW w:w="5940" w:type="dxa"/>
            <w:vAlign w:val="bottom"/>
          </w:tcPr>
          <w:p>
            <w:pPr>
              <w:ind w:left="560"/>
              <w:spacing w:after="0"/>
              <w:rPr>
                <w:sz w:val="20"/>
                <w:szCs w:val="20"/>
                <w:color w:val="auto"/>
              </w:rPr>
            </w:pPr>
            <w:r>
              <w:rPr>
                <w:rFonts w:ascii="Arial" w:cs="Arial" w:eastAsia="Arial" w:hAnsi="Arial"/>
                <w:sz w:val="16"/>
                <w:szCs w:val="16"/>
                <w:color w:val="auto"/>
              </w:rPr>
              <w:t>aligning pay and performance</w:t>
            </w:r>
          </w:p>
        </w:tc>
        <w:tc>
          <w:tcPr>
            <w:tcW w:w="460" w:type="dxa"/>
            <w:vAlign w:val="bottom"/>
          </w:tcPr>
          <w:p>
            <w:pPr>
              <w:spacing w:after="0"/>
              <w:rPr>
                <w:sz w:val="16"/>
                <w:szCs w:val="16"/>
                <w:color w:val="auto"/>
              </w:rPr>
            </w:pPr>
          </w:p>
        </w:tc>
        <w:tc>
          <w:tcPr>
            <w:tcW w:w="3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-986155</wp:posOffset>
            </wp:positionV>
            <wp:extent cx="228600" cy="1606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8600" cy="1606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-774700</wp:posOffset>
            </wp:positionV>
            <wp:extent cx="186055" cy="186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6055" cy="186055"/>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-537845</wp:posOffset>
            </wp:positionV>
            <wp:extent cx="228600" cy="2451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8600" cy="24511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-207645</wp:posOffset>
            </wp:positionV>
            <wp:extent cx="245110" cy="169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5110" cy="169545"/>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type w:val="continuous"/>
        </w:sectPr>
      </w:pPr>
    </w:p>
    <w:p>
      <w:pPr>
        <w:spacing w:after="0" w:line="274"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also have a history of being responsive to our shareholders. At our 2017 Annual Meeting, a nonbinding advisory shareholder proposal to adopt a proxy access Bylaw was supported by a majority of the shares that voted on the proposal. Martin Marietta engaged in discussion with some of our largest shareholders regarding proxy access and, while not unanimous in their view, they generally supported the concept of proxy access. Based on the vote, these discussions, and additional dialogue with the proposal’s proponent, the Board amended our Bylaws in February 2018 to implement proxy access.</w:t>
      </w:r>
    </w:p>
    <w:p>
      <w:pPr>
        <w:spacing w:after="0" w:line="169"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In April 2018, we received a favorable 78.9% Say On Pay vote. The 78.9% vote was lower than we had typically experienced and it related to a concern regarding the inclusion of an excise tax gross-up and walk-right in our legacy change in control agreements. We spoke to many of our shareholders in 2018, including most of our top 30 shareholders, and listened to their feedback. Based on that, we made meaningful changes to our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compensation arrangements intended to be responsive to the concerns raised. We believe that as a result of these changes and our responsiveness, we received a favorable Say On Pay vote of 92% at our 2019 Annual Meeting of Shareholders.</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As a reflection of our commitment to shareholders, </w:t>
      </w:r>
      <w:r>
        <w:rPr>
          <w:rFonts w:ascii="Arial" w:cs="Arial" w:eastAsia="Arial" w:hAnsi="Arial"/>
          <w:sz w:val="16"/>
          <w:szCs w:val="16"/>
          <w:i w:val="1"/>
          <w:iCs w:val="1"/>
          <w:color w:val="auto"/>
        </w:rPr>
        <w:t>Institutional Investor</w:t>
      </w:r>
      <w:r>
        <w:rPr>
          <w:rFonts w:ascii="Arial" w:cs="Arial" w:eastAsia="Arial" w:hAnsi="Arial"/>
          <w:sz w:val="16"/>
          <w:szCs w:val="16"/>
          <w:color w:val="auto"/>
        </w:rPr>
        <w:t xml:space="preserve"> named Martin Marietta to its </w:t>
      </w:r>
      <w:r>
        <w:rPr>
          <w:rFonts w:ascii="Arial" w:cs="Arial" w:eastAsia="Arial" w:hAnsi="Arial"/>
          <w:sz w:val="16"/>
          <w:szCs w:val="16"/>
          <w:i w:val="1"/>
          <w:iCs w:val="1"/>
          <w:color w:val="auto"/>
        </w:rPr>
        <w:t>All-America Executive Team 2020</w:t>
      </w:r>
      <w:r>
        <w:rPr>
          <w:rFonts w:ascii="Arial" w:cs="Arial" w:eastAsia="Arial" w:hAnsi="Arial"/>
          <w:sz w:val="16"/>
          <w:szCs w:val="16"/>
          <w:color w:val="auto"/>
        </w:rPr>
        <w:t xml:space="preserve">. Martin Marietta ranked in the top three for </w:t>
      </w:r>
      <w:r>
        <w:rPr>
          <w:rFonts w:ascii="Arial" w:cs="Arial" w:eastAsia="Arial" w:hAnsi="Arial"/>
          <w:sz w:val="16"/>
          <w:szCs w:val="16"/>
          <w:i w:val="1"/>
          <w:iCs w:val="1"/>
          <w:color w:val="auto"/>
        </w:rPr>
        <w:t>Best CEO</w:t>
      </w:r>
      <w:r>
        <w:rPr>
          <w:rFonts w:ascii="Arial" w:cs="Arial" w:eastAsia="Arial" w:hAnsi="Arial"/>
          <w:sz w:val="16"/>
          <w:szCs w:val="16"/>
          <w:color w:val="auto"/>
        </w:rPr>
        <w:t xml:space="preserve">, </w:t>
      </w:r>
      <w:r>
        <w:rPr>
          <w:rFonts w:ascii="Arial" w:cs="Arial" w:eastAsia="Arial" w:hAnsi="Arial"/>
          <w:sz w:val="16"/>
          <w:szCs w:val="16"/>
          <w:i w:val="1"/>
          <w:iCs w:val="1"/>
          <w:color w:val="auto"/>
        </w:rPr>
        <w:t>Best CFO</w:t>
      </w:r>
      <w:r>
        <w:rPr>
          <w:rFonts w:ascii="Arial" w:cs="Arial" w:eastAsia="Arial" w:hAnsi="Arial"/>
          <w:sz w:val="16"/>
          <w:szCs w:val="16"/>
          <w:color w:val="auto"/>
        </w:rPr>
        <w:t xml:space="preserve"> and </w:t>
      </w:r>
      <w:r>
        <w:rPr>
          <w:rFonts w:ascii="Arial" w:cs="Arial" w:eastAsia="Arial" w:hAnsi="Arial"/>
          <w:sz w:val="16"/>
          <w:szCs w:val="16"/>
          <w:i w:val="1"/>
          <w:iCs w:val="1"/>
          <w:color w:val="auto"/>
        </w:rPr>
        <w:t>Best 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Professional </w:t>
      </w:r>
      <w:r>
        <w:rPr>
          <w:rFonts w:ascii="Arial" w:cs="Arial" w:eastAsia="Arial" w:hAnsi="Arial"/>
          <w:sz w:val="16"/>
          <w:szCs w:val="16"/>
          <w:color w:val="auto"/>
        </w:rPr>
        <w:t>in the</w:t>
      </w:r>
      <w:r>
        <w:rPr>
          <w:rFonts w:ascii="Arial" w:cs="Arial" w:eastAsia="Arial" w:hAnsi="Arial"/>
          <w:sz w:val="16"/>
          <w:szCs w:val="16"/>
          <w:i w:val="1"/>
          <w:iCs w:val="1"/>
          <w:color w:val="auto"/>
        </w:rPr>
        <w:t xml:space="preserve"> Homebuilders &amp; Building Products </w:t>
      </w:r>
      <w:r>
        <w:rPr>
          <w:rFonts w:ascii="Arial" w:cs="Arial" w:eastAsia="Arial" w:hAnsi="Arial"/>
          <w:sz w:val="16"/>
          <w:szCs w:val="16"/>
          <w:color w:val="auto"/>
        </w:rPr>
        <w:t>category.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contributing to the Company’s high marks include accessibility of senior executives, timely and appropriate disclosures, quick and thorough responses to questions, and a well-informed and empowered investor relations team.</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consider the input of our shareholders, along with emerging best practices, to ensure alignment with our executive pay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301625</wp:posOffset>
            </wp:positionV>
            <wp:extent cx="406400" cy="2451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03"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35</w:t>
            </w:r>
          </w:p>
        </w:tc>
      </w:tr>
    </w:tbl>
    <w:p>
      <w:pPr>
        <w:sectPr>
          <w:pgSz w:w="11900" w:h="16838" w:orient="portrait"/>
          <w:cols w:equalWidth="0" w:num="1">
            <w:col w:w="11060"/>
          </w:cols>
          <w:pgMar w:left="320" w:top="455" w:right="51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Our 2019 Performance</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Our 2019 Performance</w:t>
      </w:r>
    </w:p>
    <w:p>
      <w:pPr>
        <w:spacing w:after="0" w:line="218" w:lineRule="exact"/>
        <w:rPr>
          <w:sz w:val="20"/>
          <w:szCs w:val="20"/>
          <w:color w:val="auto"/>
        </w:rPr>
      </w:pPr>
    </w:p>
    <w:p>
      <w:pPr>
        <w:jc w:val="both"/>
        <w:ind w:left="180"/>
        <w:spacing w:after="0" w:line="210" w:lineRule="auto"/>
        <w:rPr>
          <w:sz w:val="20"/>
          <w:szCs w:val="20"/>
          <w:color w:val="auto"/>
        </w:rPr>
      </w:pPr>
      <w:r>
        <w:rPr>
          <w:rFonts w:ascii="Arial" w:cs="Arial" w:eastAsia="Arial" w:hAnsi="Arial"/>
          <w:sz w:val="16"/>
          <w:szCs w:val="16"/>
          <w:color w:val="auto"/>
        </w:rPr>
        <w:t>Building on prior year success, 2019 proved to be another year of outstanding performance. As we marked our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year as a public company, we also achieved our eighth consecutive year of growth for revenues, adjusted gross profit, adjusted EBITDA and adjusted earnings per diluted share (after adjusting for one-time earnings per diluted share benefit in 2017, resulting from the Tax Cuts and Jobs Act of 2017). With continued focus on operational excellence and world-class safety, the Company delivered excellent results in 2019, and increased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132080</wp:posOffset>
            </wp:positionV>
            <wp:extent cx="414655" cy="4146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4655" cy="414655"/>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230" w:lineRule="exact"/>
        <w:rPr>
          <w:sz w:val="20"/>
          <w:szCs w:val="20"/>
          <w:color w:val="auto"/>
        </w:rPr>
      </w:pPr>
    </w:p>
    <w:p>
      <w:pPr>
        <w:jc w:val="both"/>
        <w:ind w:left="1080" w:right="640"/>
        <w:spacing w:after="0" w:line="262" w:lineRule="auto"/>
        <w:rPr>
          <w:sz w:val="20"/>
          <w:szCs w:val="20"/>
          <w:color w:val="auto"/>
        </w:rPr>
      </w:pPr>
      <w:r>
        <w:rPr>
          <w:rFonts w:ascii="Arial" w:cs="Arial" w:eastAsia="Arial" w:hAnsi="Arial"/>
          <w:sz w:val="16"/>
          <w:szCs w:val="16"/>
          <w:b w:val="1"/>
          <w:bCs w:val="1"/>
          <w:color w:val="007CBA"/>
        </w:rPr>
        <w:t xml:space="preserve">Net Earnings </w:t>
      </w:r>
      <w:r>
        <w:rPr>
          <w:rFonts w:ascii="Arial" w:cs="Arial" w:eastAsia="Arial" w:hAnsi="Arial"/>
          <w:sz w:val="16"/>
          <w:szCs w:val="16"/>
          <w:color w:val="000000"/>
        </w:rPr>
        <w:t>attributable to Martin Marietta of $612 million</w:t>
      </w:r>
      <w:r>
        <w:rPr>
          <w:rFonts w:ascii="Arial" w:cs="Arial" w:eastAsia="Arial" w:hAnsi="Arial"/>
          <w:sz w:val="16"/>
          <w:szCs w:val="16"/>
          <w:b w:val="1"/>
          <w:bCs w:val="1"/>
          <w:color w:val="007CBA"/>
        </w:rPr>
        <w:t xml:space="preserve"> </w:t>
      </w:r>
      <w:r>
        <w:rPr>
          <w:rFonts w:ascii="Arial" w:cs="Arial" w:eastAsia="Arial" w:hAnsi="Arial"/>
          <w:sz w:val="16"/>
          <w:szCs w:val="16"/>
          <w:color w:val="000000"/>
        </w:rPr>
        <w:t xml:space="preserve">and </w:t>
      </w:r>
      <w:r>
        <w:rPr>
          <w:rFonts w:ascii="Arial" w:cs="Arial" w:eastAsia="Arial" w:hAnsi="Arial"/>
          <w:sz w:val="16"/>
          <w:szCs w:val="16"/>
          <w:color w:val="007CBA"/>
        </w:rPr>
        <w:t>Adjusted EBITDA* of</w:t>
      </w:r>
      <w:r>
        <w:rPr>
          <w:rFonts w:ascii="Arial" w:cs="Arial" w:eastAsia="Arial" w:hAnsi="Arial"/>
          <w:sz w:val="16"/>
          <w:szCs w:val="16"/>
          <w:color w:val="000000"/>
        </w:rPr>
        <w:t xml:space="preserve"> </w:t>
      </w:r>
      <w:r>
        <w:rPr>
          <w:rFonts w:ascii="Arial" w:cs="Arial" w:eastAsia="Arial" w:hAnsi="Arial"/>
          <w:sz w:val="16"/>
          <w:szCs w:val="16"/>
          <w:b w:val="1"/>
          <w:bCs w:val="1"/>
          <w:color w:val="007CBA"/>
        </w:rPr>
        <w:t>$1.255 BILLION,</w:t>
      </w:r>
      <w:r>
        <w:rPr>
          <w:rFonts w:ascii="Arial" w:cs="Arial" w:eastAsia="Arial" w:hAnsi="Arial"/>
          <w:sz w:val="16"/>
          <w:szCs w:val="16"/>
          <w:color w:val="000000"/>
        </w:rPr>
        <w:t xml:space="preserve"> </w:t>
      </w:r>
      <w:r>
        <w:rPr>
          <w:rFonts w:ascii="Arial" w:cs="Arial" w:eastAsia="Arial" w:hAnsi="Arial"/>
          <w:sz w:val="16"/>
          <w:szCs w:val="16"/>
          <w:b w:val="1"/>
          <w:bCs w:val="1"/>
          <w:color w:val="000000"/>
        </w:rPr>
        <w:t>an increase of</w:t>
      </w:r>
      <w:r>
        <w:rPr>
          <w:rFonts w:ascii="Arial" w:cs="Arial" w:eastAsia="Arial" w:hAnsi="Arial"/>
          <w:sz w:val="16"/>
          <w:szCs w:val="16"/>
          <w:color w:val="000000"/>
        </w:rPr>
        <w:t xml:space="preserve"> </w:t>
      </w:r>
      <w:r>
        <w:rPr>
          <w:rFonts w:ascii="Arial" w:cs="Arial" w:eastAsia="Arial" w:hAnsi="Arial"/>
          <w:sz w:val="16"/>
          <w:szCs w:val="16"/>
          <w:b w:val="1"/>
          <w:bCs w:val="1"/>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-353695</wp:posOffset>
            </wp:positionV>
            <wp:extent cx="346710" cy="3213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6710" cy="32131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77470</wp:posOffset>
            </wp:positionV>
            <wp:extent cx="414655" cy="4146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4655" cy="414655"/>
                    </a:xfrm>
                    <a:prstGeom prst="rect">
                      <a:avLst/>
                    </a:prstGeom>
                    <a:noFill/>
                  </pic:spPr>
                </pic:pic>
              </a:graphicData>
            </a:graphic>
          </wp:anchor>
        </w:drawing>
      </w:r>
    </w:p>
    <w:p>
      <w:pPr>
        <w:spacing w:after="0" w:line="217" w:lineRule="exact"/>
        <w:rPr>
          <w:sz w:val="20"/>
          <w:szCs w:val="20"/>
          <w:color w:val="auto"/>
        </w:rPr>
      </w:pPr>
    </w:p>
    <w:p>
      <w:pPr>
        <w:ind w:left="1080" w:right="920"/>
        <w:spacing w:after="0" w:line="280" w:lineRule="auto"/>
        <w:rPr>
          <w:sz w:val="20"/>
          <w:szCs w:val="20"/>
          <w:color w:val="auto"/>
        </w:rPr>
      </w:pPr>
      <w:r>
        <w:rPr>
          <w:rFonts w:ascii="Arial" w:cs="Arial" w:eastAsia="Arial" w:hAnsi="Arial"/>
          <w:sz w:val="16"/>
          <w:szCs w:val="16"/>
          <w:color w:val="auto"/>
        </w:rPr>
        <w:t xml:space="preserve">Continuous commitment to </w:t>
      </w:r>
      <w:r>
        <w:rPr>
          <w:rFonts w:ascii="Arial" w:cs="Arial" w:eastAsia="Arial" w:hAnsi="Arial"/>
          <w:sz w:val="16"/>
          <w:szCs w:val="16"/>
          <w:b w:val="1"/>
          <w:bCs w:val="1"/>
          <w:color w:val="007CBA"/>
        </w:rPr>
        <w:t>SUSTAINABILITY,</w:t>
      </w:r>
      <w:r>
        <w:rPr>
          <w:rFonts w:ascii="Arial" w:cs="Arial" w:eastAsia="Arial" w:hAnsi="Arial"/>
          <w:sz w:val="16"/>
          <w:szCs w:val="16"/>
          <w:color w:val="auto"/>
        </w:rPr>
        <w:t xml:space="preserve"> which is included in our strategy and compensation decisions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007CBA"/>
        </w:rPr>
        <w:t xml:space="preserve">TOTAL SHAREHOLDER RETURN </w:t>
      </w:r>
      <w:r>
        <w:rPr>
          <w:rFonts w:ascii="Arial" w:cs="Arial" w:eastAsia="Arial" w:hAnsi="Arial"/>
          <w:sz w:val="16"/>
          <w:szCs w:val="16"/>
          <w:b w:val="1"/>
          <w:bCs w:val="1"/>
          <w:color w:val="000000"/>
        </w:rPr>
        <w:t>of 64%,</w:t>
      </w:r>
      <w:r>
        <w:rPr>
          <w:rFonts w:ascii="Arial" w:cs="Arial" w:eastAsia="Arial" w:hAnsi="Arial"/>
          <w:sz w:val="16"/>
          <w:szCs w:val="16"/>
          <w:b w:val="1"/>
          <w:bCs w:val="1"/>
          <w:color w:val="007CBA"/>
        </w:rPr>
        <w:t xml:space="preserve"> </w:t>
      </w:r>
      <w:r>
        <w:rPr>
          <w:rFonts w:ascii="Arial" w:cs="Arial" w:eastAsia="Arial" w:hAnsi="Arial"/>
          <w:sz w:val="16"/>
          <w:szCs w:val="16"/>
          <w:color w:val="000000"/>
        </w:rPr>
        <w:t>more than double</w:t>
      </w:r>
      <w:r>
        <w:rPr>
          <w:rFonts w:ascii="Arial" w:cs="Arial" w:eastAsia="Arial" w:hAnsi="Arial"/>
          <w:sz w:val="16"/>
          <w:szCs w:val="16"/>
          <w:b w:val="1"/>
          <w:bCs w:val="1"/>
          <w:color w:val="007CBA"/>
        </w:rPr>
        <w:t xml:space="preserve"> </w:t>
      </w:r>
      <w:r>
        <w:rPr>
          <w:rFonts w:ascii="Arial" w:cs="Arial" w:eastAsia="Arial" w:hAnsi="Arial"/>
          <w:sz w:val="16"/>
          <w:szCs w:val="16"/>
          <w:color w:val="000000"/>
        </w:rPr>
        <w:t>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145415</wp:posOffset>
            </wp:positionV>
            <wp:extent cx="457200" cy="304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7200" cy="304800"/>
                    </a:xfrm>
                    <a:prstGeom prst="rect">
                      <a:avLst/>
                    </a:prstGeom>
                    <a:noFill/>
                  </pic:spPr>
                </pic:pic>
              </a:graphicData>
            </a:graphic>
          </wp:anchor>
        </w:drawing>
      </w:r>
    </w:p>
    <w:p>
      <w:pPr>
        <w:spacing w:after="0" w:line="244" w:lineRule="exact"/>
        <w:rPr>
          <w:sz w:val="20"/>
          <w:szCs w:val="20"/>
          <w:color w:val="auto"/>
        </w:rPr>
      </w:pPr>
    </w:p>
    <w:p>
      <w:pPr>
        <w:ind w:right="740"/>
        <w:spacing w:after="0" w:line="280" w:lineRule="auto"/>
        <w:rPr>
          <w:sz w:val="20"/>
          <w:szCs w:val="20"/>
          <w:color w:val="auto"/>
        </w:rPr>
      </w:pPr>
      <w:r>
        <w:rPr>
          <w:rFonts w:ascii="Arial" w:cs="Arial" w:eastAsia="Arial" w:hAnsi="Arial"/>
          <w:sz w:val="16"/>
          <w:szCs w:val="16"/>
          <w:color w:val="auto"/>
        </w:rPr>
        <w:t xml:space="preserve">Third consecutive year of </w:t>
      </w:r>
      <w:r>
        <w:rPr>
          <w:rFonts w:ascii="Arial" w:cs="Arial" w:eastAsia="Arial" w:hAnsi="Arial"/>
          <w:sz w:val="16"/>
          <w:szCs w:val="16"/>
          <w:b w:val="1"/>
          <w:bCs w:val="1"/>
          <w:color w:val="007CBA"/>
        </w:rPr>
        <w:t>WORLD-CLASS SAFETY</w:t>
      </w:r>
      <w:r>
        <w:rPr>
          <w:rFonts w:ascii="Arial" w:cs="Arial" w:eastAsia="Arial" w:hAnsi="Arial"/>
          <w:sz w:val="16"/>
          <w:szCs w:val="16"/>
          <w:color w:val="auto"/>
        </w:rPr>
        <w:t xml:space="preserve"> performance</w:t>
      </w:r>
    </w:p>
    <w:p>
      <w:pPr>
        <w:spacing w:after="0" w:line="200" w:lineRule="exact"/>
        <w:rPr>
          <w:sz w:val="20"/>
          <w:szCs w:val="20"/>
          <w:color w:val="auto"/>
        </w:rPr>
      </w:pPr>
    </w:p>
    <w:p>
      <w:pPr>
        <w:sectPr>
          <w:pgSz w:w="11900" w:h="16838" w:orient="portrait"/>
          <w:cols w:equalWidth="0" w:num="2">
            <w:col w:w="5900" w:space="720"/>
            <w:col w:w="4440"/>
          </w:cols>
          <w:pgMar w:left="320" w:top="455" w:right="519" w:bottom="1440" w:gutter="0" w:footer="0" w:header="0"/>
          <w:type w:val="continuous"/>
        </w:sectPr>
      </w:pPr>
    </w:p>
    <w:p>
      <w:pPr>
        <w:spacing w:after="0" w:line="127" w:lineRule="exact"/>
        <w:rPr>
          <w:sz w:val="20"/>
          <w:szCs w:val="20"/>
          <w:color w:val="auto"/>
        </w:rPr>
      </w:pPr>
    </w:p>
    <w:p>
      <w:pPr>
        <w:ind w:left="620" w:hanging="220"/>
        <w:spacing w:after="0"/>
        <w:tabs>
          <w:tab w:leader="none" w:pos="6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See Appendix B for reconciliation to reported net earnings attributable to Martin Marietta. Adjusted EBITDA is a metric used for executive performance targets.</w:t>
      </w:r>
    </w:p>
    <w:p>
      <w:pPr>
        <w:spacing w:after="0" w:line="149" w:lineRule="exact"/>
        <w:rPr>
          <w:sz w:val="20"/>
          <w:szCs w:val="20"/>
          <w:color w:val="auto"/>
        </w:rPr>
      </w:pPr>
    </w:p>
    <w:p>
      <w:pPr>
        <w:jc w:val="both"/>
        <w:ind w:left="180"/>
        <w:spacing w:after="0" w:line="262" w:lineRule="auto"/>
        <w:rPr>
          <w:sz w:val="20"/>
          <w:szCs w:val="20"/>
          <w:color w:val="auto"/>
        </w:rPr>
      </w:pPr>
      <w:r>
        <w:rPr>
          <w:rFonts w:ascii="Arial" w:cs="Arial" w:eastAsia="Arial" w:hAnsi="Arial"/>
          <w:sz w:val="16"/>
          <w:szCs w:val="16"/>
          <w:color w:val="auto"/>
        </w:rPr>
        <w:t xml:space="preserve">Our five-year strategic planning process, or </w:t>
      </w:r>
      <w:r>
        <w:rPr>
          <w:rFonts w:ascii="Arial" w:cs="Arial" w:eastAsia="Arial" w:hAnsi="Arial"/>
          <w:sz w:val="16"/>
          <w:szCs w:val="16"/>
          <w:b w:val="1"/>
          <w:bCs w:val="1"/>
          <w:color w:val="007CBA"/>
        </w:rPr>
        <w:t>Strategic Operating Analysis and Review (SOAR),</w:t>
      </w:r>
      <w:r>
        <w:rPr>
          <w:rFonts w:ascii="Arial" w:cs="Arial" w:eastAsia="Arial" w:hAnsi="Arial"/>
          <w:sz w:val="16"/>
          <w:szCs w:val="16"/>
          <w:color w:val="auto"/>
        </w:rPr>
        <w:t xml:space="preserve"> supplemented by our annual plan, has guided us since 2010 as we have grown the business in an intentional, contemplative, and disciplined manner. Our performance since 2010 reflects the power of our SOAR process: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5440" w:type="dxa"/>
            <w:vAlign w:val="bottom"/>
            <w:tcBorders>
              <w:bottom w:val="single" w:sz="8" w:color="007CBA"/>
            </w:tcBorders>
            <w:gridSpan w:val="2"/>
            <w:shd w:val="clear" w:color="auto" w:fill="007CBA"/>
          </w:tcPr>
          <w:p>
            <w:pPr>
              <w:ind w:left="60"/>
              <w:spacing w:after="0"/>
              <w:rPr>
                <w:sz w:val="20"/>
                <w:szCs w:val="20"/>
                <w:color w:val="auto"/>
              </w:rPr>
            </w:pPr>
            <w:r>
              <w:rPr>
                <w:rFonts w:ascii="Arial" w:cs="Arial" w:eastAsia="Arial" w:hAnsi="Arial"/>
                <w:sz w:val="14"/>
                <w:szCs w:val="14"/>
                <w:b w:val="1"/>
                <w:bCs w:val="1"/>
                <w:color w:val="FFFFFF"/>
              </w:rPr>
              <w:t>2019 Highlights</w:t>
            </w:r>
          </w:p>
        </w:tc>
        <w:tc>
          <w:tcPr>
            <w:tcW w:w="5420" w:type="dxa"/>
            <w:vAlign w:val="bottom"/>
            <w:tcBorders>
              <w:bottom w:val="single" w:sz="8" w:color="007CBA"/>
            </w:tcBorders>
            <w:gridSpan w:val="2"/>
            <w:shd w:val="clear" w:color="auto" w:fill="007CBA"/>
          </w:tcPr>
          <w:p>
            <w:pPr>
              <w:ind w:left="220"/>
              <w:spacing w:after="0"/>
              <w:rPr>
                <w:sz w:val="20"/>
                <w:szCs w:val="20"/>
                <w:color w:val="auto"/>
              </w:rPr>
            </w:pPr>
            <w:r>
              <w:rPr>
                <w:rFonts w:ascii="Arial" w:cs="Arial" w:eastAsia="Arial" w:hAnsi="Arial"/>
                <w:sz w:val="14"/>
                <w:szCs w:val="14"/>
                <w:b w:val="1"/>
                <w:bCs w:val="1"/>
                <w:color w:val="FFFFFF"/>
              </w:rPr>
              <w:t>Disciplined Capital Allocation</w:t>
            </w:r>
          </w:p>
        </w:tc>
      </w:tr>
      <w:tr>
        <w:trPr>
          <w:trHeight w:val="213"/>
        </w:trPr>
        <w:tc>
          <w:tcPr>
            <w:tcW w:w="440" w:type="dxa"/>
            <w:vAlign w:val="bottom"/>
            <w:shd w:val="clear" w:color="auto" w:fill="E5F1F8"/>
          </w:tcPr>
          <w:p>
            <w:pPr>
              <w:ind w:left="60"/>
              <w:spacing w:after="0" w:line="141" w:lineRule="exact"/>
              <w:rPr>
                <w:sz w:val="20"/>
                <w:szCs w:val="20"/>
                <w:color w:val="auto"/>
              </w:rPr>
            </w:pPr>
            <w:r>
              <w:rPr>
                <w:rFonts w:ascii="MS PGothic" w:cs="MS PGothic" w:eastAsia="MS PGothic" w:hAnsi="MS PGothic"/>
                <w:sz w:val="14"/>
                <w:szCs w:val="14"/>
                <w:color w:val="007CBA"/>
              </w:rPr>
              <w:t>✓</w:t>
            </w:r>
          </w:p>
        </w:tc>
        <w:tc>
          <w:tcPr>
            <w:tcW w:w="5000" w:type="dxa"/>
            <w:vAlign w:val="bottom"/>
            <w:shd w:val="clear" w:color="auto" w:fill="E5F1F8"/>
          </w:tcPr>
          <w:p>
            <w:pPr>
              <w:ind w:left="100"/>
              <w:spacing w:after="0"/>
              <w:rPr>
                <w:sz w:val="20"/>
                <w:szCs w:val="20"/>
                <w:color w:val="auto"/>
              </w:rPr>
            </w:pPr>
            <w:r>
              <w:rPr>
                <w:rFonts w:ascii="Arial" w:cs="Arial" w:eastAsia="Arial" w:hAnsi="Arial"/>
                <w:sz w:val="14"/>
                <w:szCs w:val="14"/>
                <w:b w:val="1"/>
                <w:bCs w:val="1"/>
                <w:color w:val="007CBA"/>
              </w:rPr>
              <w:t>Record consolidated revenues of $4.7 billion, a 12% year-over-year</w:t>
            </w:r>
          </w:p>
        </w:tc>
        <w:tc>
          <w:tcPr>
            <w:tcW w:w="560" w:type="dxa"/>
            <w:vAlign w:val="bottom"/>
            <w:shd w:val="clear" w:color="auto" w:fill="E5F1F8"/>
          </w:tcPr>
          <w:p>
            <w:pPr>
              <w:ind w:left="220"/>
              <w:spacing w:after="0" w:line="141" w:lineRule="exact"/>
              <w:rPr>
                <w:sz w:val="20"/>
                <w:szCs w:val="20"/>
                <w:color w:val="auto"/>
              </w:rPr>
            </w:pPr>
            <w:r>
              <w:rPr>
                <w:rFonts w:ascii="MS PGothic" w:cs="MS PGothic" w:eastAsia="MS PGothic" w:hAnsi="MS PGothic"/>
                <w:sz w:val="14"/>
                <w:szCs w:val="14"/>
                <w:color w:val="007CBA"/>
              </w:rPr>
              <w:t>✓</w:t>
            </w:r>
          </w:p>
        </w:tc>
        <w:tc>
          <w:tcPr>
            <w:tcW w:w="4860" w:type="dxa"/>
            <w:vAlign w:val="bottom"/>
            <w:shd w:val="clear" w:color="auto" w:fill="E5F1F8"/>
          </w:tcPr>
          <w:p>
            <w:pPr>
              <w:ind w:left="200"/>
              <w:spacing w:after="0"/>
              <w:rPr>
                <w:sz w:val="20"/>
                <w:szCs w:val="20"/>
                <w:color w:val="auto"/>
              </w:rPr>
            </w:pPr>
            <w:r>
              <w:rPr>
                <w:rFonts w:ascii="Arial" w:cs="Arial" w:eastAsia="Arial" w:hAnsi="Arial"/>
                <w:sz w:val="14"/>
                <w:szCs w:val="14"/>
                <w:b w:val="1"/>
                <w:bCs w:val="1"/>
                <w:color w:val="007CBA"/>
              </w:rPr>
              <w:t>$50 million contributed to the Company’s nearly 100% funded</w:t>
            </w:r>
          </w:p>
        </w:tc>
      </w:tr>
      <w:tr>
        <w:trPr>
          <w:trHeight w:val="160"/>
        </w:trPr>
        <w:tc>
          <w:tcPr>
            <w:tcW w:w="440" w:type="dxa"/>
            <w:vAlign w:val="bottom"/>
            <w:shd w:val="clear" w:color="auto" w:fill="E5F1F8"/>
          </w:tcPr>
          <w:p>
            <w:pPr>
              <w:spacing w:after="0"/>
              <w:rPr>
                <w:sz w:val="13"/>
                <w:szCs w:val="13"/>
                <w:color w:val="auto"/>
              </w:rPr>
            </w:pPr>
          </w:p>
        </w:tc>
        <w:tc>
          <w:tcPr>
            <w:tcW w:w="5000" w:type="dxa"/>
            <w:vAlign w:val="bottom"/>
            <w:shd w:val="clear" w:color="auto" w:fill="E5F1F8"/>
          </w:tcPr>
          <w:p>
            <w:pPr>
              <w:ind w:left="100"/>
              <w:spacing w:after="0" w:line="160" w:lineRule="exact"/>
              <w:rPr>
                <w:sz w:val="20"/>
                <w:szCs w:val="20"/>
                <w:color w:val="auto"/>
              </w:rPr>
            </w:pPr>
            <w:r>
              <w:rPr>
                <w:rFonts w:ascii="Arial" w:cs="Arial" w:eastAsia="Arial" w:hAnsi="Arial"/>
                <w:sz w:val="14"/>
                <w:szCs w:val="14"/>
                <w:b w:val="1"/>
                <w:bCs w:val="1"/>
                <w:color w:val="007CBA"/>
              </w:rPr>
              <w:t xml:space="preserve">increase, </w:t>
            </w:r>
            <w:r>
              <w:rPr>
                <w:rFonts w:ascii="Arial" w:cs="Arial" w:eastAsia="Arial" w:hAnsi="Arial"/>
                <w:sz w:val="14"/>
                <w:szCs w:val="14"/>
                <w:b w:val="1"/>
                <w:bCs w:val="1"/>
                <w:color w:val="000000"/>
              </w:rPr>
              <w:t>driven by double-digit aggregates and cement shipment</w:t>
            </w:r>
          </w:p>
        </w:tc>
        <w:tc>
          <w:tcPr>
            <w:tcW w:w="560" w:type="dxa"/>
            <w:vAlign w:val="bottom"/>
            <w:shd w:val="clear" w:color="auto" w:fill="E5F1F8"/>
          </w:tcPr>
          <w:p>
            <w:pPr>
              <w:spacing w:after="0"/>
              <w:rPr>
                <w:sz w:val="13"/>
                <w:szCs w:val="13"/>
                <w:color w:val="auto"/>
              </w:rPr>
            </w:pPr>
          </w:p>
        </w:tc>
        <w:tc>
          <w:tcPr>
            <w:tcW w:w="4860" w:type="dxa"/>
            <w:vAlign w:val="bottom"/>
            <w:shd w:val="clear" w:color="auto" w:fill="E5F1F8"/>
          </w:tcPr>
          <w:p>
            <w:pPr>
              <w:ind w:left="200"/>
              <w:spacing w:after="0" w:line="160" w:lineRule="exact"/>
              <w:rPr>
                <w:sz w:val="20"/>
                <w:szCs w:val="20"/>
                <w:color w:val="auto"/>
              </w:rPr>
            </w:pPr>
            <w:r>
              <w:rPr>
                <w:rFonts w:ascii="Arial" w:cs="Arial" w:eastAsia="Arial" w:hAnsi="Arial"/>
                <w:sz w:val="14"/>
                <w:szCs w:val="14"/>
                <w:b w:val="1"/>
                <w:bCs w:val="1"/>
                <w:color w:val="007CBA"/>
              </w:rPr>
              <w:t>qualified pension plan</w:t>
            </w:r>
          </w:p>
        </w:tc>
      </w:tr>
      <w:tr>
        <w:trPr>
          <w:trHeight w:val="160"/>
        </w:trPr>
        <w:tc>
          <w:tcPr>
            <w:tcW w:w="440" w:type="dxa"/>
            <w:vAlign w:val="bottom"/>
            <w:shd w:val="clear" w:color="auto" w:fill="E5F1F8"/>
          </w:tcPr>
          <w:p>
            <w:pPr>
              <w:spacing w:after="0"/>
              <w:rPr>
                <w:sz w:val="13"/>
                <w:szCs w:val="13"/>
                <w:color w:val="auto"/>
              </w:rPr>
            </w:pPr>
          </w:p>
        </w:tc>
        <w:tc>
          <w:tcPr>
            <w:tcW w:w="5000" w:type="dxa"/>
            <w:vAlign w:val="bottom"/>
            <w:shd w:val="clear" w:color="auto" w:fill="E5F1F8"/>
          </w:tcPr>
          <w:p>
            <w:pPr>
              <w:ind w:left="100"/>
              <w:spacing w:after="0" w:line="160" w:lineRule="exact"/>
              <w:rPr>
                <w:sz w:val="20"/>
                <w:szCs w:val="20"/>
                <w:color w:val="auto"/>
              </w:rPr>
            </w:pPr>
            <w:r>
              <w:rPr>
                <w:rFonts w:ascii="Arial" w:cs="Arial" w:eastAsia="Arial" w:hAnsi="Arial"/>
                <w:sz w:val="14"/>
                <w:szCs w:val="14"/>
                <w:b w:val="1"/>
                <w:bCs w:val="1"/>
                <w:color w:val="auto"/>
              </w:rPr>
              <w:t>growth and steady pricing gains across our Building Materials</w:t>
            </w:r>
          </w:p>
        </w:tc>
        <w:tc>
          <w:tcPr>
            <w:tcW w:w="560" w:type="dxa"/>
            <w:vAlign w:val="bottom"/>
            <w:shd w:val="clear" w:color="auto" w:fill="E5F1F8"/>
          </w:tcPr>
          <w:p>
            <w:pPr>
              <w:spacing w:after="0"/>
              <w:rPr>
                <w:sz w:val="13"/>
                <w:szCs w:val="13"/>
                <w:color w:val="auto"/>
              </w:rPr>
            </w:pPr>
          </w:p>
        </w:tc>
        <w:tc>
          <w:tcPr>
            <w:tcW w:w="4860" w:type="dxa"/>
            <w:vAlign w:val="bottom"/>
            <w:shd w:val="clear" w:color="auto" w:fill="E5F1F8"/>
          </w:tcPr>
          <w:p>
            <w:pPr>
              <w:spacing w:after="0"/>
              <w:rPr>
                <w:sz w:val="13"/>
                <w:szCs w:val="13"/>
                <w:color w:val="auto"/>
              </w:rPr>
            </w:pPr>
          </w:p>
        </w:tc>
      </w:tr>
      <w:tr>
        <w:trPr>
          <w:trHeight w:val="189"/>
        </w:trPr>
        <w:tc>
          <w:tcPr>
            <w:tcW w:w="440" w:type="dxa"/>
            <w:vAlign w:val="bottom"/>
            <w:shd w:val="clear" w:color="auto" w:fill="E5F1F8"/>
          </w:tcPr>
          <w:p>
            <w:pPr>
              <w:spacing w:after="0"/>
              <w:rPr>
                <w:sz w:val="16"/>
                <w:szCs w:val="16"/>
                <w:color w:val="auto"/>
              </w:rPr>
            </w:pPr>
          </w:p>
        </w:tc>
        <w:tc>
          <w:tcPr>
            <w:tcW w:w="5000" w:type="dxa"/>
            <w:vAlign w:val="bottom"/>
            <w:shd w:val="clear" w:color="auto" w:fill="E5F1F8"/>
          </w:tcPr>
          <w:p>
            <w:pPr>
              <w:ind w:left="100"/>
              <w:spacing w:after="0"/>
              <w:rPr>
                <w:sz w:val="20"/>
                <w:szCs w:val="20"/>
                <w:color w:val="auto"/>
              </w:rPr>
            </w:pPr>
            <w:r>
              <w:rPr>
                <w:rFonts w:ascii="Arial" w:cs="Arial" w:eastAsia="Arial" w:hAnsi="Arial"/>
                <w:sz w:val="14"/>
                <w:szCs w:val="14"/>
                <w:b w:val="1"/>
                <w:bCs w:val="1"/>
                <w:color w:val="auto"/>
              </w:rPr>
              <w:t>business</w:t>
            </w:r>
          </w:p>
        </w:tc>
        <w:tc>
          <w:tcPr>
            <w:tcW w:w="560" w:type="dxa"/>
            <w:vAlign w:val="bottom"/>
            <w:shd w:val="clear" w:color="auto" w:fill="E5F1F8"/>
          </w:tcPr>
          <w:p>
            <w:pPr>
              <w:spacing w:after="0"/>
              <w:rPr>
                <w:sz w:val="16"/>
                <w:szCs w:val="16"/>
                <w:color w:val="auto"/>
              </w:rPr>
            </w:pPr>
          </w:p>
        </w:tc>
        <w:tc>
          <w:tcPr>
            <w:tcW w:w="4860" w:type="dxa"/>
            <w:vAlign w:val="bottom"/>
            <w:shd w:val="clear" w:color="auto" w:fill="E5F1F8"/>
          </w:tcPr>
          <w:p>
            <w:pPr>
              <w:spacing w:after="0"/>
              <w:rPr>
                <w:sz w:val="16"/>
                <w:szCs w:val="16"/>
                <w:color w:val="auto"/>
              </w:rPr>
            </w:pPr>
          </w:p>
        </w:tc>
      </w:tr>
      <w:tr>
        <w:trPr>
          <w:trHeight w:val="78"/>
        </w:trPr>
        <w:tc>
          <w:tcPr>
            <w:tcW w:w="440" w:type="dxa"/>
            <w:vAlign w:val="bottom"/>
            <w:shd w:val="clear" w:color="auto" w:fill="E5F1F8"/>
          </w:tcPr>
          <w:p>
            <w:pPr>
              <w:spacing w:after="0"/>
              <w:rPr>
                <w:sz w:val="6"/>
                <w:szCs w:val="6"/>
                <w:color w:val="auto"/>
              </w:rPr>
            </w:pPr>
          </w:p>
        </w:tc>
        <w:tc>
          <w:tcPr>
            <w:tcW w:w="500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4860" w:type="dxa"/>
            <w:vAlign w:val="bottom"/>
            <w:shd w:val="clear" w:color="auto" w:fill="E5F1F8"/>
          </w:tcPr>
          <w:p>
            <w:pPr>
              <w:spacing w:after="0"/>
              <w:rPr>
                <w:sz w:val="6"/>
                <w:szCs w:val="6"/>
                <w:color w:val="auto"/>
              </w:rPr>
            </w:pPr>
          </w:p>
        </w:tc>
      </w:tr>
      <w:tr>
        <w:trPr>
          <w:trHeight w:val="267"/>
        </w:trPr>
        <w:tc>
          <w:tcPr>
            <w:tcW w:w="440" w:type="dxa"/>
            <w:vAlign w:val="bottom"/>
          </w:tcPr>
          <w:p>
            <w:pPr>
              <w:ind w:left="60"/>
              <w:spacing w:after="0" w:line="141" w:lineRule="exact"/>
              <w:rPr>
                <w:sz w:val="20"/>
                <w:szCs w:val="20"/>
                <w:color w:val="auto"/>
              </w:rPr>
            </w:pPr>
            <w:r>
              <w:rPr>
                <w:rFonts w:ascii="MS PGothic" w:cs="MS PGothic" w:eastAsia="MS PGothic" w:hAnsi="MS PGothic"/>
                <w:sz w:val="14"/>
                <w:szCs w:val="14"/>
                <w:color w:val="007CBA"/>
              </w:rPr>
              <w:t>✓</w:t>
            </w:r>
          </w:p>
        </w:tc>
        <w:tc>
          <w:tcPr>
            <w:tcW w:w="5000" w:type="dxa"/>
            <w:vAlign w:val="bottom"/>
          </w:tcPr>
          <w:p>
            <w:pPr>
              <w:ind w:left="100"/>
              <w:spacing w:after="0" w:line="266" w:lineRule="exact"/>
              <w:rPr>
                <w:sz w:val="20"/>
                <w:szCs w:val="20"/>
                <w:color w:val="auto"/>
              </w:rPr>
            </w:pPr>
            <w:r>
              <w:rPr>
                <w:rFonts w:ascii="Arial" w:cs="Arial" w:eastAsia="Arial" w:hAnsi="Arial"/>
                <w:sz w:val="14"/>
                <w:szCs w:val="14"/>
                <w:b w:val="1"/>
                <w:bCs w:val="1"/>
                <w:color w:val="007CBA"/>
              </w:rPr>
              <w:t>Achieved 8</w:t>
            </w:r>
            <w:r>
              <w:rPr>
                <w:rFonts w:ascii="Arial" w:cs="Arial" w:eastAsia="Arial" w:hAnsi="Arial"/>
                <w:sz w:val="24"/>
                <w:szCs w:val="24"/>
                <w:b w:val="1"/>
                <w:bCs w:val="1"/>
                <w:color w:val="007CBA"/>
                <w:vertAlign w:val="superscript"/>
              </w:rPr>
              <w:t>th</w:t>
            </w:r>
            <w:r>
              <w:rPr>
                <w:rFonts w:ascii="Arial" w:cs="Arial" w:eastAsia="Arial" w:hAnsi="Arial"/>
                <w:sz w:val="14"/>
                <w:szCs w:val="14"/>
                <w:b w:val="1"/>
                <w:bCs w:val="1"/>
                <w:color w:val="007CBA"/>
              </w:rPr>
              <w:t xml:space="preserve"> consecutive year of revenue, gross profit, adjusted</w:t>
            </w:r>
          </w:p>
        </w:tc>
        <w:tc>
          <w:tcPr>
            <w:tcW w:w="560" w:type="dxa"/>
            <w:vAlign w:val="bottom"/>
          </w:tcPr>
          <w:p>
            <w:pPr>
              <w:ind w:left="220"/>
              <w:spacing w:after="0" w:line="141" w:lineRule="exact"/>
              <w:rPr>
                <w:sz w:val="20"/>
                <w:szCs w:val="20"/>
                <w:color w:val="auto"/>
              </w:rPr>
            </w:pPr>
            <w:r>
              <w:rPr>
                <w:rFonts w:ascii="MS PGothic" w:cs="MS PGothic" w:eastAsia="MS PGothic" w:hAnsi="MS PGothic"/>
                <w:sz w:val="14"/>
                <w:szCs w:val="14"/>
                <w:color w:val="007CBA"/>
              </w:rPr>
              <w:t>✓</w:t>
            </w:r>
          </w:p>
        </w:tc>
        <w:tc>
          <w:tcPr>
            <w:tcW w:w="4860" w:type="dxa"/>
            <w:vAlign w:val="bottom"/>
          </w:tcPr>
          <w:p>
            <w:pPr>
              <w:ind w:left="200"/>
              <w:spacing w:after="0"/>
              <w:rPr>
                <w:sz w:val="20"/>
                <w:szCs w:val="20"/>
                <w:color w:val="auto"/>
              </w:rPr>
            </w:pPr>
            <w:r>
              <w:rPr>
                <w:rFonts w:ascii="Arial" w:cs="Arial" w:eastAsia="Arial" w:hAnsi="Arial"/>
                <w:sz w:val="14"/>
                <w:szCs w:val="14"/>
                <w:b w:val="1"/>
                <w:bCs w:val="1"/>
                <w:color w:val="007CBA"/>
              </w:rPr>
              <w:t xml:space="preserve">Repurchased 416,000 shares for $98.2 million </w:t>
            </w:r>
            <w:r>
              <w:rPr>
                <w:rFonts w:ascii="Arial" w:cs="Arial" w:eastAsia="Arial" w:hAnsi="Arial"/>
                <w:sz w:val="14"/>
                <w:szCs w:val="14"/>
                <w:b w:val="1"/>
                <w:bCs w:val="1"/>
                <w:color w:val="000000"/>
              </w:rPr>
              <w:t>($236.04 per share);</w:t>
            </w:r>
          </w:p>
        </w:tc>
      </w:tr>
      <w:tr>
        <w:trPr>
          <w:trHeight w:val="189"/>
        </w:trPr>
        <w:tc>
          <w:tcPr>
            <w:tcW w:w="440" w:type="dxa"/>
            <w:vAlign w:val="bottom"/>
          </w:tcPr>
          <w:p>
            <w:pPr>
              <w:spacing w:after="0"/>
              <w:rPr>
                <w:sz w:val="16"/>
                <w:szCs w:val="16"/>
                <w:color w:val="auto"/>
              </w:rPr>
            </w:pPr>
          </w:p>
        </w:tc>
        <w:tc>
          <w:tcPr>
            <w:tcW w:w="5000" w:type="dxa"/>
            <w:vAlign w:val="bottom"/>
          </w:tcPr>
          <w:p>
            <w:pPr>
              <w:ind w:left="100"/>
              <w:spacing w:after="0"/>
              <w:rPr>
                <w:sz w:val="20"/>
                <w:szCs w:val="20"/>
                <w:color w:val="auto"/>
              </w:rPr>
            </w:pPr>
            <w:r>
              <w:rPr>
                <w:rFonts w:ascii="Arial" w:cs="Arial" w:eastAsia="Arial" w:hAnsi="Arial"/>
                <w:sz w:val="14"/>
                <w:szCs w:val="14"/>
                <w:b w:val="1"/>
                <w:bCs w:val="1"/>
                <w:color w:val="007CBA"/>
              </w:rPr>
              <w:t>EBITDA and adjusted earnings per diluted share growth</w:t>
            </w:r>
          </w:p>
        </w:tc>
        <w:tc>
          <w:tcPr>
            <w:tcW w:w="56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4"/>
                <w:szCs w:val="14"/>
                <w:b w:val="1"/>
                <w:bCs w:val="1"/>
                <w:color w:val="auto"/>
              </w:rPr>
              <w:t>13.7 million shares remaining on our February 2015 authorization</w:t>
            </w:r>
          </w:p>
        </w:tc>
      </w:tr>
      <w:tr>
        <w:trPr>
          <w:trHeight w:val="78"/>
        </w:trPr>
        <w:tc>
          <w:tcPr>
            <w:tcW w:w="440" w:type="dxa"/>
            <w:vAlign w:val="bottom"/>
          </w:tcPr>
          <w:p>
            <w:pPr>
              <w:spacing w:after="0"/>
              <w:rPr>
                <w:sz w:val="6"/>
                <w:szCs w:val="6"/>
                <w:color w:val="auto"/>
              </w:rPr>
            </w:pPr>
          </w:p>
        </w:tc>
        <w:tc>
          <w:tcPr>
            <w:tcW w:w="5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60" w:type="dxa"/>
            <w:vAlign w:val="bottom"/>
          </w:tcPr>
          <w:p>
            <w:pPr>
              <w:spacing w:after="0"/>
              <w:rPr>
                <w:sz w:val="6"/>
                <w:szCs w:val="6"/>
                <w:color w:val="auto"/>
              </w:rPr>
            </w:pPr>
          </w:p>
        </w:tc>
      </w:tr>
      <w:tr>
        <w:trPr>
          <w:trHeight w:val="253"/>
        </w:trPr>
        <w:tc>
          <w:tcPr>
            <w:tcW w:w="440" w:type="dxa"/>
            <w:vAlign w:val="bottom"/>
            <w:shd w:val="clear" w:color="auto" w:fill="E5F1F8"/>
          </w:tcPr>
          <w:p>
            <w:pPr>
              <w:ind w:left="60"/>
              <w:spacing w:after="0" w:line="141" w:lineRule="exact"/>
              <w:rPr>
                <w:sz w:val="20"/>
                <w:szCs w:val="20"/>
                <w:color w:val="auto"/>
              </w:rPr>
            </w:pPr>
            <w:r>
              <w:rPr>
                <w:rFonts w:ascii="MS PGothic" w:cs="MS PGothic" w:eastAsia="MS PGothic" w:hAnsi="MS PGothic"/>
                <w:sz w:val="14"/>
                <w:szCs w:val="14"/>
                <w:color w:val="007CBA"/>
              </w:rPr>
              <w:t>✓</w:t>
            </w:r>
          </w:p>
        </w:tc>
        <w:tc>
          <w:tcPr>
            <w:tcW w:w="5000" w:type="dxa"/>
            <w:vAlign w:val="bottom"/>
            <w:shd w:val="clear" w:color="auto" w:fill="E5F1F8"/>
          </w:tcPr>
          <w:p>
            <w:pPr>
              <w:ind w:left="100"/>
              <w:spacing w:after="0"/>
              <w:rPr>
                <w:sz w:val="20"/>
                <w:szCs w:val="20"/>
                <w:color w:val="auto"/>
              </w:rPr>
            </w:pPr>
            <w:r>
              <w:rPr>
                <w:rFonts w:ascii="Arial" w:cs="Arial" w:eastAsia="Arial" w:hAnsi="Arial"/>
                <w:sz w:val="14"/>
                <w:szCs w:val="14"/>
                <w:b w:val="1"/>
                <w:bCs w:val="1"/>
                <w:color w:val="auto"/>
              </w:rPr>
              <w:t xml:space="preserve">Record-setting results yielded a </w:t>
            </w:r>
            <w:r>
              <w:rPr>
                <w:rFonts w:ascii="Arial" w:cs="Arial" w:eastAsia="Arial" w:hAnsi="Arial"/>
                <w:sz w:val="14"/>
                <w:szCs w:val="14"/>
                <w:b w:val="1"/>
                <w:bCs w:val="1"/>
                <w:color w:val="007CBA"/>
              </w:rPr>
              <w:t>64 percent TSR, more than double</w:t>
            </w:r>
          </w:p>
        </w:tc>
        <w:tc>
          <w:tcPr>
            <w:tcW w:w="560" w:type="dxa"/>
            <w:vAlign w:val="bottom"/>
            <w:shd w:val="clear" w:color="auto" w:fill="E5F1F8"/>
          </w:tcPr>
          <w:p>
            <w:pPr>
              <w:ind w:left="220"/>
              <w:spacing w:after="0" w:line="141" w:lineRule="exact"/>
              <w:rPr>
                <w:sz w:val="20"/>
                <w:szCs w:val="20"/>
                <w:color w:val="auto"/>
              </w:rPr>
            </w:pPr>
            <w:r>
              <w:rPr>
                <w:rFonts w:ascii="MS PGothic" w:cs="MS PGothic" w:eastAsia="MS PGothic" w:hAnsi="MS PGothic"/>
                <w:sz w:val="14"/>
                <w:szCs w:val="14"/>
                <w:color w:val="007CBA"/>
              </w:rPr>
              <w:t>✓</w:t>
            </w:r>
          </w:p>
        </w:tc>
        <w:tc>
          <w:tcPr>
            <w:tcW w:w="4860" w:type="dxa"/>
            <w:vAlign w:val="bottom"/>
            <w:shd w:val="clear" w:color="auto" w:fill="E5F1F8"/>
          </w:tcPr>
          <w:p>
            <w:pPr>
              <w:ind w:left="200"/>
              <w:spacing w:after="0"/>
              <w:rPr>
                <w:sz w:val="20"/>
                <w:szCs w:val="20"/>
                <w:color w:val="auto"/>
              </w:rPr>
            </w:pPr>
            <w:r>
              <w:rPr>
                <w:rFonts w:ascii="Arial" w:cs="Arial" w:eastAsia="Arial" w:hAnsi="Arial"/>
                <w:sz w:val="14"/>
                <w:szCs w:val="14"/>
                <w:b w:val="1"/>
                <w:bCs w:val="1"/>
                <w:color w:val="auto"/>
              </w:rPr>
              <w:t>Board approved a 15% quarterly dividend increase ($2.20/share on</w:t>
            </w:r>
          </w:p>
        </w:tc>
      </w:tr>
      <w:tr>
        <w:trPr>
          <w:trHeight w:val="160"/>
        </w:trPr>
        <w:tc>
          <w:tcPr>
            <w:tcW w:w="440" w:type="dxa"/>
            <w:vAlign w:val="bottom"/>
            <w:shd w:val="clear" w:color="auto" w:fill="E5F1F8"/>
          </w:tcPr>
          <w:p>
            <w:pPr>
              <w:spacing w:after="0"/>
              <w:rPr>
                <w:sz w:val="13"/>
                <w:szCs w:val="13"/>
                <w:color w:val="auto"/>
              </w:rPr>
            </w:pPr>
          </w:p>
        </w:tc>
        <w:tc>
          <w:tcPr>
            <w:tcW w:w="5000" w:type="dxa"/>
            <w:vAlign w:val="bottom"/>
            <w:shd w:val="clear" w:color="auto" w:fill="E5F1F8"/>
          </w:tcPr>
          <w:p>
            <w:pPr>
              <w:ind w:left="100"/>
              <w:spacing w:after="0" w:line="160" w:lineRule="exact"/>
              <w:rPr>
                <w:sz w:val="20"/>
                <w:szCs w:val="20"/>
                <w:color w:val="auto"/>
              </w:rPr>
            </w:pPr>
            <w:r>
              <w:rPr>
                <w:rFonts w:ascii="Arial" w:cs="Arial" w:eastAsia="Arial" w:hAnsi="Arial"/>
                <w:sz w:val="14"/>
                <w:szCs w:val="14"/>
                <w:b w:val="1"/>
                <w:bCs w:val="1"/>
                <w:color w:val="007CBA"/>
              </w:rPr>
              <w:t>the S&amp;P 500</w:t>
            </w:r>
          </w:p>
        </w:tc>
        <w:tc>
          <w:tcPr>
            <w:tcW w:w="560" w:type="dxa"/>
            <w:vAlign w:val="bottom"/>
            <w:shd w:val="clear" w:color="auto" w:fill="E5F1F8"/>
          </w:tcPr>
          <w:p>
            <w:pPr>
              <w:spacing w:after="0"/>
              <w:rPr>
                <w:sz w:val="13"/>
                <w:szCs w:val="13"/>
                <w:color w:val="auto"/>
              </w:rPr>
            </w:pPr>
          </w:p>
        </w:tc>
        <w:tc>
          <w:tcPr>
            <w:tcW w:w="4860" w:type="dxa"/>
            <w:vAlign w:val="bottom"/>
            <w:shd w:val="clear" w:color="auto" w:fill="E5F1F8"/>
          </w:tcPr>
          <w:p>
            <w:pPr>
              <w:ind w:left="200"/>
              <w:spacing w:after="0" w:line="160" w:lineRule="exact"/>
              <w:rPr>
                <w:sz w:val="20"/>
                <w:szCs w:val="20"/>
                <w:color w:val="auto"/>
              </w:rPr>
            </w:pPr>
            <w:r>
              <w:rPr>
                <w:rFonts w:ascii="Arial" w:cs="Arial" w:eastAsia="Arial" w:hAnsi="Arial"/>
                <w:sz w:val="14"/>
                <w:szCs w:val="14"/>
                <w:b w:val="1"/>
                <w:bCs w:val="1"/>
                <w:color w:val="auto"/>
              </w:rPr>
              <w:t xml:space="preserve">an annualized basis) in August, one of the </w:t>
            </w:r>
            <w:r>
              <w:rPr>
                <w:rFonts w:ascii="Arial" w:cs="Arial" w:eastAsia="Arial" w:hAnsi="Arial"/>
                <w:sz w:val="14"/>
                <w:szCs w:val="14"/>
                <w:b w:val="1"/>
                <w:bCs w:val="1"/>
                <w:color w:val="007CBA"/>
              </w:rPr>
              <w:t>largest increases in</w:t>
            </w:r>
          </w:p>
        </w:tc>
      </w:tr>
      <w:tr>
        <w:trPr>
          <w:trHeight w:val="189"/>
        </w:trPr>
        <w:tc>
          <w:tcPr>
            <w:tcW w:w="440" w:type="dxa"/>
            <w:vAlign w:val="bottom"/>
            <w:shd w:val="clear" w:color="auto" w:fill="E5F1F8"/>
          </w:tcPr>
          <w:p>
            <w:pPr>
              <w:spacing w:after="0"/>
              <w:rPr>
                <w:sz w:val="16"/>
                <w:szCs w:val="16"/>
                <w:color w:val="auto"/>
              </w:rPr>
            </w:pPr>
          </w:p>
        </w:tc>
        <w:tc>
          <w:tcPr>
            <w:tcW w:w="500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4860" w:type="dxa"/>
            <w:vAlign w:val="bottom"/>
            <w:shd w:val="clear" w:color="auto" w:fill="E5F1F8"/>
          </w:tcPr>
          <w:p>
            <w:pPr>
              <w:ind w:left="200"/>
              <w:spacing w:after="0"/>
              <w:rPr>
                <w:sz w:val="20"/>
                <w:szCs w:val="20"/>
                <w:color w:val="auto"/>
              </w:rPr>
            </w:pPr>
            <w:r>
              <w:rPr>
                <w:rFonts w:ascii="Arial" w:cs="Arial" w:eastAsia="Arial" w:hAnsi="Arial"/>
                <w:sz w:val="14"/>
                <w:szCs w:val="14"/>
                <w:b w:val="1"/>
                <w:bCs w:val="1"/>
                <w:color w:val="007CBA"/>
              </w:rPr>
              <w:t>Company history</w:t>
            </w:r>
          </w:p>
        </w:tc>
      </w:tr>
      <w:tr>
        <w:trPr>
          <w:trHeight w:val="78"/>
        </w:trPr>
        <w:tc>
          <w:tcPr>
            <w:tcW w:w="440" w:type="dxa"/>
            <w:vAlign w:val="bottom"/>
            <w:shd w:val="clear" w:color="auto" w:fill="E5F1F8"/>
          </w:tcPr>
          <w:p>
            <w:pPr>
              <w:spacing w:after="0"/>
              <w:rPr>
                <w:sz w:val="6"/>
                <w:szCs w:val="6"/>
                <w:color w:val="auto"/>
              </w:rPr>
            </w:pPr>
          </w:p>
        </w:tc>
        <w:tc>
          <w:tcPr>
            <w:tcW w:w="5000" w:type="dxa"/>
            <w:vAlign w:val="bottom"/>
            <w:shd w:val="clear" w:color="auto" w:fill="E5F1F8"/>
          </w:tcPr>
          <w:p>
            <w:pPr>
              <w:spacing w:after="0"/>
              <w:rPr>
                <w:sz w:val="6"/>
                <w:szCs w:val="6"/>
                <w:color w:val="auto"/>
              </w:rPr>
            </w:pPr>
          </w:p>
        </w:tc>
        <w:tc>
          <w:tcPr>
            <w:tcW w:w="560" w:type="dxa"/>
            <w:vAlign w:val="bottom"/>
            <w:shd w:val="clear" w:color="auto" w:fill="E5F1F8"/>
          </w:tcPr>
          <w:p>
            <w:pPr>
              <w:spacing w:after="0"/>
              <w:rPr>
                <w:sz w:val="6"/>
                <w:szCs w:val="6"/>
                <w:color w:val="auto"/>
              </w:rPr>
            </w:pPr>
          </w:p>
        </w:tc>
        <w:tc>
          <w:tcPr>
            <w:tcW w:w="4860" w:type="dxa"/>
            <w:vAlign w:val="bottom"/>
            <w:shd w:val="clear" w:color="auto" w:fill="E5F1F8"/>
          </w:tcPr>
          <w:p>
            <w:pPr>
              <w:spacing w:after="0"/>
              <w:rPr>
                <w:sz w:val="6"/>
                <w:szCs w:val="6"/>
                <w:color w:val="auto"/>
              </w:rPr>
            </w:pPr>
          </w:p>
        </w:tc>
      </w:tr>
      <w:tr>
        <w:trPr>
          <w:trHeight w:val="253"/>
        </w:trPr>
        <w:tc>
          <w:tcPr>
            <w:tcW w:w="4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560" w:type="dxa"/>
            <w:vAlign w:val="bottom"/>
          </w:tcPr>
          <w:p>
            <w:pPr>
              <w:ind w:left="220"/>
              <w:spacing w:after="0" w:line="141" w:lineRule="exact"/>
              <w:rPr>
                <w:sz w:val="20"/>
                <w:szCs w:val="20"/>
                <w:color w:val="auto"/>
              </w:rPr>
            </w:pPr>
            <w:r>
              <w:rPr>
                <w:rFonts w:ascii="MS PGothic" w:cs="MS PGothic" w:eastAsia="MS PGothic" w:hAnsi="MS PGothic"/>
                <w:sz w:val="14"/>
                <w:szCs w:val="14"/>
                <w:color w:val="007CBA"/>
              </w:rPr>
              <w:t>✓</w:t>
            </w:r>
          </w:p>
        </w:tc>
        <w:tc>
          <w:tcPr>
            <w:tcW w:w="4860" w:type="dxa"/>
            <w:vAlign w:val="bottom"/>
          </w:tcPr>
          <w:p>
            <w:pPr>
              <w:ind w:left="200"/>
              <w:spacing w:after="0"/>
              <w:rPr>
                <w:sz w:val="20"/>
                <w:szCs w:val="20"/>
                <w:color w:val="auto"/>
              </w:rPr>
            </w:pPr>
            <w:r>
              <w:rPr>
                <w:rFonts w:ascii="Arial" w:cs="Arial" w:eastAsia="Arial" w:hAnsi="Arial"/>
                <w:sz w:val="14"/>
                <w:szCs w:val="14"/>
                <w:b w:val="1"/>
                <w:bCs w:val="1"/>
                <w:color w:val="auto"/>
              </w:rPr>
              <w:t>Maintained our investment grade credit rating, exiting the year with</w:t>
            </w:r>
          </w:p>
        </w:tc>
      </w:tr>
      <w:tr>
        <w:trPr>
          <w:trHeight w:val="189"/>
        </w:trPr>
        <w:tc>
          <w:tcPr>
            <w:tcW w:w="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4"/>
                <w:szCs w:val="14"/>
                <w:b w:val="1"/>
                <w:bCs w:val="1"/>
                <w:color w:val="auto"/>
              </w:rPr>
              <w:t>a 2.2x leverage ratio, within our target ratio of 2.0x – 2.5x</w:t>
            </w:r>
          </w:p>
        </w:tc>
      </w:tr>
      <w:tr>
        <w:trPr>
          <w:trHeight w:val="78"/>
        </w:trPr>
        <w:tc>
          <w:tcPr>
            <w:tcW w:w="440" w:type="dxa"/>
            <w:vAlign w:val="bottom"/>
            <w:tcBorders>
              <w:bottom w:val="single" w:sz="8" w:color="007CBA"/>
            </w:tcBorders>
          </w:tcPr>
          <w:p>
            <w:pPr>
              <w:spacing w:after="0"/>
              <w:rPr>
                <w:sz w:val="6"/>
                <w:szCs w:val="6"/>
                <w:color w:val="auto"/>
              </w:rPr>
            </w:pPr>
          </w:p>
        </w:tc>
        <w:tc>
          <w:tcPr>
            <w:tcW w:w="5000" w:type="dxa"/>
            <w:vAlign w:val="bottom"/>
            <w:tcBorders>
              <w:bottom w:val="single" w:sz="8" w:color="007CBA"/>
            </w:tcBorders>
          </w:tcPr>
          <w:p>
            <w:pPr>
              <w:spacing w:after="0"/>
              <w:rPr>
                <w:sz w:val="6"/>
                <w:szCs w:val="6"/>
                <w:color w:val="auto"/>
              </w:rPr>
            </w:pPr>
          </w:p>
        </w:tc>
        <w:tc>
          <w:tcPr>
            <w:tcW w:w="560" w:type="dxa"/>
            <w:vAlign w:val="bottom"/>
            <w:tcBorders>
              <w:bottom w:val="single" w:sz="8" w:color="007CBA"/>
            </w:tcBorders>
          </w:tcPr>
          <w:p>
            <w:pPr>
              <w:spacing w:after="0"/>
              <w:rPr>
                <w:sz w:val="6"/>
                <w:szCs w:val="6"/>
                <w:color w:val="auto"/>
              </w:rPr>
            </w:pPr>
          </w:p>
        </w:tc>
        <w:tc>
          <w:tcPr>
            <w:tcW w:w="4860" w:type="dxa"/>
            <w:vAlign w:val="bottom"/>
            <w:tcBorders>
              <w:bottom w:val="single" w:sz="8" w:color="007CBA"/>
            </w:tcBorders>
          </w:tcPr>
          <w:p>
            <w:pPr>
              <w:spacing w:after="0"/>
              <w:rPr>
                <w:sz w:val="6"/>
                <w:szCs w:val="6"/>
                <w:color w:val="auto"/>
              </w:rPr>
            </w:pPr>
          </w:p>
        </w:tc>
      </w:tr>
    </w:tbl>
    <w:p>
      <w:pPr>
        <w:spacing w:after="0" w:line="175"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As a result of our commitment to SOAR, 2019 was a year of significant growth for Martin Marietta. Record consolidated total revenues of $4.7 billion, reflecting a 12% increase over the prior year, was driven by the double-digit aggregates and cement shipment growth and industry-leading pricing gains. For the eighth-consecutive year, the Company achieved annual revenue, gross profit, adjusted EBITDA and adjusted EPS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125730</wp:posOffset>
            </wp:positionV>
            <wp:extent cx="5026660" cy="1413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26660" cy="141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433"/>
        <w:spacing w:after="0" w:line="254" w:lineRule="auto"/>
        <w:tabs>
          <w:tab w:leader="none" w:pos="6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Adjusted EBITDA is one of the metrics used for executive performance targets and is shown here for an understanding of this metric as compared to other measures of the Company’s performance. See Appendix B for reconciliation to net earnings attributable to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81280</wp:posOffset>
            </wp:positionV>
            <wp:extent cx="406400" cy="2451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43" w:lineRule="exact"/>
        <w:rPr>
          <w:sz w:val="20"/>
          <w:szCs w:val="20"/>
          <w:color w:val="auto"/>
        </w:rPr>
      </w:pPr>
    </w:p>
    <w:p>
      <w:pPr>
        <w:ind w:left="620" w:hanging="433"/>
        <w:spacing w:after="0"/>
        <w:tabs>
          <w:tab w:leader="none" w:pos="620" w:val="left"/>
        </w:tabs>
        <w:numPr>
          <w:ilvl w:val="0"/>
          <w:numId w:val="89"/>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7020"/>
        <w:spacing w:after="0" w:line="276" w:lineRule="exact"/>
        <w:rPr>
          <w:sz w:val="20"/>
          <w:szCs w:val="20"/>
          <w:color w:val="auto"/>
        </w:rPr>
      </w:pPr>
      <w:r>
        <w:rPr>
          <w:rFonts w:ascii="Arial" w:cs="Arial" w:eastAsia="Arial" w:hAnsi="Arial"/>
          <w:sz w:val="13"/>
          <w:szCs w:val="13"/>
          <w:color w:val="auto"/>
        </w:rPr>
        <w:t xml:space="preserve">Our 2019 Performance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28" w:lineRule="exact"/>
        <w:rPr>
          <w:sz w:val="20"/>
          <w:szCs w:val="20"/>
          <w:color w:val="auto"/>
        </w:rPr>
      </w:pPr>
    </w:p>
    <w:p>
      <w:pPr>
        <w:jc w:val="both"/>
        <w:ind w:left="180"/>
        <w:spacing w:after="0" w:line="246" w:lineRule="auto"/>
        <w:rPr>
          <w:sz w:val="20"/>
          <w:szCs w:val="20"/>
          <w:color w:val="auto"/>
        </w:rPr>
      </w:pPr>
      <w:r>
        <w:rPr>
          <w:rFonts w:ascii="Arial" w:cs="Arial" w:eastAsia="Arial" w:hAnsi="Arial"/>
          <w:sz w:val="16"/>
          <w:szCs w:val="16"/>
          <w:color w:val="auto"/>
        </w:rPr>
        <w:t xml:space="preserve">Martin Marietta’s ability to consistently translate revenue growth into increased profitability has also given us the ability to protect our balance sheet in order to make prudent acquisitions and capital investments in our business, while achieving a debt-to-EBITDA leverage ratio of 2.2x at year-end. As a result, we have been able to position our business as an aggregates leader in 90% of the geographies in which we operate and align our product offerings to leverage strategic cement and targeted downstream opportunities. This led to our significant outperformance of our peers in 2019, during which time we delivered a </w:t>
      </w:r>
      <w:r>
        <w:rPr>
          <w:rFonts w:ascii="Arial" w:cs="Arial" w:eastAsia="Arial" w:hAnsi="Arial"/>
          <w:sz w:val="16"/>
          <w:szCs w:val="16"/>
          <w:b w:val="1"/>
          <w:bCs w:val="1"/>
          <w:color w:val="auto"/>
        </w:rPr>
        <w:t>64 percent total shareholder return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220980</wp:posOffset>
            </wp:positionV>
            <wp:extent cx="5728970" cy="7359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28970" cy="735965"/>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Safety, Environment and Sustainability</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Sustainability Reporting</w:t>
      </w:r>
    </w:p>
    <w:p>
      <w:pPr>
        <w:spacing w:after="0" w:line="192" w:lineRule="exact"/>
        <w:rPr>
          <w:sz w:val="20"/>
          <w:szCs w:val="20"/>
          <w:color w:val="auto"/>
        </w:rPr>
      </w:pPr>
    </w:p>
    <w:p>
      <w:pPr>
        <w:jc w:val="both"/>
        <w:ind w:left="200"/>
        <w:spacing w:after="0" w:line="263" w:lineRule="auto"/>
        <w:rPr>
          <w:sz w:val="20"/>
          <w:szCs w:val="20"/>
          <w:color w:val="auto"/>
        </w:rPr>
      </w:pPr>
      <w:r>
        <w:rPr>
          <w:rFonts w:ascii="Arial" w:cs="Arial" w:eastAsia="Arial" w:hAnsi="Arial"/>
          <w:sz w:val="15"/>
          <w:szCs w:val="15"/>
          <w:color w:val="auto"/>
        </w:rPr>
        <w:t>Our commitment to sustainability is part of our core strategy and we have a long track record of building solid foundations, caring about our employees, our communities and the environment, while responsibly growing our company. One of our commitments to our shareholders and other stakeholders is to improve each year on these metrics. In addition, we have endeavored to tell our story better each year, informing our shareholders and other stakeholders about our efforts, costs, risks, goals, and the relationship between our goals and management compensation.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this  regard,  we  have  made  the  following  enhancements  to  our</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Sustainability activities:</w:t>
      </w:r>
    </w:p>
    <w:p>
      <w:pPr>
        <w:spacing w:after="0" w:line="67" w:lineRule="exact"/>
        <w:rPr>
          <w:sz w:val="20"/>
          <w:szCs w:val="20"/>
          <w:color w:val="auto"/>
        </w:rPr>
      </w:pPr>
    </w:p>
    <w:p>
      <w:pPr>
        <w:ind w:left="540" w:hanging="274"/>
        <w:spacing w:after="0" w:line="275" w:lineRule="auto"/>
        <w:tabs>
          <w:tab w:leader="none" w:pos="540" w:val="left"/>
        </w:tabs>
        <w:numPr>
          <w:ilvl w:val="0"/>
          <w:numId w:val="90"/>
        </w:numPr>
        <w:rPr>
          <w:rFonts w:ascii="Arial" w:cs="Arial" w:eastAsia="Arial" w:hAnsi="Arial"/>
          <w:sz w:val="16"/>
          <w:szCs w:val="16"/>
          <w:color w:val="007CBA"/>
        </w:rPr>
      </w:pPr>
      <w:r>
        <w:rPr>
          <w:rFonts w:ascii="Arial" w:cs="Arial" w:eastAsia="Arial" w:hAnsi="Arial"/>
          <w:sz w:val="16"/>
          <w:szCs w:val="16"/>
          <w:color w:val="auto"/>
        </w:rPr>
        <w:t xml:space="preserve">We reported in our </w:t>
      </w:r>
      <w:r>
        <w:rPr>
          <w:rFonts w:ascii="Arial" w:cs="Arial" w:eastAsia="Arial" w:hAnsi="Arial"/>
          <w:sz w:val="16"/>
          <w:szCs w:val="16"/>
          <w:i w:val="1"/>
          <w:iCs w:val="1"/>
          <w:color w:val="auto"/>
        </w:rPr>
        <w:t>2018 Sustainability Report</w:t>
      </w:r>
      <w:r>
        <w:rPr>
          <w:rFonts w:ascii="Arial" w:cs="Arial" w:eastAsia="Arial" w:hAnsi="Arial"/>
          <w:sz w:val="16"/>
          <w:szCs w:val="16"/>
          <w:color w:val="auto"/>
        </w:rPr>
        <w:t xml:space="preserve"> Scope 1 green house gas (GHG) emissions data relating to our aggregates group.</w:t>
      </w:r>
    </w:p>
    <w:p>
      <w:pPr>
        <w:spacing w:after="0" w:line="47"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90"/>
        </w:numPr>
        <w:rPr>
          <w:rFonts w:ascii="Arial" w:cs="Arial" w:eastAsia="Arial" w:hAnsi="Arial"/>
          <w:sz w:val="16"/>
          <w:szCs w:val="16"/>
          <w:color w:val="007CBA"/>
        </w:rPr>
      </w:pPr>
      <w:r>
        <w:rPr>
          <w:rFonts w:ascii="Arial" w:cs="Arial" w:eastAsia="Arial" w:hAnsi="Arial"/>
          <w:sz w:val="16"/>
          <w:szCs w:val="16"/>
          <w:color w:val="auto"/>
        </w:rPr>
        <w:t>Our most recent Sustainability Report, which will be issued in April 2020, includes enhanced disclosures relating to key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88" w:right="20"/>
        <w:spacing w:after="0" w:line="245" w:lineRule="auto"/>
        <w:rPr>
          <w:sz w:val="20"/>
          <w:szCs w:val="20"/>
          <w:color w:val="auto"/>
        </w:rPr>
      </w:pPr>
      <w:r>
        <w:rPr>
          <w:rFonts w:ascii="Arial" w:cs="Arial" w:eastAsia="Arial" w:hAnsi="Arial"/>
          <w:sz w:val="16"/>
          <w:szCs w:val="16"/>
          <w:color w:val="auto"/>
        </w:rPr>
        <w:t>sustainability matters, including reporting Scope 1 GHG emissions data across all of our business lines (both in terms of absolute emissions and emissions intensity). In that report, we also disclose Scope 1 GHG emissions reduction targets across both our cement and magnesia specialties operations, which are the sources of most of our Scope 1 GHG emissions, for 2030 over a 2010 baseline year.</w:t>
      </w:r>
    </w:p>
    <w:p>
      <w:pPr>
        <w:spacing w:after="0" w:line="73" w:lineRule="exact"/>
        <w:rPr>
          <w:sz w:val="20"/>
          <w:szCs w:val="20"/>
          <w:color w:val="auto"/>
        </w:rPr>
      </w:pPr>
    </w:p>
    <w:p>
      <w:pPr>
        <w:ind w:left="288" w:right="20" w:hanging="288"/>
        <w:spacing w:after="0" w:line="254" w:lineRule="auto"/>
        <w:tabs>
          <w:tab w:leader="none" w:pos="288" w:val="left"/>
        </w:tabs>
        <w:numPr>
          <w:ilvl w:val="0"/>
          <w:numId w:val="91"/>
        </w:numPr>
        <w:rPr>
          <w:rFonts w:ascii="Arial" w:cs="Arial" w:eastAsia="Arial" w:hAnsi="Arial"/>
          <w:sz w:val="16"/>
          <w:szCs w:val="16"/>
          <w:color w:val="007CBA"/>
        </w:rPr>
      </w:pPr>
      <w:r>
        <w:rPr>
          <w:rFonts w:ascii="Arial" w:cs="Arial" w:eastAsia="Arial" w:hAnsi="Arial"/>
          <w:sz w:val="16"/>
          <w:szCs w:val="16"/>
          <w:color w:val="auto"/>
        </w:rPr>
        <w:t>We created a new position dedicated to sustainability and communications.</w:t>
      </w:r>
    </w:p>
    <w:p>
      <w:pPr>
        <w:spacing w:after="0" w:line="63" w:lineRule="exact"/>
        <w:rPr>
          <w:rFonts w:ascii="Arial" w:cs="Arial" w:eastAsia="Arial" w:hAnsi="Arial"/>
          <w:sz w:val="16"/>
          <w:szCs w:val="16"/>
          <w:color w:val="007CBA"/>
        </w:rPr>
      </w:pPr>
    </w:p>
    <w:p>
      <w:pPr>
        <w:jc w:val="both"/>
        <w:ind w:left="288" w:right="20" w:hanging="288"/>
        <w:spacing w:after="0" w:line="247" w:lineRule="auto"/>
        <w:tabs>
          <w:tab w:leader="none" w:pos="288" w:val="left"/>
        </w:tabs>
        <w:numPr>
          <w:ilvl w:val="0"/>
          <w:numId w:val="91"/>
        </w:numPr>
        <w:rPr>
          <w:rFonts w:ascii="Arial" w:cs="Arial" w:eastAsia="Arial" w:hAnsi="Arial"/>
          <w:sz w:val="16"/>
          <w:szCs w:val="16"/>
          <w:color w:val="007CBA"/>
        </w:rPr>
      </w:pPr>
      <w:r>
        <w:rPr>
          <w:rFonts w:ascii="Arial" w:cs="Arial" w:eastAsia="Arial" w:hAnsi="Arial"/>
          <w:sz w:val="16"/>
          <w:szCs w:val="16"/>
          <w:color w:val="auto"/>
        </w:rPr>
        <w:t>Our Chairman and CEO, joined by other senior managers, engaged with 13 shareholders specifically on sustainability issues, and discussed sustainability issues with almost all of the 189 investor groups we met with in 2019.</w:t>
      </w:r>
    </w:p>
    <w:p>
      <w:pPr>
        <w:spacing w:after="0" w:line="68" w:lineRule="exact"/>
        <w:rPr>
          <w:rFonts w:ascii="Arial" w:cs="Arial" w:eastAsia="Arial" w:hAnsi="Arial"/>
          <w:sz w:val="16"/>
          <w:szCs w:val="16"/>
          <w:color w:val="007CBA"/>
        </w:rPr>
      </w:pPr>
    </w:p>
    <w:p>
      <w:pPr>
        <w:jc w:val="both"/>
        <w:ind w:left="288" w:right="20" w:hanging="288"/>
        <w:spacing w:after="0" w:line="249" w:lineRule="auto"/>
        <w:tabs>
          <w:tab w:leader="none" w:pos="288" w:val="left"/>
        </w:tabs>
        <w:numPr>
          <w:ilvl w:val="0"/>
          <w:numId w:val="91"/>
        </w:numPr>
        <w:rPr>
          <w:rFonts w:ascii="Arial" w:cs="Arial" w:eastAsia="Arial" w:hAnsi="Arial"/>
          <w:sz w:val="16"/>
          <w:szCs w:val="16"/>
          <w:color w:val="007CBA"/>
        </w:rPr>
      </w:pPr>
      <w:r>
        <w:rPr>
          <w:rFonts w:ascii="Arial" w:cs="Arial" w:eastAsia="Arial" w:hAnsi="Arial"/>
          <w:sz w:val="16"/>
          <w:szCs w:val="16"/>
          <w:color w:val="auto"/>
        </w:rPr>
        <w:t>In 2019, we hosted 7 investors and other stakeholders who visited and toured our cement facilities and met with our cement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219075</wp:posOffset>
            </wp:positionV>
            <wp:extent cx="3046730" cy="33851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46730" cy="3385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12"/>
            <w:col w:w="5248"/>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bl>
    <w:p>
      <w:pPr>
        <w:sectPr>
          <w:pgSz w:w="11900" w:h="16838" w:orient="portrait"/>
          <w:cols w:equalWidth="0" w:num="1">
            <w:col w:w="11060"/>
          </w:cols>
          <w:pgMar w:left="320" w:top="455" w:right="5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Safety, Environment and Sustainability</w:t>
      </w:r>
    </w:p>
    <w:p>
      <w:pPr>
        <w:spacing w:after="0" w:line="261" w:lineRule="exact"/>
        <w:rPr>
          <w:sz w:val="20"/>
          <w:szCs w:val="20"/>
          <w:color w:val="auto"/>
        </w:rPr>
      </w:pPr>
    </w:p>
    <w:p>
      <w:pPr>
        <w:jc w:val="both"/>
        <w:ind w:left="200"/>
        <w:spacing w:after="0" w:line="262" w:lineRule="auto"/>
        <w:rPr>
          <w:sz w:val="20"/>
          <w:szCs w:val="20"/>
          <w:color w:val="auto"/>
        </w:rPr>
      </w:pPr>
      <w:r>
        <w:rPr>
          <w:rFonts w:ascii="Arial" w:cs="Arial" w:eastAsia="Arial" w:hAnsi="Arial"/>
          <w:sz w:val="16"/>
          <w:szCs w:val="16"/>
          <w:color w:val="auto"/>
        </w:rPr>
        <w:t xml:space="preserve">Our approach to Sustainability is embedded in four vital pillars of </w:t>
      </w:r>
      <w:r>
        <w:rPr>
          <w:rFonts w:ascii="Arial" w:cs="Arial" w:eastAsia="Arial" w:hAnsi="Arial"/>
          <w:sz w:val="16"/>
          <w:szCs w:val="16"/>
          <w:b w:val="1"/>
          <w:bCs w:val="1"/>
          <w:color w:val="007CBA"/>
        </w:rPr>
        <w:t>Safety,</w:t>
      </w:r>
      <w:r>
        <w:rPr>
          <w:rFonts w:ascii="Arial" w:cs="Arial" w:eastAsia="Arial" w:hAnsi="Arial"/>
          <w:sz w:val="16"/>
          <w:szCs w:val="16"/>
          <w:color w:val="auto"/>
        </w:rPr>
        <w:t xml:space="preserve"> </w:t>
      </w:r>
      <w:r>
        <w:rPr>
          <w:rFonts w:ascii="Arial" w:cs="Arial" w:eastAsia="Arial" w:hAnsi="Arial"/>
          <w:sz w:val="16"/>
          <w:szCs w:val="16"/>
          <w:b w:val="1"/>
          <w:bCs w:val="1"/>
          <w:color w:val="007CBA"/>
        </w:rPr>
        <w:t xml:space="preserve">Environment, Employees, </w:t>
      </w:r>
      <w:r>
        <w:rPr>
          <w:rFonts w:ascii="Arial" w:cs="Arial" w:eastAsia="Arial" w:hAnsi="Arial"/>
          <w:sz w:val="16"/>
          <w:szCs w:val="16"/>
          <w:color w:val="000000"/>
        </w:rPr>
        <w:t>and</w:t>
      </w:r>
      <w:r>
        <w:rPr>
          <w:rFonts w:ascii="Arial" w:cs="Arial" w:eastAsia="Arial" w:hAnsi="Arial"/>
          <w:sz w:val="16"/>
          <w:szCs w:val="16"/>
          <w:b w:val="1"/>
          <w:bCs w:val="1"/>
          <w:color w:val="007CBA"/>
        </w:rPr>
        <w:t xml:space="preserve"> Community. </w:t>
      </w:r>
      <w:r>
        <w:rPr>
          <w:rFonts w:ascii="Arial" w:cs="Arial" w:eastAsia="Arial" w:hAnsi="Arial"/>
          <w:sz w:val="16"/>
          <w:szCs w:val="16"/>
          <w:color w:val="000000"/>
        </w:rPr>
        <w:t>We continued to achieve</w:t>
      </w:r>
      <w:r>
        <w:rPr>
          <w:rFonts w:ascii="Arial" w:cs="Arial" w:eastAsia="Arial" w:hAnsi="Arial"/>
          <w:sz w:val="16"/>
          <w:szCs w:val="16"/>
          <w:b w:val="1"/>
          <w:bCs w:val="1"/>
          <w:color w:val="007CBA"/>
        </w:rPr>
        <w:t xml:space="preserve"> </w:t>
      </w:r>
      <w:r>
        <w:rPr>
          <w:rFonts w:ascii="Arial" w:cs="Arial" w:eastAsia="Arial" w:hAnsi="Arial"/>
          <w:sz w:val="16"/>
          <w:szCs w:val="16"/>
          <w:color w:val="000000"/>
        </w:rPr>
        <w:t>improvements in each of these areas in 2019.</w:t>
      </w:r>
    </w:p>
    <w:p>
      <w:pPr>
        <w:spacing w:after="0" w:line="190"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Track records such as ours are not built by accident; they are the result of a deliberate focus on fulfilling our responsibilities to our shareholders, our employees and other stakeholders. These responsibilities include:</w:t>
      </w:r>
    </w:p>
    <w:p>
      <w:pPr>
        <w:spacing w:after="0" w:line="67" w:lineRule="exact"/>
        <w:rPr>
          <w:sz w:val="20"/>
          <w:szCs w:val="20"/>
          <w:color w:val="auto"/>
        </w:rPr>
      </w:pPr>
    </w:p>
    <w:p>
      <w:pPr>
        <w:ind w:left="540" w:right="20" w:hanging="274"/>
        <w:spacing w:after="0" w:line="254" w:lineRule="auto"/>
        <w:tabs>
          <w:tab w:leader="none" w:pos="540" w:val="left"/>
        </w:tabs>
        <w:numPr>
          <w:ilvl w:val="0"/>
          <w:numId w:val="92"/>
        </w:numPr>
        <w:rPr>
          <w:rFonts w:ascii="Arial" w:cs="Arial" w:eastAsia="Arial" w:hAnsi="Arial"/>
          <w:sz w:val="16"/>
          <w:szCs w:val="16"/>
          <w:color w:val="007CBA"/>
        </w:rPr>
      </w:pPr>
      <w:r>
        <w:rPr>
          <w:rFonts w:ascii="Arial" w:cs="Arial" w:eastAsia="Arial" w:hAnsi="Arial"/>
          <w:sz w:val="16"/>
          <w:szCs w:val="16"/>
          <w:color w:val="auto"/>
        </w:rPr>
        <w:t>Demanding and facilitating a safe, ethical workplace for our employees</w:t>
      </w:r>
    </w:p>
    <w:p>
      <w:pPr>
        <w:spacing w:after="0" w:line="63"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92"/>
        </w:numPr>
        <w:rPr>
          <w:rFonts w:ascii="Arial" w:cs="Arial" w:eastAsia="Arial" w:hAnsi="Arial"/>
          <w:sz w:val="16"/>
          <w:szCs w:val="16"/>
          <w:color w:val="007CBA"/>
        </w:rPr>
      </w:pPr>
      <w:r>
        <w:rPr>
          <w:rFonts w:ascii="Arial" w:cs="Arial" w:eastAsia="Arial" w:hAnsi="Arial"/>
          <w:sz w:val="16"/>
          <w:szCs w:val="16"/>
          <w:color w:val="auto"/>
        </w:rPr>
        <w:t>Creating a positive, lasting impact on our communities and the environment</w:t>
      </w:r>
    </w:p>
    <w:p>
      <w:pPr>
        <w:spacing w:after="0" w:line="63" w:lineRule="exact"/>
        <w:rPr>
          <w:rFonts w:ascii="Arial" w:cs="Arial" w:eastAsia="Arial" w:hAnsi="Arial"/>
          <w:sz w:val="16"/>
          <w:szCs w:val="16"/>
          <w:color w:val="007CBA"/>
        </w:rPr>
      </w:pPr>
    </w:p>
    <w:p>
      <w:pPr>
        <w:ind w:left="540" w:right="20" w:hanging="274"/>
        <w:spacing w:after="0" w:line="254" w:lineRule="auto"/>
        <w:tabs>
          <w:tab w:leader="none" w:pos="540" w:val="left"/>
        </w:tabs>
        <w:numPr>
          <w:ilvl w:val="0"/>
          <w:numId w:val="92"/>
        </w:numPr>
        <w:rPr>
          <w:rFonts w:ascii="Arial" w:cs="Arial" w:eastAsia="Arial" w:hAnsi="Arial"/>
          <w:sz w:val="16"/>
          <w:szCs w:val="16"/>
          <w:color w:val="007CBA"/>
        </w:rPr>
      </w:pPr>
      <w:r>
        <w:rPr>
          <w:rFonts w:ascii="Arial" w:cs="Arial" w:eastAsia="Arial" w:hAnsi="Arial"/>
          <w:sz w:val="16"/>
          <w:szCs w:val="16"/>
          <w:color w:val="auto"/>
        </w:rPr>
        <w:t>Growing our business and responsibly investing our capital for maximum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225425</wp:posOffset>
            </wp:positionV>
            <wp:extent cx="3122930" cy="3207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2293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Our Board and management oversight and engagement reflects the importance of these critical matters to Martin Marietta. Sustainability is a key component of our strategy and business plan at Martin Marietta. Sustainability excellence is not only the right thing to do and a key driver of shareholder value, it is a vital component of both our strategic planning process, </w:t>
      </w:r>
      <w:r>
        <w:rPr>
          <w:rFonts w:ascii="Arial" w:cs="Arial" w:eastAsia="Arial" w:hAnsi="Arial"/>
          <w:sz w:val="16"/>
          <w:szCs w:val="16"/>
          <w:b w:val="1"/>
          <w:bCs w:val="1"/>
          <w:color w:val="auto"/>
        </w:rPr>
        <w:t>SOAR</w:t>
      </w:r>
      <w:r>
        <w:rPr>
          <w:rFonts w:ascii="Arial" w:cs="Arial" w:eastAsia="Arial" w:hAnsi="Arial"/>
          <w:sz w:val="16"/>
          <w:szCs w:val="16"/>
          <w:color w:val="auto"/>
        </w:rPr>
        <w:t xml:space="preserve">, and our annual planning process. </w:t>
      </w:r>
      <w:r>
        <w:rPr>
          <w:rFonts w:ascii="Arial" w:cs="Arial" w:eastAsia="Arial" w:hAnsi="Arial"/>
          <w:sz w:val="16"/>
          <w:szCs w:val="16"/>
          <w:b w:val="1"/>
          <w:bCs w:val="1"/>
          <w:color w:val="auto"/>
        </w:rPr>
        <w:t>SOAR</w:t>
      </w:r>
      <w:r>
        <w:rPr>
          <w:rFonts w:ascii="Arial" w:cs="Arial" w:eastAsia="Arial" w:hAnsi="Arial"/>
          <w:sz w:val="16"/>
          <w:szCs w:val="16"/>
          <w:color w:val="auto"/>
        </w:rPr>
        <w:t>, supplemented by our annual plan, has guided us since 2010 as we have grown our business, driven our safety incidents to record low levels, achieved record financial performance and created positive impacts on our communities and the environment. Key managers from across our business and our senior leadership</w:t>
      </w:r>
    </w:p>
    <w:p>
      <w:pPr>
        <w:spacing w:after="0" w:line="320" w:lineRule="exact"/>
        <w:rPr>
          <w:sz w:val="20"/>
          <w:szCs w:val="20"/>
          <w:color w:val="auto"/>
        </w:rPr>
      </w:pPr>
    </w:p>
    <w:p>
      <w:pPr>
        <w:ind w:left="620" w:hanging="433"/>
        <w:spacing w:after="0"/>
        <w:tabs>
          <w:tab w:leader="none" w:pos="620" w:val="left"/>
        </w:tabs>
        <w:numPr>
          <w:ilvl w:val="0"/>
          <w:numId w:val="93"/>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 furtherance of these continuing commitments,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-963930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63" w:lineRule="exact"/>
        <w:rPr>
          <w:sz w:val="20"/>
          <w:szCs w:val="20"/>
          <w:color w:val="auto"/>
        </w:rPr>
      </w:pPr>
    </w:p>
    <w:p>
      <w:pPr>
        <w:ind w:left="360" w:right="20" w:hanging="288"/>
        <w:spacing w:after="0" w:line="254" w:lineRule="auto"/>
        <w:tabs>
          <w:tab w:leader="none" w:pos="36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Included performance relating to Environment, Health, Safety and Sustainability (collectively, EHS) in our management strategy</w:t>
      </w:r>
    </w:p>
    <w:p>
      <w:pPr>
        <w:spacing w:after="0" w:line="63"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Considered achievement of individual and company-wide goals in regard to EHS in management compensation decisions</w:t>
      </w:r>
    </w:p>
    <w:p>
      <w:pPr>
        <w:spacing w:after="0" w:line="63" w:lineRule="exact"/>
        <w:rPr>
          <w:rFonts w:ascii="Arial" w:cs="Arial" w:eastAsia="Arial" w:hAnsi="Arial"/>
          <w:sz w:val="16"/>
          <w:szCs w:val="16"/>
          <w:color w:val="007CBA"/>
        </w:rPr>
      </w:pPr>
    </w:p>
    <w:p>
      <w:pPr>
        <w:jc w:val="both"/>
        <w:ind w:left="360" w:right="20" w:hanging="288"/>
        <w:spacing w:after="0" w:line="249" w:lineRule="auto"/>
        <w:tabs>
          <w:tab w:leader="none" w:pos="36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Developed a task force relating to Sustainability with a view towards assessing and improving Company performance and disclosure as against world-class achievements</w:t>
      </w:r>
    </w:p>
    <w:p>
      <w:pPr>
        <w:spacing w:after="0" w:line="67" w:lineRule="exact"/>
        <w:rPr>
          <w:rFonts w:ascii="Arial" w:cs="Arial" w:eastAsia="Arial" w:hAnsi="Arial"/>
          <w:sz w:val="16"/>
          <w:szCs w:val="16"/>
          <w:color w:val="007CBA"/>
        </w:rPr>
      </w:pPr>
    </w:p>
    <w:p>
      <w:pPr>
        <w:jc w:val="both"/>
        <w:ind w:left="360" w:right="20" w:hanging="288"/>
        <w:spacing w:after="0" w:line="249" w:lineRule="auto"/>
        <w:tabs>
          <w:tab w:leader="none" w:pos="360" w:val="left"/>
        </w:tabs>
        <w:numPr>
          <w:ilvl w:val="0"/>
          <w:numId w:val="94"/>
        </w:numPr>
        <w:rPr>
          <w:rFonts w:ascii="Arial" w:cs="Arial" w:eastAsia="Arial" w:hAnsi="Arial"/>
          <w:sz w:val="16"/>
          <w:szCs w:val="16"/>
          <w:color w:val="007CBA"/>
        </w:rPr>
      </w:pPr>
      <w:r>
        <w:rPr>
          <w:rFonts w:ascii="Arial" w:cs="Arial" w:eastAsia="Arial" w:hAnsi="Arial"/>
          <w:sz w:val="16"/>
          <w:szCs w:val="16"/>
          <w:color w:val="auto"/>
        </w:rPr>
        <w:t>Regularly report, at least twice annually, our progress on EHS issues to our Ethics, Environment, Health and Safety Committee (EESHC), an independent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422275</wp:posOffset>
            </wp:positionV>
            <wp:extent cx="1235710" cy="15233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000000"/>
                        </a:clrFrom>
                        <a:clrTo>
                          <a:srgbClr val="000000">
                            <a:alpha val="0"/>
                          </a:srgbClr>
                        </a:clrTo>
                      </a:clrChange>
                      <a:extLst>
                        <a:ext uri="{28A0092B-C50C-407E-A947-70E740481C1C}"/>
                      </a:extLst>
                    </a:blip>
                    <a:srcRect/>
                    <a:stretch>
                      <a:fillRect/>
                    </a:stretch>
                  </pic:blipFill>
                  <pic:spPr bwMode="auto">
                    <a:xfrm>
                      <a:off x="0" y="0"/>
                      <a:ext cx="1235710" cy="152336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422275</wp:posOffset>
            </wp:positionV>
            <wp:extent cx="1235710" cy="15233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235710" cy="152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team engage throughout the year on material topics, including safety, employee well-being, community well-being and the environment.</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Both SOAR and our annual plan are reviewed and endorsed by our Board of Directors. Our EESHC is an experienced, diverse and knowledgeable group and has for decades overseen our ongoing efforts to hone truly sustainable business practices. Our full Board visits our operations frequently to hear firsthand from our team and see the positive impact we have on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425450</wp:posOffset>
            </wp:positionV>
            <wp:extent cx="406400" cy="2451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40"/>
            <w:col w:w="5320"/>
          </w:cols>
          <w:pgMar w:left="320" w:top="455"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Safety, Environment and Sustainability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Safety Performance</w:t>
      </w:r>
    </w:p>
    <w:p>
      <w:pPr>
        <w:sectPr>
          <w:pgSz w:w="11900" w:h="16838" w:orient="portrait"/>
          <w:cols w:equalWidth="0" w:num="1">
            <w:col w:w="11060"/>
          </w:cols>
          <w:pgMar w:left="320" w:top="455" w:right="519" w:bottom="1440" w:gutter="0" w:footer="0" w:header="0"/>
        </w:sectPr>
      </w:pPr>
    </w:p>
    <w:p>
      <w:pPr>
        <w:spacing w:after="0" w:line="172"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 xml:space="preserve">We have adopted a safety culture built on </w:t>
      </w:r>
      <w:r>
        <w:rPr>
          <w:rFonts w:ascii="Arial" w:cs="Arial" w:eastAsia="Arial" w:hAnsi="Arial"/>
          <w:sz w:val="16"/>
          <w:szCs w:val="16"/>
          <w:b w:val="1"/>
          <w:bCs w:val="1"/>
          <w:color w:val="007CBA"/>
        </w:rPr>
        <w:t>Guardian Angel</w:t>
      </w:r>
      <w:r>
        <w:rPr>
          <w:rFonts w:ascii="Arial" w:cs="Arial" w:eastAsia="Arial" w:hAnsi="Arial"/>
          <w:sz w:val="16"/>
          <w:szCs w:val="16"/>
          <w:color w:val="auto"/>
        </w:rPr>
        <w:t>, a safety program we first introduced in 2000 to encourage our employees to look out for each other to make sure everyone goes home safely each day. This program has propelled us to new heights in terms of safety performance, and we continue to search for ways to improve our safety performance. In 2019, we rolled out a comprehensive safety mentoring process to pair new employees with committed safety champions.</w:t>
      </w:r>
    </w:p>
    <w:p>
      <w:pPr>
        <w:spacing w:after="0" w:line="156"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color w:val="auto"/>
        </w:rPr>
        <w:t xml:space="preserve">We believe that </w:t>
      </w:r>
      <w:r>
        <w:rPr>
          <w:rFonts w:ascii="Arial" w:cs="Arial" w:eastAsia="Arial" w:hAnsi="Arial"/>
          <w:sz w:val="16"/>
          <w:szCs w:val="16"/>
          <w:b w:val="1"/>
          <w:bCs w:val="1"/>
          <w:color w:val="007CBA"/>
        </w:rPr>
        <w:t>Zero is Possible</w:t>
      </w:r>
      <w:r>
        <w:rPr>
          <w:rFonts w:ascii="Arial" w:cs="Arial" w:eastAsia="Arial" w:hAnsi="Arial"/>
          <w:sz w:val="16"/>
          <w:szCs w:val="16"/>
          <w:color w:val="auto"/>
        </w:rPr>
        <w:t>. This means operating our business without any safety incidents. Our goal is zero. We look to world-class companies and safety incident rates for guidance as to how we achieve this. We have continued to make headway in 2019 towards this important goal.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Several of our facilities were recognized by the </w:t>
      </w:r>
      <w:r>
        <w:rPr>
          <w:rFonts w:ascii="Arial" w:cs="Arial" w:eastAsia="Arial" w:hAnsi="Arial"/>
          <w:sz w:val="16"/>
          <w:szCs w:val="16"/>
          <w:b w:val="1"/>
          <w:bCs w:val="1"/>
          <w:color w:val="auto"/>
        </w:rPr>
        <w:t>National Stone, Sand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Gravel Association </w:t>
      </w:r>
      <w:r>
        <w:rPr>
          <w:rFonts w:ascii="Arial" w:cs="Arial" w:eastAsia="Arial" w:hAnsi="Arial"/>
          <w:sz w:val="16"/>
          <w:szCs w:val="16"/>
          <w:color w:val="auto"/>
        </w:rPr>
        <w:t>(NSSGA) as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Safety Excellence Award</w:t>
      </w:r>
      <w:r>
        <w:rPr>
          <w:rFonts w:ascii="Arial" w:cs="Arial" w:eastAsia="Arial" w:hAnsi="Arial"/>
          <w:sz w:val="16"/>
          <w:szCs w:val="16"/>
          <w:b w:val="1"/>
          <w:bCs w:val="1"/>
          <w:color w:val="auto"/>
        </w:rPr>
        <w:t xml:space="preserve"> </w:t>
      </w:r>
      <w:r>
        <w:rPr>
          <w:rFonts w:ascii="Arial" w:cs="Arial" w:eastAsia="Arial" w:hAnsi="Arial"/>
          <w:sz w:val="16"/>
          <w:szCs w:val="16"/>
          <w:color w:val="auto"/>
        </w:rPr>
        <w:t>winners. These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recognize operations that have gone the longest duration without a reportable incident in their size category, based on data provided by the U.S. Department of Labor’s Mine Safety and Health Administration. In 2019, our Onslow Quarry in North Carolina won gold-level honors, while our Iowa Grading 2 plant in Iowa and Charlotte Quarry in North Carolina received bronze awards.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National Ready Mixed Concrete Association</w:t>
      </w:r>
      <w:r>
        <w:rPr>
          <w:rFonts w:ascii="Arial" w:cs="Arial" w:eastAsia="Arial" w:hAnsi="Arial"/>
          <w:sz w:val="16"/>
          <w:szCs w:val="16"/>
          <w:color w:val="auto"/>
        </w:rPr>
        <w:t xml:space="preserve"> also recognized our Valmont, Colorado operations with a gold award for </w:t>
      </w:r>
      <w:r>
        <w:rPr>
          <w:rFonts w:ascii="Arial" w:cs="Arial" w:eastAsia="Arial" w:hAnsi="Arial"/>
          <w:sz w:val="16"/>
          <w:szCs w:val="16"/>
          <w:i w:val="1"/>
          <w:iCs w:val="1"/>
          <w:color w:val="auto"/>
        </w:rPr>
        <w:t>Excellence in Safety</w:t>
      </w:r>
      <w:r>
        <w:rPr>
          <w:rFonts w:ascii="Arial" w:cs="Arial" w:eastAsia="Arial" w:hAnsi="Arial"/>
          <w:sz w:val="16"/>
          <w:szCs w:val="16"/>
          <w:color w:val="auto"/>
        </w:rPr>
        <w:t xml:space="preserve"> as a result of achieving zero safety incidents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458470</wp:posOffset>
            </wp:positionV>
            <wp:extent cx="3012440" cy="20904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12440" cy="2090420"/>
                    </a:xfrm>
                    <a:prstGeom prst="rect">
                      <a:avLst/>
                    </a:prstGeom>
                    <a:noFill/>
                  </pic:spPr>
                </pic:pic>
              </a:graphicData>
            </a:graphic>
          </wp:anchor>
        </w:drawing>
      </w:r>
    </w:p>
    <w:p>
      <w:pPr>
        <w:spacing w:after="0" w:line="376"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line="280" w:lineRule="auto"/>
        <w:rPr>
          <w:sz w:val="20"/>
          <w:szCs w:val="20"/>
          <w:color w:val="auto"/>
        </w:rPr>
      </w:pPr>
      <w:r>
        <w:rPr>
          <w:rFonts w:ascii="Arial" w:cs="Arial" w:eastAsia="Arial" w:hAnsi="Arial"/>
          <w:sz w:val="16"/>
          <w:szCs w:val="16"/>
          <w:color w:val="auto"/>
        </w:rPr>
        <w:t xml:space="preserve">For Martin Marietta, safety performance sets our </w:t>
      </w:r>
      <w:r>
        <w:rPr>
          <w:rFonts w:ascii="Arial" w:cs="Arial" w:eastAsia="Arial" w:hAnsi="Arial"/>
          <w:sz w:val="16"/>
          <w:szCs w:val="16"/>
          <w:b w:val="1"/>
          <w:bCs w:val="1"/>
          <w:color w:val="007CBA"/>
        </w:rPr>
        <w:t>foundation for long-term financial strength and successful SOAR execution</w:t>
      </w:r>
      <w:r>
        <w:rPr>
          <w:rFonts w:ascii="Arial" w:cs="Arial" w:eastAsia="Arial" w:hAnsi="Arial"/>
          <w:sz w:val="16"/>
          <w:szCs w:val="16"/>
          <w:color w:val="auto"/>
        </w:rPr>
        <w:t>. Simply said, a safe operation is a profitable one. All awards are meaningful, but it is particularly satisfying when we are recognized for achievement against our core values.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Employee Well-being</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5400" w:type="dxa"/>
            <w:vAlign w:val="bottom"/>
          </w:tcPr>
          <w:p>
            <w:pPr>
              <w:ind w:left="20"/>
              <w:spacing w:after="0"/>
              <w:rPr>
                <w:sz w:val="20"/>
                <w:szCs w:val="20"/>
                <w:color w:val="auto"/>
              </w:rPr>
            </w:pPr>
            <w:r>
              <w:rPr>
                <w:rFonts w:ascii="Arial" w:cs="Arial" w:eastAsia="Arial" w:hAnsi="Arial"/>
                <w:sz w:val="16"/>
                <w:szCs w:val="16"/>
                <w:color w:val="auto"/>
              </w:rPr>
              <w:t>Martin Marietta marked 25 years of success as a public company in 2019.</w:t>
            </w:r>
          </w:p>
        </w:tc>
        <w:tc>
          <w:tcPr>
            <w:tcW w:w="5480" w:type="dxa"/>
            <w:vAlign w:val="bottom"/>
            <w:gridSpan w:val="4"/>
          </w:tcPr>
          <w:p>
            <w:pPr>
              <w:jc w:val="right"/>
              <w:spacing w:after="0"/>
              <w:rPr>
                <w:sz w:val="20"/>
                <w:szCs w:val="20"/>
                <w:color w:val="auto"/>
              </w:rPr>
            </w:pPr>
            <w:r>
              <w:rPr>
                <w:rFonts w:ascii="Arial" w:cs="Arial" w:eastAsia="Arial" w:hAnsi="Arial"/>
                <w:sz w:val="16"/>
                <w:szCs w:val="16"/>
                <w:color w:val="auto"/>
              </w:rPr>
              <w:t>employee  communication  across  the  enterprise,  focused  employee</w:t>
            </w:r>
          </w:p>
        </w:tc>
      </w:tr>
      <w:tr>
        <w:trPr>
          <w:trHeight w:val="187"/>
        </w:trPr>
        <w:tc>
          <w:tcPr>
            <w:tcW w:w="5400" w:type="dxa"/>
            <w:vAlign w:val="bottom"/>
          </w:tcPr>
          <w:p>
            <w:pPr>
              <w:ind w:left="20"/>
              <w:spacing w:after="0"/>
              <w:rPr>
                <w:sz w:val="20"/>
                <w:szCs w:val="20"/>
                <w:color w:val="auto"/>
              </w:rPr>
            </w:pPr>
            <w:r>
              <w:rPr>
                <w:rFonts w:ascii="Arial" w:cs="Arial" w:eastAsia="Arial" w:hAnsi="Arial"/>
                <w:sz w:val="16"/>
                <w:szCs w:val="16"/>
                <w:color w:val="auto"/>
              </w:rPr>
              <w:t>To celebrate, Chairman and CEO C. Howard Nye hosted an Employee</w:t>
            </w:r>
          </w:p>
        </w:tc>
        <w:tc>
          <w:tcPr>
            <w:tcW w:w="5480" w:type="dxa"/>
            <w:vAlign w:val="bottom"/>
            <w:gridSpan w:val="4"/>
          </w:tcPr>
          <w:p>
            <w:pPr>
              <w:jc w:val="right"/>
              <w:spacing w:after="0"/>
              <w:rPr>
                <w:sz w:val="20"/>
                <w:szCs w:val="20"/>
                <w:color w:val="auto"/>
              </w:rPr>
            </w:pPr>
            <w:r>
              <w:rPr>
                <w:rFonts w:ascii="Arial" w:cs="Arial" w:eastAsia="Arial" w:hAnsi="Arial"/>
                <w:sz w:val="16"/>
                <w:szCs w:val="16"/>
                <w:color w:val="auto"/>
              </w:rPr>
              <w:t>development by designing career paths and development plans, and</w:t>
            </w:r>
          </w:p>
        </w:tc>
      </w:tr>
      <w:tr>
        <w:trPr>
          <w:trHeight w:val="187"/>
        </w:trPr>
        <w:tc>
          <w:tcPr>
            <w:tcW w:w="5400" w:type="dxa"/>
            <w:vAlign w:val="bottom"/>
          </w:tcPr>
          <w:p>
            <w:pPr>
              <w:ind w:left="20"/>
              <w:spacing w:after="0"/>
              <w:rPr>
                <w:sz w:val="20"/>
                <w:szCs w:val="20"/>
                <w:color w:val="auto"/>
              </w:rPr>
            </w:pPr>
            <w:r>
              <w:rPr>
                <w:rFonts w:ascii="Arial" w:cs="Arial" w:eastAsia="Arial" w:hAnsi="Arial"/>
                <w:sz w:val="16"/>
                <w:szCs w:val="16"/>
                <w:color w:val="auto"/>
              </w:rPr>
              <w:t>Town Hall for our nearly 9,000 employees. His message was that Martin</w:t>
            </w:r>
          </w:p>
        </w:tc>
        <w:tc>
          <w:tcPr>
            <w:tcW w:w="5480" w:type="dxa"/>
            <w:vAlign w:val="bottom"/>
            <w:gridSpan w:val="4"/>
          </w:tcPr>
          <w:p>
            <w:pPr>
              <w:jc w:val="right"/>
              <w:spacing w:after="0"/>
              <w:rPr>
                <w:sz w:val="20"/>
                <w:szCs w:val="20"/>
                <w:color w:val="auto"/>
              </w:rPr>
            </w:pPr>
            <w:r>
              <w:rPr>
                <w:rFonts w:ascii="Arial" w:cs="Arial" w:eastAsia="Arial" w:hAnsi="Arial"/>
                <w:sz w:val="16"/>
                <w:szCs w:val="16"/>
                <w:color w:val="auto"/>
              </w:rPr>
              <w:t>provision of a competitive offering of employee benefits including: health</w:t>
            </w:r>
          </w:p>
        </w:tc>
      </w:tr>
      <w:tr>
        <w:trPr>
          <w:trHeight w:val="167"/>
        </w:trPr>
        <w:tc>
          <w:tcPr>
            <w:tcW w:w="5400" w:type="dxa"/>
            <w:vAlign w:val="bottom"/>
          </w:tcPr>
          <w:p>
            <w:pPr>
              <w:ind w:left="20"/>
              <w:spacing w:after="0" w:line="167" w:lineRule="exact"/>
              <w:rPr>
                <w:sz w:val="20"/>
                <w:szCs w:val="20"/>
                <w:color w:val="auto"/>
              </w:rPr>
            </w:pPr>
            <w:r>
              <w:rPr>
                <w:rFonts w:ascii="Arial" w:cs="Arial" w:eastAsia="Arial" w:hAnsi="Arial"/>
                <w:sz w:val="16"/>
                <w:szCs w:val="16"/>
                <w:color w:val="auto"/>
              </w:rPr>
              <w:t>Marietta  is  safer,  more  inclusive,  and  more  profitable  than  ever,</w:t>
            </w:r>
          </w:p>
        </w:tc>
        <w:tc>
          <w:tcPr>
            <w:tcW w:w="5480" w:type="dxa"/>
            <w:vAlign w:val="bottom"/>
            <w:gridSpan w:val="4"/>
          </w:tcPr>
          <w:p>
            <w:pPr>
              <w:jc w:val="right"/>
              <w:spacing w:after="0" w:line="167" w:lineRule="exact"/>
              <w:rPr>
                <w:sz w:val="20"/>
                <w:szCs w:val="20"/>
                <w:color w:val="auto"/>
              </w:rPr>
            </w:pPr>
            <w:r>
              <w:rPr>
                <w:rFonts w:ascii="Arial" w:cs="Arial" w:eastAsia="Arial" w:hAnsi="Arial"/>
                <w:sz w:val="16"/>
                <w:szCs w:val="16"/>
                <w:color w:val="auto"/>
              </w:rPr>
              <w:t>and welfare, Company sponsored pension plan and 401(k) plan with</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underscored by the creation and evolution of the </w:t>
            </w:r>
            <w:r>
              <w:rPr>
                <w:rFonts w:ascii="Arial" w:cs="Arial" w:eastAsia="Arial" w:hAnsi="Arial"/>
                <w:sz w:val="16"/>
                <w:szCs w:val="16"/>
                <w:b w:val="1"/>
                <w:bCs w:val="1"/>
                <w:color w:val="007CBA"/>
              </w:rPr>
              <w:t>Guardian Angel</w:t>
            </w:r>
            <w:r>
              <w:rPr>
                <w:rFonts w:ascii="Arial" w:cs="Arial" w:eastAsia="Arial" w:hAnsi="Arial"/>
                <w:sz w:val="16"/>
                <w:szCs w:val="16"/>
                <w:color w:val="auto"/>
              </w:rPr>
              <w:t xml:space="preserve"> safety</w:t>
            </w:r>
          </w:p>
        </w:tc>
        <w:tc>
          <w:tcPr>
            <w:tcW w:w="3000" w:type="dxa"/>
            <w:vAlign w:val="bottom"/>
          </w:tcPr>
          <w:p>
            <w:pPr>
              <w:ind w:left="160"/>
              <w:spacing w:after="0"/>
              <w:rPr>
                <w:sz w:val="20"/>
                <w:szCs w:val="20"/>
                <w:color w:val="auto"/>
              </w:rPr>
            </w:pPr>
            <w:r>
              <w:rPr>
                <w:rFonts w:ascii="Arial" w:cs="Arial" w:eastAsia="Arial" w:hAnsi="Arial"/>
                <w:sz w:val="16"/>
                <w:szCs w:val="16"/>
                <w:color w:val="auto"/>
              </w:rPr>
              <w:t>company match.</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3"/>
        </w:trPr>
        <w:tc>
          <w:tcPr>
            <w:tcW w:w="5400" w:type="dxa"/>
            <w:vAlign w:val="bottom"/>
          </w:tcPr>
          <w:p>
            <w:pPr>
              <w:ind w:left="20"/>
              <w:spacing w:after="0"/>
              <w:rPr>
                <w:sz w:val="20"/>
                <w:szCs w:val="20"/>
                <w:color w:val="auto"/>
              </w:rPr>
            </w:pPr>
            <w:r>
              <w:rPr>
                <w:rFonts w:ascii="Arial" w:cs="Arial" w:eastAsia="Arial" w:hAnsi="Arial"/>
                <w:sz w:val="16"/>
                <w:szCs w:val="16"/>
                <w:color w:val="auto"/>
              </w:rPr>
              <w:t>program, improved</w:t>
            </w:r>
          </w:p>
        </w:tc>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20"/>
        </w:trPr>
        <w:tc>
          <w:tcPr>
            <w:tcW w:w="5400" w:type="dxa"/>
            <w:vAlign w:val="bottom"/>
          </w:tcPr>
          <w:p>
            <w:pPr>
              <w:spacing w:after="0"/>
              <w:rPr>
                <w:sz w:val="20"/>
                <w:szCs w:val="20"/>
                <w:color w:val="auto"/>
              </w:rPr>
            </w:pPr>
            <w:r>
              <w:rPr>
                <w:rFonts w:ascii="Arial" w:cs="Arial" w:eastAsia="Arial" w:hAnsi="Arial"/>
                <w:sz w:val="16"/>
                <w:szCs w:val="16"/>
                <w:color w:val="auto"/>
              </w:rPr>
              <w:t>Also  new  in  2019,  Martin  Marietta  developed  and</w:t>
            </w:r>
          </w:p>
        </w:tc>
        <w:tc>
          <w:tcPr>
            <w:tcW w:w="5480" w:type="dxa"/>
            <w:vAlign w:val="bottom"/>
            <w:gridSpan w:val="4"/>
          </w:tcPr>
          <w:p>
            <w:pPr>
              <w:jc w:val="right"/>
              <w:spacing w:after="0"/>
              <w:rPr>
                <w:sz w:val="20"/>
                <w:szCs w:val="20"/>
                <w:color w:val="auto"/>
              </w:rPr>
            </w:pPr>
            <w:r>
              <w:rPr>
                <w:rFonts w:ascii="Arial" w:cs="Arial" w:eastAsia="Arial" w:hAnsi="Arial"/>
                <w:sz w:val="16"/>
                <w:szCs w:val="16"/>
                <w:color w:val="auto"/>
              </w:rPr>
              <w:t>and attractiveness of Martin Marietta as an</w:t>
            </w:r>
          </w:p>
        </w:tc>
      </w:tr>
      <w:tr>
        <w:trPr>
          <w:trHeight w:val="207"/>
        </w:trPr>
        <w:tc>
          <w:tcPr>
            <w:tcW w:w="5400" w:type="dxa"/>
            <w:vAlign w:val="bottom"/>
          </w:tcPr>
          <w:p>
            <w:pPr>
              <w:spacing w:after="0"/>
              <w:rPr>
                <w:sz w:val="20"/>
                <w:szCs w:val="20"/>
                <w:color w:val="auto"/>
              </w:rPr>
            </w:pPr>
            <w:r>
              <w:rPr>
                <w:rFonts w:ascii="Arial" w:cs="Arial" w:eastAsia="Arial" w:hAnsi="Arial"/>
                <w:sz w:val="16"/>
                <w:szCs w:val="16"/>
                <w:color w:val="auto"/>
              </w:rPr>
              <w:t xml:space="preserve">implemented an Employer Brand, </w:t>
            </w:r>
            <w:r>
              <w:rPr>
                <w:rFonts w:ascii="Arial" w:cs="Arial" w:eastAsia="Arial" w:hAnsi="Arial"/>
                <w:sz w:val="16"/>
                <w:szCs w:val="16"/>
                <w:b w:val="1"/>
                <w:bCs w:val="1"/>
                <w:color w:val="007CBA"/>
              </w:rPr>
              <w:t>ONE</w:t>
            </w:r>
            <w:r>
              <w:rPr>
                <w:rFonts w:ascii="Arial" w:cs="Arial" w:eastAsia="Arial" w:hAnsi="Arial"/>
                <w:sz w:val="16"/>
                <w:szCs w:val="16"/>
                <w:color w:val="auto"/>
              </w:rPr>
              <w:t>, supported by a</w:t>
            </w:r>
          </w:p>
        </w:tc>
        <w:tc>
          <w:tcPr>
            <w:tcW w:w="5480" w:type="dxa"/>
            <w:vAlign w:val="bottom"/>
            <w:gridSpan w:val="4"/>
          </w:tcPr>
          <w:p>
            <w:pPr>
              <w:jc w:val="right"/>
              <w:spacing w:after="0"/>
              <w:rPr>
                <w:sz w:val="20"/>
                <w:szCs w:val="20"/>
                <w:color w:val="auto"/>
              </w:rPr>
            </w:pPr>
            <w:r>
              <w:rPr>
                <w:rFonts w:ascii="Arial" w:cs="Arial" w:eastAsia="Arial" w:hAnsi="Arial"/>
                <w:sz w:val="16"/>
                <w:szCs w:val="16"/>
                <w:color w:val="auto"/>
              </w:rPr>
              <w:t>employer of choice to strengthen our talent</w:t>
            </w:r>
          </w:p>
        </w:tc>
      </w:tr>
      <w:tr>
        <w:trPr>
          <w:trHeight w:val="187"/>
        </w:trPr>
        <w:tc>
          <w:tcPr>
            <w:tcW w:w="5400" w:type="dxa"/>
            <w:vAlign w:val="bottom"/>
          </w:tcPr>
          <w:p>
            <w:pPr>
              <w:spacing w:after="0"/>
              <w:rPr>
                <w:sz w:val="20"/>
                <w:szCs w:val="20"/>
                <w:color w:val="auto"/>
              </w:rPr>
            </w:pPr>
            <w:r>
              <w:rPr>
                <w:rFonts w:ascii="Arial" w:cs="Arial" w:eastAsia="Arial" w:hAnsi="Arial"/>
                <w:sz w:val="16"/>
                <w:szCs w:val="16"/>
                <w:color w:val="auto"/>
              </w:rPr>
              <w:t>strong  Employee  Value  Proposition.  This  initiative  is</w:t>
            </w:r>
          </w:p>
        </w:tc>
        <w:tc>
          <w:tcPr>
            <w:tcW w:w="5480" w:type="dxa"/>
            <w:vAlign w:val="bottom"/>
            <w:gridSpan w:val="4"/>
          </w:tcPr>
          <w:p>
            <w:pPr>
              <w:jc w:val="right"/>
              <w:spacing w:after="0"/>
              <w:rPr>
                <w:sz w:val="20"/>
                <w:szCs w:val="20"/>
                <w:color w:val="auto"/>
              </w:rPr>
            </w:pPr>
            <w:r>
              <w:rPr>
                <w:rFonts w:ascii="Arial" w:cs="Arial" w:eastAsia="Arial" w:hAnsi="Arial"/>
                <w:sz w:val="16"/>
                <w:szCs w:val="16"/>
                <w:color w:val="auto"/>
              </w:rPr>
              <w:t>pipeline,  and  increase  employee  talent</w:t>
            </w:r>
          </w:p>
        </w:tc>
      </w:tr>
      <w:tr>
        <w:trPr>
          <w:trHeight w:val="187"/>
        </w:trPr>
        <w:tc>
          <w:tcPr>
            <w:tcW w:w="5400" w:type="dxa"/>
            <w:vAlign w:val="bottom"/>
          </w:tcPr>
          <w:p>
            <w:pPr>
              <w:spacing w:after="0"/>
              <w:rPr>
                <w:sz w:val="20"/>
                <w:szCs w:val="20"/>
                <w:color w:val="auto"/>
              </w:rPr>
            </w:pPr>
            <w:r>
              <w:rPr>
                <w:rFonts w:ascii="Arial" w:cs="Arial" w:eastAsia="Arial" w:hAnsi="Arial"/>
                <w:sz w:val="16"/>
                <w:szCs w:val="16"/>
                <w:color w:val="auto"/>
              </w:rPr>
              <w:t>designed to build a more compelling connection with current</w:t>
            </w:r>
          </w:p>
        </w:tc>
        <w:tc>
          <w:tcPr>
            <w:tcW w:w="3000" w:type="dxa"/>
            <w:vAlign w:val="bottom"/>
          </w:tcPr>
          <w:p>
            <w:pPr>
              <w:ind w:left="2220"/>
              <w:spacing w:after="0"/>
              <w:rPr>
                <w:sz w:val="20"/>
                <w:szCs w:val="20"/>
                <w:color w:val="auto"/>
              </w:rPr>
            </w:pPr>
            <w:r>
              <w:rPr>
                <w:rFonts w:ascii="Arial" w:cs="Arial" w:eastAsia="Arial" w:hAnsi="Arial"/>
                <w:sz w:val="16"/>
                <w:szCs w:val="16"/>
                <w:color w:val="auto"/>
              </w:rPr>
              <w:t>pipeline,</w:t>
            </w:r>
          </w:p>
        </w:tc>
        <w:tc>
          <w:tcPr>
            <w:tcW w:w="640" w:type="dxa"/>
            <w:vAlign w:val="bottom"/>
          </w:tcPr>
          <w:p>
            <w:pPr>
              <w:ind w:left="180"/>
              <w:spacing w:after="0"/>
              <w:rPr>
                <w:sz w:val="20"/>
                <w:szCs w:val="20"/>
                <w:color w:val="auto"/>
              </w:rPr>
            </w:pPr>
            <w:r>
              <w:rPr>
                <w:rFonts w:ascii="Arial" w:cs="Arial" w:eastAsia="Arial" w:hAnsi="Arial"/>
                <w:sz w:val="16"/>
                <w:szCs w:val="16"/>
                <w:color w:val="auto"/>
              </w:rPr>
              <w:t>and</w:t>
            </w:r>
          </w:p>
        </w:tc>
        <w:tc>
          <w:tcPr>
            <w:tcW w:w="1100" w:type="dxa"/>
            <w:vAlign w:val="bottom"/>
          </w:tcPr>
          <w:p>
            <w:pPr>
              <w:ind w:left="180"/>
              <w:spacing w:after="0"/>
              <w:rPr>
                <w:sz w:val="20"/>
                <w:szCs w:val="20"/>
                <w:color w:val="auto"/>
              </w:rPr>
            </w:pPr>
            <w:r>
              <w:rPr>
                <w:rFonts w:ascii="Arial" w:cs="Arial" w:eastAsia="Arial" w:hAnsi="Arial"/>
                <w:sz w:val="16"/>
                <w:szCs w:val="16"/>
                <w:color w:val="auto"/>
              </w:rPr>
              <w:t>increase</w:t>
            </w:r>
          </w:p>
        </w:tc>
        <w:tc>
          <w:tcPr>
            <w:tcW w:w="740" w:type="dxa"/>
            <w:vAlign w:val="bottom"/>
          </w:tcPr>
          <w:p>
            <w:pPr>
              <w:jc w:val="right"/>
              <w:spacing w:after="0"/>
              <w:rPr>
                <w:sz w:val="20"/>
                <w:szCs w:val="20"/>
                <w:color w:val="auto"/>
              </w:rPr>
            </w:pPr>
            <w:r>
              <w:rPr>
                <w:rFonts w:ascii="Arial" w:cs="Arial" w:eastAsia="Arial" w:hAnsi="Arial"/>
                <w:sz w:val="16"/>
                <w:szCs w:val="16"/>
                <w:color w:val="auto"/>
              </w:rPr>
              <w:t>employee</w:t>
            </w:r>
          </w:p>
        </w:tc>
      </w:tr>
      <w:tr>
        <w:trPr>
          <w:trHeight w:val="193"/>
        </w:trPr>
        <w:tc>
          <w:tcPr>
            <w:tcW w:w="5400" w:type="dxa"/>
            <w:vAlign w:val="bottom"/>
          </w:tcPr>
          <w:p>
            <w:pPr>
              <w:spacing w:after="0"/>
              <w:rPr>
                <w:sz w:val="20"/>
                <w:szCs w:val="20"/>
                <w:color w:val="auto"/>
              </w:rPr>
            </w:pPr>
            <w:r>
              <w:rPr>
                <w:rFonts w:ascii="Arial" w:cs="Arial" w:eastAsia="Arial" w:hAnsi="Arial"/>
                <w:sz w:val="16"/>
                <w:szCs w:val="16"/>
                <w:color w:val="auto"/>
              </w:rPr>
              <w:t>and potential employees, increase the visibility</w:t>
            </w:r>
          </w:p>
        </w:tc>
        <w:tc>
          <w:tcPr>
            <w:tcW w:w="4740" w:type="dxa"/>
            <w:vAlign w:val="bottom"/>
            <w:gridSpan w:val="3"/>
          </w:tcPr>
          <w:p>
            <w:pPr>
              <w:ind w:left="2220"/>
              <w:spacing w:after="0"/>
              <w:rPr>
                <w:sz w:val="20"/>
                <w:szCs w:val="20"/>
                <w:color w:val="auto"/>
              </w:rPr>
            </w:pPr>
            <w:r>
              <w:rPr>
                <w:rFonts w:ascii="Arial" w:cs="Arial" w:eastAsia="Arial" w:hAnsi="Arial"/>
                <w:sz w:val="16"/>
                <w:szCs w:val="16"/>
                <w:color w:val="auto"/>
              </w:rPr>
              <w:t>engagement, morale and retention.</w:t>
            </w:r>
          </w:p>
        </w:tc>
        <w:tc>
          <w:tcPr>
            <w:tcW w:w="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-444500</wp:posOffset>
            </wp:positionV>
            <wp:extent cx="1582420" cy="35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82420" cy="355600"/>
                    </a:xfrm>
                    <a:prstGeom prst="rect">
                      <a:avLst/>
                    </a:prstGeom>
                    <a:noFill/>
                  </pic:spPr>
                </pic:pic>
              </a:graphicData>
            </a:graphic>
          </wp:anchor>
        </w:drawing>
      </w:r>
    </w:p>
    <w:p>
      <w:pPr>
        <w:spacing w:after="0" w:line="170"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Arial" w:cs="Arial" w:eastAsia="Arial" w:hAnsi="Arial"/>
                <w:sz w:val="16"/>
                <w:szCs w:val="16"/>
                <w:color w:val="auto"/>
              </w:rPr>
              <w:t xml:space="preserve">In May 2019, Martin Marietta was named to the </w:t>
            </w:r>
            <w:r>
              <w:rPr>
                <w:rFonts w:ascii="Arial" w:cs="Arial" w:eastAsia="Arial" w:hAnsi="Arial"/>
                <w:sz w:val="16"/>
                <w:szCs w:val="16"/>
                <w:i w:val="1"/>
                <w:iCs w:val="1"/>
                <w:color w:val="auto"/>
              </w:rPr>
              <w:t>Denver Post’s</w:t>
            </w:r>
            <w:r>
              <w:rPr>
                <w:rFonts w:ascii="Arial" w:cs="Arial" w:eastAsia="Arial" w:hAnsi="Arial"/>
                <w:sz w:val="16"/>
                <w:szCs w:val="16"/>
                <w:color w:val="auto"/>
              </w:rPr>
              <w:t xml:space="preserve"> list</w:t>
            </w:r>
          </w:p>
        </w:tc>
        <w:tc>
          <w:tcPr>
            <w:tcW w:w="2560" w:type="dxa"/>
            <w:vAlign w:val="bottom"/>
          </w:tcPr>
          <w:p>
            <w:pPr>
              <w:ind w:left="100"/>
              <w:spacing w:after="0"/>
              <w:rPr>
                <w:sz w:val="20"/>
                <w:szCs w:val="20"/>
                <w:color w:val="auto"/>
              </w:rPr>
            </w:pPr>
            <w:r>
              <w:rPr>
                <w:rFonts w:ascii="Arial" w:cs="Arial" w:eastAsia="Arial" w:hAnsi="Arial"/>
                <w:sz w:val="16"/>
                <w:szCs w:val="16"/>
                <w:color w:val="auto"/>
              </w:rPr>
              <w:t>news  outlet’s  Large  Company</w:t>
            </w:r>
          </w:p>
        </w:tc>
        <w:tc>
          <w:tcPr>
            <w:tcW w:w="800" w:type="dxa"/>
            <w:vAlign w:val="bottom"/>
          </w:tcPr>
          <w:p>
            <w:pPr>
              <w:ind w:left="60"/>
              <w:spacing w:after="0"/>
              <w:rPr>
                <w:sz w:val="20"/>
                <w:szCs w:val="20"/>
                <w:color w:val="auto"/>
              </w:rPr>
            </w:pPr>
            <w:r>
              <w:rPr>
                <w:rFonts w:ascii="Arial" w:cs="Arial" w:eastAsia="Arial" w:hAnsi="Arial"/>
                <w:sz w:val="16"/>
                <w:szCs w:val="16"/>
                <w:color w:val="auto"/>
              </w:rPr>
              <w:t>category.</w:t>
            </w:r>
          </w:p>
        </w:tc>
        <w:tc>
          <w:tcPr>
            <w:tcW w:w="1140" w:type="dxa"/>
            <w:vAlign w:val="bottom"/>
            <w:gridSpan w:val="2"/>
          </w:tcPr>
          <w:p>
            <w:pPr>
              <w:ind w:left="60"/>
              <w:spacing w:after="0"/>
              <w:rPr>
                <w:sz w:val="20"/>
                <w:szCs w:val="20"/>
                <w:color w:val="auto"/>
              </w:rPr>
            </w:pPr>
            <w:r>
              <w:rPr>
                <w:rFonts w:ascii="Arial" w:cs="Arial" w:eastAsia="Arial" w:hAnsi="Arial"/>
                <w:sz w:val="16"/>
                <w:szCs w:val="16"/>
                <w:color w:val="auto"/>
              </w:rPr>
              <w:t>Both  rankings</w:t>
            </w:r>
          </w:p>
        </w:tc>
        <w:tc>
          <w:tcPr>
            <w:tcW w:w="480" w:type="dxa"/>
            <w:vAlign w:val="bottom"/>
          </w:tcPr>
          <w:p>
            <w:pPr>
              <w:jc w:val="right"/>
              <w:spacing w:after="0"/>
              <w:rPr>
                <w:sz w:val="20"/>
                <w:szCs w:val="20"/>
                <w:color w:val="auto"/>
              </w:rPr>
            </w:pPr>
            <w:r>
              <w:rPr>
                <w:rFonts w:ascii="Arial" w:cs="Arial" w:eastAsia="Arial" w:hAnsi="Arial"/>
                <w:sz w:val="16"/>
                <w:szCs w:val="16"/>
                <w:color w:val="auto"/>
              </w:rPr>
              <w:t>were</w:t>
            </w:r>
          </w:p>
        </w:tc>
      </w:tr>
      <w:tr>
        <w:trPr>
          <w:trHeight w:val="187"/>
        </w:trPr>
        <w:tc>
          <w:tcPr>
            <w:tcW w:w="4720" w:type="dxa"/>
            <w:vAlign w:val="bottom"/>
          </w:tcPr>
          <w:p>
            <w:pPr>
              <w:spacing w:after="0"/>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007CBA"/>
              </w:rPr>
              <w:t>Top Workplaces</w:t>
            </w:r>
            <w:r>
              <w:rPr>
                <w:rFonts w:ascii="Arial" w:cs="Arial" w:eastAsia="Arial" w:hAnsi="Arial"/>
                <w:sz w:val="16"/>
                <w:szCs w:val="16"/>
                <w:color w:val="auto"/>
              </w:rPr>
              <w:t>. The company appeared at #21 in the annual</w:t>
            </w:r>
          </w:p>
        </w:tc>
        <w:tc>
          <w:tcPr>
            <w:tcW w:w="2560" w:type="dxa"/>
            <w:vAlign w:val="bottom"/>
          </w:tcPr>
          <w:p>
            <w:pPr>
              <w:ind w:left="100"/>
              <w:spacing w:after="0"/>
              <w:rPr>
                <w:sz w:val="20"/>
                <w:szCs w:val="20"/>
                <w:color w:val="auto"/>
              </w:rPr>
            </w:pPr>
            <w:r>
              <w:rPr>
                <w:rFonts w:ascii="Arial" w:cs="Arial" w:eastAsia="Arial" w:hAnsi="Arial"/>
                <w:sz w:val="16"/>
                <w:szCs w:val="16"/>
                <w:color w:val="auto"/>
              </w:rPr>
              <w:t>determined  solely  by  extensive</w:t>
            </w:r>
          </w:p>
        </w:tc>
        <w:tc>
          <w:tcPr>
            <w:tcW w:w="800" w:type="dxa"/>
            <w:vAlign w:val="bottom"/>
          </w:tcPr>
          <w:p>
            <w:pPr>
              <w:ind w:left="60"/>
              <w:spacing w:after="0"/>
              <w:rPr>
                <w:sz w:val="20"/>
                <w:szCs w:val="20"/>
                <w:color w:val="auto"/>
              </w:rPr>
            </w:pPr>
            <w:r>
              <w:rPr>
                <w:rFonts w:ascii="Arial" w:cs="Arial" w:eastAsia="Arial" w:hAnsi="Arial"/>
                <w:sz w:val="16"/>
                <w:szCs w:val="16"/>
                <w:color w:val="auto"/>
              </w:rPr>
              <w:t>employee</w:t>
            </w:r>
          </w:p>
        </w:tc>
        <w:tc>
          <w:tcPr>
            <w:tcW w:w="640" w:type="dxa"/>
            <w:vAlign w:val="bottom"/>
          </w:tcPr>
          <w:p>
            <w:pPr>
              <w:ind w:left="80"/>
              <w:spacing w:after="0"/>
              <w:rPr>
                <w:sz w:val="20"/>
                <w:szCs w:val="20"/>
                <w:color w:val="auto"/>
              </w:rPr>
            </w:pPr>
            <w:r>
              <w:rPr>
                <w:rFonts w:ascii="Arial" w:cs="Arial" w:eastAsia="Arial" w:hAnsi="Arial"/>
                <w:sz w:val="16"/>
                <w:szCs w:val="16"/>
                <w:color w:val="auto"/>
                <w:w w:val="97"/>
              </w:rPr>
              <w:t>surveys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focused  on</w:t>
            </w: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ranking’s Large Company category. Six months later, Martin</w:t>
            </w:r>
          </w:p>
        </w:tc>
        <w:tc>
          <w:tcPr>
            <w:tcW w:w="4000" w:type="dxa"/>
            <w:vAlign w:val="bottom"/>
            <w:gridSpan w:val="3"/>
          </w:tcPr>
          <w:p>
            <w:pPr>
              <w:ind w:left="100"/>
              <w:spacing w:after="0"/>
              <w:rPr>
                <w:sz w:val="20"/>
                <w:szCs w:val="20"/>
                <w:color w:val="auto"/>
              </w:rPr>
            </w:pPr>
            <w:r>
              <w:rPr>
                <w:rFonts w:ascii="Arial" w:cs="Arial" w:eastAsia="Arial" w:hAnsi="Arial"/>
                <w:sz w:val="16"/>
                <w:szCs w:val="16"/>
                <w:color w:val="auto"/>
              </w:rPr>
              <w:t>various elements of workplace culture. In addition,</w:t>
            </w:r>
          </w:p>
        </w:tc>
        <w:tc>
          <w:tcPr>
            <w:tcW w:w="500" w:type="dxa"/>
            <w:vAlign w:val="bottom"/>
          </w:tcPr>
          <w:p>
            <w:pPr>
              <w:spacing w:after="0"/>
              <w:rPr>
                <w:sz w:val="20"/>
                <w:szCs w:val="20"/>
                <w:color w:val="auto"/>
              </w:rPr>
            </w:pPr>
            <w:r>
              <w:rPr>
                <w:rFonts w:ascii="Arial" w:cs="Arial" w:eastAsia="Arial" w:hAnsi="Arial"/>
                <w:sz w:val="16"/>
                <w:szCs w:val="16"/>
                <w:color w:val="auto"/>
              </w:rPr>
              <w:t>Zippia</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hand-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-356235</wp:posOffset>
            </wp:positionV>
            <wp:extent cx="457200" cy="9226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7200" cy="922655"/>
                    </a:xfrm>
                    <a:prstGeom prst="rect">
                      <a:avLst/>
                    </a:prstGeom>
                    <a:noFill/>
                  </pic:spPr>
                </pic:pic>
              </a:graphicData>
            </a:graphic>
          </wp:anchor>
        </w:drawing>
      </w:r>
    </w:p>
    <w:p>
      <w:pPr>
        <w:ind w:left="1260"/>
        <w:spacing w:after="0"/>
        <w:tabs>
          <w:tab w:leader="none" w:pos="6060" w:val="left"/>
        </w:tabs>
        <w:rPr>
          <w:sz w:val="20"/>
          <w:szCs w:val="20"/>
          <w:color w:val="auto"/>
        </w:rPr>
      </w:pPr>
      <w:r>
        <w:rPr>
          <w:rFonts w:ascii="Arial" w:cs="Arial" w:eastAsia="Arial" w:hAnsi="Arial"/>
          <w:sz w:val="16"/>
          <w:szCs w:val="16"/>
          <w:color w:val="auto"/>
        </w:rPr>
        <w:t xml:space="preserve">Marietta was selected for inclusion on </w:t>
      </w:r>
      <w:r>
        <w:rPr>
          <w:rFonts w:ascii="Arial" w:cs="Arial" w:eastAsia="Arial" w:hAnsi="Arial"/>
          <w:sz w:val="16"/>
          <w:szCs w:val="16"/>
          <w:i w:val="1"/>
          <w:iCs w:val="1"/>
          <w:color w:val="auto"/>
        </w:rPr>
        <w:t>The Dallas Morning News’</w:t>
      </w:r>
      <w:r>
        <w:rPr>
          <w:sz w:val="20"/>
          <w:szCs w:val="20"/>
          <w:color w:val="auto"/>
        </w:rPr>
        <w:tab/>
      </w:r>
      <w:r>
        <w:rPr>
          <w:rFonts w:ascii="Arial" w:cs="Arial" w:eastAsia="Arial" w:hAnsi="Arial"/>
          <w:sz w:val="16"/>
          <w:szCs w:val="16"/>
          <w:b w:val="1"/>
          <w:bCs w:val="1"/>
          <w:color w:val="auto"/>
        </w:rPr>
        <w:t>curated a list of the best companies to work for headquartered</w:t>
      </w:r>
    </w:p>
    <w:p>
      <w:pPr>
        <w:spacing w:after="0" w:line="3" w:lineRule="exact"/>
        <w:rPr>
          <w:sz w:val="20"/>
          <w:szCs w:val="20"/>
          <w:color w:val="auto"/>
        </w:rPr>
      </w:pPr>
    </w:p>
    <w:p>
      <w:pPr>
        <w:ind w:left="1260"/>
        <w:spacing w:after="0"/>
        <w:tabs>
          <w:tab w:leader="none" w:pos="6060" w:val="left"/>
        </w:tabs>
        <w:rPr>
          <w:sz w:val="20"/>
          <w:szCs w:val="20"/>
          <w:color w:val="auto"/>
        </w:rPr>
      </w:pPr>
      <w:r>
        <w:rPr>
          <w:rFonts w:ascii="Arial" w:cs="Arial" w:eastAsia="Arial" w:hAnsi="Arial"/>
          <w:sz w:val="16"/>
          <w:szCs w:val="16"/>
          <w:b w:val="1"/>
          <w:bCs w:val="1"/>
          <w:color w:val="auto"/>
        </w:rPr>
        <w:t xml:space="preserve">Top 100 Places to Work </w:t>
      </w:r>
      <w:r>
        <w:rPr>
          <w:rFonts w:ascii="Arial" w:cs="Arial" w:eastAsia="Arial" w:hAnsi="Arial"/>
          <w:sz w:val="16"/>
          <w:szCs w:val="16"/>
          <w:color w:val="auto"/>
        </w:rPr>
        <w:t>list, a ranking that highlights the best</w:t>
      </w:r>
      <w:r>
        <w:rPr>
          <w:rFonts w:ascii="Arial" w:cs="Arial" w:eastAsia="Arial" w:hAnsi="Arial"/>
          <w:sz w:val="16"/>
          <w:szCs w:val="16"/>
          <w:b w:val="1"/>
          <w:bCs w:val="1"/>
          <w:color w:val="auto"/>
        </w:rPr>
        <w:tab/>
        <w:t xml:space="preserve">in and around Raleigh, North Carolina </w:t>
      </w:r>
      <w:r>
        <w:rPr>
          <w:rFonts w:ascii="Arial" w:cs="Arial" w:eastAsia="Arial" w:hAnsi="Arial"/>
          <w:sz w:val="16"/>
          <w:szCs w:val="16"/>
          <w:color w:val="auto"/>
        </w:rPr>
        <w:t>using data on salaries,</w:t>
      </w:r>
    </w:p>
    <w:p>
      <w:pPr>
        <w:spacing w:after="0" w:line="3" w:lineRule="exact"/>
        <w:rPr>
          <w:sz w:val="20"/>
          <w:szCs w:val="20"/>
          <w:color w:val="auto"/>
        </w:rPr>
      </w:pPr>
    </w:p>
    <w:p>
      <w:pPr>
        <w:ind w:left="1260"/>
        <w:spacing w:after="0"/>
        <w:tabs>
          <w:tab w:leader="none" w:pos="6060" w:val="left"/>
        </w:tabs>
        <w:rPr>
          <w:sz w:val="20"/>
          <w:szCs w:val="20"/>
          <w:color w:val="auto"/>
        </w:rPr>
      </w:pPr>
      <w:r>
        <w:rPr>
          <w:rFonts w:ascii="Arial" w:cs="Arial" w:eastAsia="Arial" w:hAnsi="Arial"/>
          <w:sz w:val="16"/>
          <w:szCs w:val="16"/>
          <w:color w:val="auto"/>
        </w:rPr>
        <w:t>employers in the 10 counties surrounding Dallas-Fort Worth.</w:t>
        <w:tab/>
        <w:t>company  financial  health,  and  employee  diversity,  and  Martin</w:t>
      </w:r>
    </w:p>
    <w:p>
      <w:pPr>
        <w:spacing w:after="0" w:line="3" w:lineRule="exact"/>
        <w:rPr>
          <w:sz w:val="20"/>
          <w:szCs w:val="20"/>
          <w:color w:val="auto"/>
        </w:rPr>
      </w:pPr>
    </w:p>
    <w:p>
      <w:pPr>
        <w:ind w:left="1260"/>
        <w:spacing w:after="0"/>
        <w:tabs>
          <w:tab w:leader="none" w:pos="6060" w:val="left"/>
        </w:tabs>
        <w:rPr>
          <w:sz w:val="20"/>
          <w:szCs w:val="20"/>
          <w:color w:val="auto"/>
        </w:rPr>
      </w:pPr>
      <w:r>
        <w:rPr>
          <w:rFonts w:ascii="Arial" w:cs="Arial" w:eastAsia="Arial" w:hAnsi="Arial"/>
          <w:sz w:val="16"/>
          <w:szCs w:val="16"/>
          <w:color w:val="auto"/>
        </w:rPr>
        <w:t>Martin Marietta claimed the #25 spot in the</w:t>
      </w:r>
      <w:r>
        <w:rPr>
          <w:sz w:val="20"/>
          <w:szCs w:val="20"/>
          <w:color w:val="auto"/>
        </w:rPr>
        <w:tab/>
      </w:r>
      <w:r>
        <w:rPr>
          <w:rFonts w:ascii="Arial" w:cs="Arial" w:eastAsia="Arial" w:hAnsi="Arial"/>
          <w:sz w:val="15"/>
          <w:szCs w:val="15"/>
          <w:color w:val="auto"/>
        </w:rPr>
        <w:t>Marietta earned the #2 spot out of 100 entrants.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212090</wp:posOffset>
            </wp:positionV>
            <wp:extent cx="406400" cy="2451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33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007CBA"/>
        </w:rPr>
        <w:t>2020 PROXY STATEMENT</w:t>
      </w:r>
      <w:r>
        <w:rPr>
          <w:sz w:val="20"/>
          <w:szCs w:val="20"/>
          <w:color w:val="auto"/>
        </w:rPr>
        <w:tab/>
      </w:r>
      <w:r>
        <w:rPr>
          <w:rFonts w:ascii="Arial" w:cs="Arial" w:eastAsia="Arial" w:hAnsi="Arial"/>
          <w:sz w:val="12"/>
          <w:szCs w:val="12"/>
          <w:b w:val="1"/>
          <w:bCs w:val="1"/>
          <w:color w:val="auto"/>
        </w:rPr>
        <w:t>39</w:t>
      </w:r>
    </w:p>
    <w:p>
      <w:pPr>
        <w:sectPr>
          <w:pgSz w:w="11900" w:h="16838" w:orient="portrait"/>
          <w:cols w:equalWidth="0" w:num="1">
            <w:col w:w="11060"/>
          </w:cols>
          <w:pgMar w:left="320" w:top="455" w:right="5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Safety, Environment and Sustainability</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Community Relations</w:t>
      </w:r>
    </w:p>
    <w:p>
      <w:pPr>
        <w:sectPr>
          <w:pgSz w:w="11900" w:h="16838" w:orient="portrait"/>
          <w:cols w:equalWidth="0" w:num="1">
            <w:col w:w="11060"/>
          </w:cols>
          <w:pgMar w:left="320" w:top="455" w:right="519" w:bottom="1440" w:gutter="0" w:footer="0" w:header="0"/>
        </w:sectPr>
      </w:pPr>
    </w:p>
    <w:p>
      <w:pPr>
        <w:spacing w:after="0" w:line="192"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Another core value for which we are recognized by NSSGA is community. The NSSGA Community Relations Awards program recognizes aggregates producers whose community involvement and support activities enhance the public perception of the aggregates industry in general and the public image of the</w:t>
      </w:r>
    </w:p>
    <w:p>
      <w:pPr>
        <w:spacing w:after="0" w:line="34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Environmental Stewardship</w:t>
      </w:r>
    </w:p>
    <w:p>
      <w:pPr>
        <w:spacing w:after="0" w:line="192"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Environmental stewardship is another of our core values and our operations were well-represented among the NSSGA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Excellence Award </w:t>
      </w:r>
      <w:r>
        <w:rPr>
          <w:rFonts w:ascii="Arial" w:cs="Arial" w:eastAsia="Arial" w:hAnsi="Arial"/>
          <w:sz w:val="16"/>
          <w:szCs w:val="16"/>
          <w:color w:val="auto"/>
        </w:rPr>
        <w:t>winners. These awards provide national recognition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operations actively contributing to the maintenance of the environment in and around their operations as evidenced by a commitment to the exemplary use of environmental controls and systems. This award is based, in part, on the extent to which an operation meets and exceeds technical</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Ethical Business Conduct</w:t>
      </w:r>
    </w:p>
    <w:p>
      <w:pPr>
        <w:spacing w:after="0" w:line="192"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We strive to continually enhance our high standards and controls for ethical business conduct, compliance and transparency. Our </w:t>
      </w:r>
      <w:r>
        <w:rPr>
          <w:rFonts w:ascii="Arial" w:cs="Arial" w:eastAsia="Arial" w:hAnsi="Arial"/>
          <w:sz w:val="16"/>
          <w:szCs w:val="16"/>
          <w:b w:val="1"/>
          <w:bCs w:val="1"/>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Ethical Business Conduct </w:t>
      </w:r>
      <w:r>
        <w:rPr>
          <w:rFonts w:ascii="Arial" w:cs="Arial" w:eastAsia="Arial" w:hAnsi="Arial"/>
          <w:sz w:val="16"/>
          <w:szCs w:val="16"/>
          <w:color w:val="auto"/>
        </w:rPr>
        <w:t>(our Code of Conduct) applies to all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Board members, consultants, contract laborers and other agents when they represent or act on behalf of the Company. It describes our expectations and policies on a number of topics, including our commitments to compliance with laws, protection of human rights, maintenance of accurate business records, transparency in our public disclosures, protection of sensitive information, promotion of a positive and safe work environment, zero tolerance for corruption and general avoidance of even the appearance of impropriety in all that we do. Our Code of Conduct also emphasizes employees’ responsibility to report any violation or suspected violation of the Code of Conduct and emphasizes the Company’s non-retaliation policy. In 2019, we provided ethics training to all salaried employees. There were no waivers from any provisions of our Code of Conduct or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individual producer’s aggregates operations in particular. In 2019, our Texas Quarry (MD) won gold, while St. Cloud Quarry (MN) and Berkeley Quarry (SC) took home silver, while fifteen. Fifteen Martin Marietta sites received bronze.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environmental and regulatory requirements. In addition, in order to be eligible for the award, the operation must certify its compliance with all applicable governmental environmental regulatory requirements and that it does not have a pattern of violations during the time period of two full years prior to the date of application. Benson Quarry (NC) won gold, while Bonds Quarry (NC), Midlothian Quarry (VA), Medford Quarry (MD), Bridgeport Stone (TX) and Tin Top Sand &amp; Gravel (TX) received silver.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amendments applicable to any Board member or executive officer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153035</wp:posOffset>
            </wp:positionV>
            <wp:extent cx="2708275" cy="19716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08275" cy="1971675"/>
                    </a:xfrm>
                    <a:prstGeom prst="rect">
                      <a:avLst/>
                    </a:prstGeom>
                    <a:noFill/>
                  </pic:spPr>
                </pic:pic>
              </a:graphicData>
            </a:graphic>
          </wp:anchor>
        </w:drawing>
      </w:r>
    </w:p>
    <w:p>
      <w:pPr>
        <w:spacing w:after="0" w:line="3008"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Components of Executive Compensation – Performance-Related Compensation</w:t>
      </w:r>
    </w:p>
    <w:p>
      <w:pPr>
        <w:spacing w:after="0" w:line="143" w:lineRule="exact"/>
        <w:rPr>
          <w:sz w:val="20"/>
          <w:szCs w:val="20"/>
          <w:color w:val="auto"/>
        </w:rPr>
      </w:pPr>
    </w:p>
    <w:p>
      <w:pPr>
        <w:jc w:val="both"/>
        <w:ind w:left="180"/>
        <w:spacing w:after="0" w:line="245" w:lineRule="auto"/>
        <w:rPr>
          <w:sz w:val="20"/>
          <w:szCs w:val="20"/>
          <w:color w:val="auto"/>
        </w:rPr>
      </w:pPr>
      <w:r>
        <w:rPr>
          <w:rFonts w:ascii="Arial" w:cs="Arial" w:eastAsia="Arial" w:hAnsi="Arial"/>
          <w:sz w:val="16"/>
          <w:szCs w:val="16"/>
          <w:color w:val="auto"/>
        </w:rPr>
        <w:t>Each NEO is eligible for a mix of fixed and variable components of compensation. A substantial portion of our CEO’s and other executive officers’ compensation is at risk and will vary depending upon our performance. All of the opportunities to achieve long-term equity incentives (LTI) granted to our CEO and other executive officers in 2019 were performance-related consisting of performance share unit awards (PSUs) that comprised 55% of the long-term equity awards and performance-related restricted stock unit awards (RSUs) that comprised 45% of the awards. The following charts summarize the various forms of compensation and demonstrate that in 2019 87% of the CEO’s compensation and approximately 80% of other NEO compensation is variable and tied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146685</wp:posOffset>
            </wp:positionV>
            <wp:extent cx="4171950" cy="18954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7195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433"/>
        <w:spacing w:after="0"/>
        <w:tabs>
          <w:tab w:leader="none" w:pos="620" w:val="left"/>
        </w:tabs>
        <w:numPr>
          <w:ilvl w:val="0"/>
          <w:numId w:val="95"/>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5040"/>
        <w:spacing w:after="0" w:line="276" w:lineRule="exact"/>
        <w:rPr>
          <w:sz w:val="20"/>
          <w:szCs w:val="20"/>
          <w:color w:val="auto"/>
        </w:rPr>
      </w:pPr>
      <w:r>
        <w:rPr>
          <w:rFonts w:ascii="Arial" w:cs="Arial" w:eastAsia="Arial" w:hAnsi="Arial"/>
          <w:sz w:val="13"/>
          <w:szCs w:val="13"/>
          <w:color w:val="auto"/>
        </w:rPr>
        <w:t xml:space="preserve">Pay Decisions and Compensation Governance Practices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Pay Decisions and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97790</wp:posOffset>
            </wp:positionV>
            <wp:extent cx="6905625" cy="177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05625" cy="177800"/>
                    </a:xfrm>
                    <a:prstGeom prst="rect">
                      <a:avLst/>
                    </a:prstGeom>
                    <a:noFill/>
                  </pic:spPr>
                </pic:pic>
              </a:graphicData>
            </a:graphic>
          </wp:anchor>
        </w:drawing>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19685</wp:posOffset>
            </wp:positionV>
            <wp:extent cx="6905625" cy="2368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05625" cy="236855"/>
                    </a:xfrm>
                    <a:prstGeom prst="rect">
                      <a:avLst/>
                    </a:prstGeom>
                    <a:noFill/>
                  </pic:spPr>
                </pic:pic>
              </a:graphicData>
            </a:graphic>
          </wp:anchor>
        </w:drawing>
      </w:r>
    </w:p>
    <w:p>
      <w:pPr>
        <w:spacing w:after="0" w:line="7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CBA"/>
        </w:rPr>
        <w:t xml:space="preserve">Pay for performance. </w:t>
      </w:r>
      <w:r>
        <w:rPr>
          <w:rFonts w:ascii="Arial" w:cs="Arial" w:eastAsia="Arial" w:hAnsi="Arial"/>
          <w:sz w:val="16"/>
          <w:szCs w:val="16"/>
          <w:color w:val="000000"/>
        </w:rPr>
        <w:t>Tie pay to performance by ensuring that a significant portion of NEO compensation is performance-based and at-risk.</w:t>
      </w:r>
    </w:p>
    <w:p>
      <w:pPr>
        <w:spacing w:after="0" w:line="176"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007CBA"/>
        </w:rPr>
        <w:t xml:space="preserve">Median compensation targets. </w:t>
      </w:r>
      <w:r>
        <w:rPr>
          <w:rFonts w:ascii="Arial" w:cs="Arial" w:eastAsia="Arial" w:hAnsi="Arial"/>
          <w:sz w:val="16"/>
          <w:szCs w:val="16"/>
          <w:color w:val="000000"/>
        </w:rPr>
        <w:t>We generally aim to align all compensation elements for our executives with the median of our peer group</w:t>
      </w:r>
      <w:r>
        <w:rPr>
          <w:rFonts w:ascii="Arial" w:cs="Arial" w:eastAsia="Arial" w:hAnsi="Arial"/>
          <w:sz w:val="16"/>
          <w:szCs w:val="16"/>
          <w:b w:val="1"/>
          <w:bCs w:val="1"/>
          <w:color w:val="007CBA"/>
        </w:rPr>
        <w:t xml:space="preserve"> </w:t>
      </w:r>
      <w:r>
        <w:rPr>
          <w:rFonts w:ascii="Arial" w:cs="Arial" w:eastAsia="Arial" w:hAnsi="Arial"/>
          <w:sz w:val="16"/>
          <w:szCs w:val="16"/>
          <w:color w:val="000000"/>
        </w:rPr>
        <w:t>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-252095</wp:posOffset>
            </wp:positionV>
            <wp:extent cx="152400" cy="152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-6350</wp:posOffset>
            </wp:positionV>
            <wp:extent cx="6905625" cy="295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05625" cy="295910"/>
                    </a:xfrm>
                    <a:prstGeom prst="rect">
                      <a:avLst/>
                    </a:prstGeom>
                    <a:noFill/>
                  </pic:spPr>
                </pic:pic>
              </a:graphicData>
            </a:graphic>
          </wp:anchor>
        </w:drawing>
      </w:r>
    </w:p>
    <w:p>
      <w:pPr>
        <w:spacing w:after="0" w:line="17"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007CBA"/>
        </w:rPr>
        <w:t xml:space="preserve">PSUs are a substantial portion of LTI. </w:t>
      </w:r>
      <w:r>
        <w:rPr>
          <w:rFonts w:ascii="Arial" w:cs="Arial" w:eastAsia="Arial" w:hAnsi="Arial"/>
          <w:sz w:val="16"/>
          <w:szCs w:val="16"/>
          <w:color w:val="000000"/>
        </w:rPr>
        <w:t>PSU grants, tied to our achievement of specified performance measures, comprised approximately 55%</w:t>
      </w:r>
      <w:r>
        <w:rPr>
          <w:rFonts w:ascii="Arial" w:cs="Arial" w:eastAsia="Arial" w:hAnsi="Arial"/>
          <w:sz w:val="16"/>
          <w:szCs w:val="16"/>
          <w:b w:val="1"/>
          <w:bCs w:val="1"/>
          <w:color w:val="007CBA"/>
        </w:rPr>
        <w:t xml:space="preserve"> </w:t>
      </w:r>
      <w:r>
        <w:rPr>
          <w:rFonts w:ascii="Arial" w:cs="Arial" w:eastAsia="Arial" w:hAnsi="Arial"/>
          <w:sz w:val="16"/>
          <w:szCs w:val="16"/>
          <w:color w:val="000000"/>
        </w:rPr>
        <w:t>of the total value of annual long-term incentive grants made to our NEOs in 2019. Performance-based RSUs comprised the remaining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43815</wp:posOffset>
            </wp:positionV>
            <wp:extent cx="152400" cy="152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2400" cy="152400"/>
                    </a:xfrm>
                    <a:prstGeom prst="rect">
                      <a:avLst/>
                    </a:prstGeom>
                    <a:noFill/>
                  </pic:spPr>
                </pic:pic>
              </a:graphicData>
            </a:graphic>
          </wp:anchor>
        </w:drawing>
      </w:r>
    </w:p>
    <w:p>
      <w:pPr>
        <w:spacing w:after="0" w:line="97"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CBA"/>
        </w:rPr>
        <w:t xml:space="preserve">Independent compensation consultant. </w:t>
      </w:r>
      <w:r>
        <w:rPr>
          <w:rFonts w:ascii="Arial" w:cs="Arial" w:eastAsia="Arial" w:hAnsi="Arial"/>
          <w:sz w:val="16"/>
          <w:szCs w:val="16"/>
          <w:color w:val="000000"/>
        </w:rPr>
        <w:t>The Committee retains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38735</wp:posOffset>
            </wp:positionV>
            <wp:extent cx="6905625" cy="414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05625" cy="414655"/>
                    </a:xfrm>
                    <a:prstGeom prst="rect">
                      <a:avLst/>
                    </a:prstGeom>
                    <a:noFill/>
                  </pic:spPr>
                </pic:pic>
              </a:graphicData>
            </a:graphic>
          </wp:anchor>
        </w:drawing>
      </w:r>
    </w:p>
    <w:p>
      <w:pPr>
        <w:spacing w:after="0" w:line="89" w:lineRule="exact"/>
        <w:rPr>
          <w:sz w:val="20"/>
          <w:szCs w:val="20"/>
          <w:color w:val="auto"/>
        </w:rPr>
      </w:pPr>
    </w:p>
    <w:p>
      <w:pPr>
        <w:jc w:val="both"/>
        <w:ind w:left="740"/>
        <w:spacing w:after="0" w:line="262" w:lineRule="auto"/>
        <w:rPr>
          <w:sz w:val="20"/>
          <w:szCs w:val="20"/>
          <w:color w:val="auto"/>
        </w:rPr>
      </w:pPr>
      <w:r>
        <w:rPr>
          <w:rFonts w:ascii="Arial" w:cs="Arial" w:eastAsia="Arial" w:hAnsi="Arial"/>
          <w:sz w:val="16"/>
          <w:szCs w:val="16"/>
          <w:b w:val="1"/>
          <w:bCs w:val="1"/>
          <w:color w:val="007CBA"/>
        </w:rPr>
        <w:t xml:space="preserve">Robust share ownership requirements. </w:t>
      </w:r>
      <w:r>
        <w:rPr>
          <w:rFonts w:ascii="Arial" w:cs="Arial" w:eastAsia="Arial" w:hAnsi="Arial"/>
          <w:sz w:val="16"/>
          <w:szCs w:val="16"/>
          <w:color w:val="000000"/>
        </w:rPr>
        <w:t>We have robust stock ownership guidelines of 7 times base salary for the CEO, 5 times base salary for</w:t>
      </w:r>
      <w:r>
        <w:rPr>
          <w:rFonts w:ascii="Arial" w:cs="Arial" w:eastAsia="Arial" w:hAnsi="Arial"/>
          <w:sz w:val="16"/>
          <w:szCs w:val="16"/>
          <w:b w:val="1"/>
          <w:bCs w:val="1"/>
          <w:color w:val="007CBA"/>
        </w:rPr>
        <w:t xml:space="preserve"> </w:t>
      </w:r>
      <w:r>
        <w:rPr>
          <w:rFonts w:ascii="Arial" w:cs="Arial" w:eastAsia="Arial" w:hAnsi="Arial"/>
          <w:sz w:val="16"/>
          <w:szCs w:val="16"/>
          <w:color w:val="000000"/>
        </w:rPr>
        <w:t>our other NEOs, and 5 times annual retainer for Directors. We also have an equity retention requirement of 50% of net shares paid as incentive compensation until ownership guidelines are met.</w:t>
      </w:r>
    </w:p>
    <w:p>
      <w:pPr>
        <w:spacing w:after="0" w:line="50"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007CBA"/>
        </w:rPr>
        <w:t xml:space="preserve">Clawback policy. </w:t>
      </w:r>
      <w:r>
        <w:rPr>
          <w:rFonts w:ascii="Arial" w:cs="Arial" w:eastAsia="Arial" w:hAnsi="Arial"/>
          <w:sz w:val="16"/>
          <w:szCs w:val="16"/>
          <w:color w:val="000000"/>
        </w:rPr>
        <w:t>We have a compensation recovery (clawback) policy that requires officers to forfeit certain cash-based incentive compensation</w:t>
      </w:r>
      <w:r>
        <w:rPr>
          <w:rFonts w:ascii="Arial" w:cs="Arial" w:eastAsia="Arial" w:hAnsi="Arial"/>
          <w:sz w:val="16"/>
          <w:szCs w:val="16"/>
          <w:b w:val="1"/>
          <w:bCs w:val="1"/>
          <w:color w:val="007CBA"/>
        </w:rPr>
        <w:t xml:space="preserve"> </w:t>
      </w:r>
      <w:r>
        <w:rPr>
          <w:rFonts w:ascii="Arial" w:cs="Arial" w:eastAsia="Arial" w:hAnsi="Arial"/>
          <w:sz w:val="16"/>
          <w:szCs w:val="16"/>
          <w:color w:val="000000"/>
        </w:rPr>
        <w:t>and/or equity-based incentive compensation if the company restates its financial statements due to the officer’s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-252095</wp:posOffset>
            </wp:positionV>
            <wp:extent cx="152400" cy="152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-6350</wp:posOffset>
            </wp:positionV>
            <wp:extent cx="6905625" cy="2368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05625" cy="236855"/>
                    </a:xfrm>
                    <a:prstGeom prst="rect">
                      <a:avLst/>
                    </a:prstGeom>
                    <a:noFill/>
                  </pic:spPr>
                </pic:pic>
              </a:graphicData>
            </a:graphic>
          </wp:anchor>
        </w:drawing>
      </w:r>
    </w:p>
    <w:p>
      <w:pPr>
        <w:spacing w:after="0" w:line="97"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CBA"/>
        </w:rPr>
        <w:t xml:space="preserve">Regular engagement with shareholders. </w:t>
      </w:r>
      <w:r>
        <w:rPr>
          <w:rFonts w:ascii="Arial" w:cs="Arial" w:eastAsia="Arial" w:hAnsi="Arial"/>
          <w:sz w:val="16"/>
          <w:szCs w:val="16"/>
          <w:color w:val="000000"/>
        </w:rPr>
        <w:t>We engage with shareholders to hear their views on compensation and other issues.</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CBA"/>
        </w:rPr>
        <w:t xml:space="preserve">Annual elections. </w:t>
      </w:r>
      <w:r>
        <w:rPr>
          <w:rFonts w:ascii="Arial" w:cs="Arial" w:eastAsia="Arial" w:hAnsi="Arial"/>
          <w:sz w:val="16"/>
          <w:szCs w:val="16"/>
          <w:color w:val="000000"/>
        </w:rPr>
        <w:t>We no longer have a classified Board of Directors and all of our Directors stand for election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80645</wp:posOffset>
            </wp:positionV>
            <wp:extent cx="69056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0562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241935</wp:posOffset>
            </wp:positionV>
            <wp:extent cx="6905625" cy="177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05625" cy="17780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-104775</wp:posOffset>
            </wp:positionV>
            <wp:extent cx="152400" cy="152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2400" cy="1524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19685</wp:posOffset>
            </wp:positionV>
            <wp:extent cx="6905625" cy="270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05625" cy="270510"/>
                    </a:xfrm>
                    <a:prstGeom prst="rect">
                      <a:avLst/>
                    </a:prstGeom>
                    <a:noFill/>
                  </pic:spPr>
                </pic:pic>
              </a:graphicData>
            </a:graphic>
          </wp:anchor>
        </w:drawing>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No employment contracts</w:t>
      </w:r>
      <w:r>
        <w:rPr>
          <w:rFonts w:ascii="Arial" w:cs="Arial" w:eastAsia="Arial" w:hAnsi="Arial"/>
          <w:sz w:val="16"/>
          <w:szCs w:val="16"/>
          <w:color w:val="auto"/>
        </w:rPr>
        <w:t>. None of our NEOs or other executive officers have employment contracts that guarantee continued employment.</w:t>
      </w:r>
    </w:p>
    <w:p>
      <w:pPr>
        <w:spacing w:after="0" w:line="242"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auto"/>
        </w:rPr>
        <w:t>No dividends on unvested awards</w:t>
      </w:r>
      <w:r>
        <w:rPr>
          <w:rFonts w:ascii="Arial" w:cs="Arial" w:eastAsia="Arial" w:hAnsi="Arial"/>
          <w:sz w:val="16"/>
          <w:szCs w:val="16"/>
          <w:color w:val="auto"/>
        </w:rPr>
        <w:t>. Our 2019 RSU and PSU awards require three years to fully vest and dividends paid on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Martin Marietta during the vesting period are only paid to award holders if and when an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-260350</wp:posOffset>
            </wp:positionV>
            <wp:extent cx="152400" cy="152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34925</wp:posOffset>
            </wp:positionV>
            <wp:extent cx="6905625" cy="279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05625" cy="279400"/>
                    </a:xfrm>
                    <a:prstGeom prst="rect">
                      <a:avLst/>
                    </a:prstGeom>
                    <a:noFill/>
                  </pic:spPr>
                </pic:pic>
              </a:graphicData>
            </a:graphic>
          </wp:anchor>
        </w:drawing>
      </w:r>
    </w:p>
    <w:p>
      <w:pPr>
        <w:spacing w:after="0" w:line="57"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auto"/>
        </w:rPr>
        <w:t>No pledging of shares</w:t>
      </w:r>
      <w:r>
        <w:rPr>
          <w:rFonts w:ascii="Arial" w:cs="Arial" w:eastAsia="Arial" w:hAnsi="Arial"/>
          <w:sz w:val="16"/>
          <w:szCs w:val="16"/>
          <w:color w:val="auto"/>
        </w:rPr>
        <w:t>. Our directors and executive officers are not permitted to pledge Martin Marietta shares as collateral for loans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w:t>
      </w:r>
    </w:p>
    <w:p>
      <w:pPr>
        <w:spacing w:after="0" w:line="37"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auto"/>
        </w:rPr>
        <w:t>No hedging</w:t>
      </w:r>
      <w:r>
        <w:rPr>
          <w:rFonts w:ascii="Arial" w:cs="Arial" w:eastAsia="Arial" w:hAnsi="Arial"/>
          <w:sz w:val="16"/>
          <w:szCs w:val="16"/>
          <w:color w:val="auto"/>
        </w:rPr>
        <w:t>. We prohibit directors and executive officers from engaging in short sales of Martin Marietta stock or similar transactions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hedge or offset the market value of Martin Marietta stock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-260350</wp:posOffset>
            </wp:positionV>
            <wp:extent cx="152400" cy="152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-6350</wp:posOffset>
            </wp:positionV>
            <wp:extent cx="6905625" cy="228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05625" cy="228600"/>
                    </a:xfrm>
                    <a:prstGeom prst="rect">
                      <a:avLst/>
                    </a:prstGeom>
                    <a:noFill/>
                  </pic:spPr>
                </pic:pic>
              </a:graphicData>
            </a:graphic>
          </wp:anchor>
        </w:drawing>
      </w:r>
    </w:p>
    <w:p>
      <w:pPr>
        <w:spacing w:after="0" w:line="3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 xml:space="preserve">No 280G gross-ups. </w:t>
      </w:r>
      <w:r>
        <w:rPr>
          <w:rFonts w:ascii="Arial" w:cs="Arial" w:eastAsia="Arial" w:hAnsi="Arial"/>
          <w:sz w:val="16"/>
          <w:szCs w:val="16"/>
          <w:color w:val="auto"/>
        </w:rPr>
        <w:t>We do not provide Section 280G excise tax gross-ups.</w:t>
      </w:r>
    </w:p>
    <w:p>
      <w:pPr>
        <w:spacing w:after="0" w:line="163" w:lineRule="exact"/>
        <w:rPr>
          <w:sz w:val="20"/>
          <w:szCs w:val="20"/>
          <w:color w:val="auto"/>
        </w:rPr>
      </w:pPr>
    </w:p>
    <w:p>
      <w:pPr>
        <w:jc w:val="both"/>
        <w:ind w:left="740"/>
        <w:spacing w:after="0" w:line="280" w:lineRule="auto"/>
        <w:rPr>
          <w:sz w:val="20"/>
          <w:szCs w:val="20"/>
          <w:color w:val="auto"/>
        </w:rPr>
      </w:pPr>
      <w:r>
        <w:rPr>
          <w:rFonts w:ascii="Arial" w:cs="Arial" w:eastAsia="Arial" w:hAnsi="Arial"/>
          <w:sz w:val="16"/>
          <w:szCs w:val="16"/>
          <w:b w:val="1"/>
          <w:bCs w:val="1"/>
          <w:color w:val="auto"/>
        </w:rPr>
        <w:t>Minimal executive perquisites</w:t>
      </w:r>
      <w:r>
        <w:rPr>
          <w:rFonts w:ascii="Arial" w:cs="Arial" w:eastAsia="Arial" w:hAnsi="Arial"/>
          <w:sz w:val="16"/>
          <w:szCs w:val="16"/>
          <w:color w:val="auto"/>
        </w:rPr>
        <w:t>. We do not provide NEOs with country club reimbursements, personal use of the Company aircraft unrelated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travel, or other excessive perks.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-6350</wp:posOffset>
            </wp:positionV>
            <wp:extent cx="69056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0562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-260350</wp:posOffset>
            </wp:positionV>
            <wp:extent cx="152400" cy="152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2400" cy="152400"/>
                    </a:xfrm>
                    <a:prstGeom prst="rect">
                      <a:avLst/>
                    </a:prstGeom>
                    <a:noFill/>
                  </pic:spPr>
                </pic:pic>
              </a:graphicData>
            </a:graphic>
          </wp:anchor>
        </w:drawing>
      </w:r>
    </w:p>
    <w:p>
      <w:pPr>
        <w:spacing w:after="0" w:line="170"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A number of key 2019 compensation-related decisions resulted from our achievements, which are discussed more fully below. The Committee believes that our executive compensation program continues to reflect a strong pay-for-performance philosophy and is well aligned with the interests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83820</wp:posOffset>
            </wp:positionV>
            <wp:extent cx="406400" cy="2451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32"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41</w:t>
            </w:r>
          </w:p>
        </w:tc>
      </w:tr>
    </w:tbl>
    <w:p>
      <w:pPr>
        <w:sectPr>
          <w:pgSz w:w="11900" w:h="16838" w:orient="portrait"/>
          <w:cols w:equalWidth="0" w:num="1">
            <w:col w:w="11060"/>
          </w:cols>
          <w:pgMar w:left="320" w:top="455"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2019 Chairman, President and CEO Compensation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07CBA"/>
        </w:rPr>
        <w:t>2019 Chairman, President and CEO Compensation</w:t>
      </w:r>
    </w:p>
    <w:p>
      <w:pPr>
        <w:sectPr>
          <w:pgSz w:w="11900" w:h="16838" w:orient="portrait"/>
          <w:cols w:equalWidth="0" w:num="1">
            <w:col w:w="11060"/>
          </w:cols>
          <w:pgMar w:left="320" w:top="455" w:right="519" w:bottom="1440" w:gutter="0" w:footer="0" w:header="0"/>
        </w:sectPr>
      </w:pPr>
    </w:p>
    <w:p>
      <w:pPr>
        <w:spacing w:after="0" w:line="203" w:lineRule="exact"/>
        <w:rPr>
          <w:sz w:val="20"/>
          <w:szCs w:val="20"/>
          <w:color w:val="auto"/>
        </w:rPr>
      </w:pPr>
    </w:p>
    <w:p>
      <w:pPr>
        <w:jc w:val="both"/>
        <w:ind w:left="200"/>
        <w:spacing w:after="0" w:line="278" w:lineRule="auto"/>
        <w:rPr>
          <w:sz w:val="20"/>
          <w:szCs w:val="20"/>
          <w:color w:val="auto"/>
        </w:rPr>
      </w:pPr>
      <w:r>
        <w:rPr>
          <w:rFonts w:ascii="Arial" w:cs="Arial" w:eastAsia="Arial" w:hAnsi="Arial"/>
          <w:sz w:val="16"/>
          <w:szCs w:val="16"/>
          <w:b w:val="1"/>
          <w:bCs w:val="1"/>
          <w:i w:val="1"/>
          <w:iCs w:val="1"/>
          <w:color w:val="007CBA"/>
        </w:rPr>
        <w:t xml:space="preserve">Base Salary. </w:t>
      </w:r>
      <w:r>
        <w:rPr>
          <w:rFonts w:ascii="Arial" w:cs="Arial" w:eastAsia="Arial" w:hAnsi="Arial"/>
          <w:sz w:val="16"/>
          <w:szCs w:val="16"/>
          <w:color w:val="000000"/>
        </w:rPr>
        <w:t>For 2019, Mr. Nye’s base salary was set at $1,150,000</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(effective March 1, 2019).</w:t>
      </w:r>
    </w:p>
    <w:p>
      <w:pPr>
        <w:spacing w:after="0" w:line="134"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b w:val="1"/>
          <w:bCs w:val="1"/>
          <w:i w:val="1"/>
          <w:iCs w:val="1"/>
          <w:color w:val="007CBA"/>
        </w:rPr>
        <w:t xml:space="preserve">2019 Annual Incentive. </w:t>
      </w:r>
      <w:r>
        <w:rPr>
          <w:rFonts w:ascii="Arial" w:cs="Arial" w:eastAsia="Arial" w:hAnsi="Arial"/>
          <w:sz w:val="16"/>
          <w:szCs w:val="16"/>
          <w:color w:val="000000"/>
        </w:rPr>
        <w:t>Mr. Nye’s target annual incentive amount for</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2019 was $1,484,167 (130% of salary received for the year). His actual annual incentive for 2019 was $2,900,000, or 195% of target.</w:t>
      </w:r>
    </w:p>
    <w:p>
      <w:pPr>
        <w:spacing w:after="0" w:line="13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b w:val="1"/>
          <w:bCs w:val="1"/>
          <w:i w:val="1"/>
          <w:iCs w:val="1"/>
          <w:color w:val="007CBA"/>
        </w:rPr>
        <w:t xml:space="preserve">2019-2021 Long-Term Incentives. </w:t>
      </w:r>
      <w:r>
        <w:rPr>
          <w:rFonts w:ascii="Arial" w:cs="Arial" w:eastAsia="Arial" w:hAnsi="Arial"/>
          <w:sz w:val="16"/>
          <w:szCs w:val="16"/>
          <w:color w:val="000000"/>
        </w:rPr>
        <w:t>In 2019, Mr. Nye’s target LTI award</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was 400% of base salary. He was granted an LTI award of approximately $4.60 million, which was allocated 55%, or $2.53 million, in PSUs and 45%, or $2.07 million, in performance-based RSUs. RSUs will vest pro rata over three years if the performance measure is satisfied, while the vesting of PSUs will be based upon our results relative to the three-year performance goals that were established in the beginning of 2019.</w:t>
      </w:r>
    </w:p>
    <w:p>
      <w:pPr>
        <w:spacing w:after="0" w:line="143"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b w:val="1"/>
          <w:bCs w:val="1"/>
          <w:i w:val="1"/>
          <w:iCs w:val="1"/>
          <w:color w:val="007CBA"/>
        </w:rPr>
        <w:t xml:space="preserve">Benefit and Retirement Plans. </w:t>
      </w:r>
      <w:r>
        <w:rPr>
          <w:rFonts w:ascii="Arial" w:cs="Arial" w:eastAsia="Arial" w:hAnsi="Arial"/>
          <w:sz w:val="16"/>
          <w:szCs w:val="16"/>
          <w:color w:val="000000"/>
        </w:rPr>
        <w:t>Mr. Nye is eligible for benefit and</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retirement programs similar to other employees. None of our executives received additional years of service credits or other forms of formula enhancements under our benefit or retirement plans. Our pension formula is based on years of service and pension eligible compensation, which is a similar formula offered by other companies with defined benefit plans. Mr. Nye is not eligible for retiree health benefits.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i w:val="1"/>
          <w:iCs w:val="1"/>
          <w:color w:val="007CBA"/>
        </w:rPr>
        <w:t xml:space="preserve">Perquisites. </w:t>
      </w:r>
      <w:r>
        <w:rPr>
          <w:rFonts w:ascii="Arial" w:cs="Arial" w:eastAsia="Arial" w:hAnsi="Arial"/>
          <w:sz w:val="16"/>
          <w:szCs w:val="16"/>
          <w:color w:val="000000"/>
        </w:rPr>
        <w:t>Mr. Nye received limited executive perquisites. We provide</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only. We do not provide other perquisites, such as country club memberships, to the NEOs. The Committee reviews our policies and determines whether and to what extent perquisites should be modified or continued.</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007CBA"/>
        </w:rPr>
        <w:t>2019 Target Pay Mix</w:t>
      </w:r>
      <w:r>
        <w:rPr>
          <w:rFonts w:ascii="Arial" w:cs="Arial" w:eastAsia="Arial" w:hAnsi="Arial"/>
          <w:sz w:val="16"/>
          <w:szCs w:val="16"/>
          <w:i w:val="1"/>
          <w:iCs w:val="1"/>
          <w:color w:val="007CBA"/>
        </w:rPr>
        <w:t>.</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We believe that most of the compensation</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opportunities of our CEO should be variable and the variable elements of the compensation package should tie to the Company’s long-term success and the achievement of sustainable long-term total return to our shareholders. As shown in the chart below, a significant portion of our CEO’s target compensation is variable and in the form of LTI, and more than half of total target pay is in the form of equity incentives.</w:t>
      </w:r>
    </w:p>
    <w:p>
      <w:pPr>
        <w:spacing w:after="0" w:line="1106"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4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CEO Target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173990</wp:posOffset>
            </wp:positionV>
            <wp:extent cx="4062095" cy="10915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62095" cy="109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0" w:hanging="213"/>
        <w:spacing w:after="0" w:line="252" w:lineRule="auto"/>
        <w:tabs>
          <w:tab w:leader="none" w:pos="4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We consider base salary and annual incentives as short-term pay and PSUs and RSUs as long-term pay. We do not include retirement or other compensation components in the chart.</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Determination of CEO Compensation</w:t>
      </w:r>
    </w:p>
    <w:p>
      <w:pPr>
        <w:spacing w:after="0" w:line="143"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At each February Committee meeting, without the CEO present, the Committee reviews and evaluates CEO performance, and determines achievement levels for the prior year. At this meeting, the Committee also discusses an evaluation of the CEO’s performance, competitive compensation data, and salary and annual incentive pay recommendations with the independent members of the Board. In addition, the Committee reviews and discusses an award of RSUs and the target PSU grant size for the CEO at that meeting, which is also discussed with the independent members of the Board.</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2019 Named Executive Officers’ Compensation – Our Compensation Strategy</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executive compensation program is specifically designed to:</w:t>
      </w:r>
    </w:p>
    <w:p>
      <w:pPr>
        <w:spacing w:after="0" w:line="103" w:lineRule="exact"/>
        <w:rPr>
          <w:sz w:val="20"/>
          <w:szCs w:val="20"/>
          <w:color w:val="auto"/>
        </w:rPr>
      </w:pPr>
    </w:p>
    <w:p>
      <w:pPr>
        <w:ind w:left="620" w:hanging="327"/>
        <w:spacing w:after="0"/>
        <w:tabs>
          <w:tab w:leader="none" w:pos="620" w:val="left"/>
        </w:tabs>
        <w:numPr>
          <w:ilvl w:val="0"/>
          <w:numId w:val="97"/>
        </w:numPr>
        <w:rPr>
          <w:rFonts w:ascii="Arial" w:cs="Arial" w:eastAsia="Arial" w:hAnsi="Arial"/>
          <w:sz w:val="16"/>
          <w:szCs w:val="16"/>
          <w:color w:val="007CBA"/>
        </w:rPr>
      </w:pPr>
      <w:r>
        <w:rPr>
          <w:rFonts w:ascii="Arial" w:cs="Arial" w:eastAsia="Arial" w:hAnsi="Arial"/>
          <w:sz w:val="16"/>
          <w:szCs w:val="16"/>
          <w:b w:val="1"/>
          <w:bCs w:val="1"/>
          <w:color w:val="auto"/>
        </w:rPr>
        <w:t xml:space="preserve">Attract and retain </w:t>
      </w:r>
      <w:r>
        <w:rPr>
          <w:rFonts w:ascii="Arial" w:cs="Arial" w:eastAsia="Arial" w:hAnsi="Arial"/>
          <w:sz w:val="16"/>
          <w:szCs w:val="16"/>
          <w:color w:val="auto"/>
        </w:rPr>
        <w:t>top-caliber, knowledgeable and experienced senior executives.</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97"/>
        </w:numPr>
        <w:rPr>
          <w:rFonts w:ascii="Arial" w:cs="Arial" w:eastAsia="Arial" w:hAnsi="Arial"/>
          <w:sz w:val="16"/>
          <w:szCs w:val="16"/>
          <w:color w:val="007CBA"/>
        </w:rPr>
      </w:pPr>
      <w:r>
        <w:rPr>
          <w:rFonts w:ascii="Arial" w:cs="Arial" w:eastAsia="Arial" w:hAnsi="Arial"/>
          <w:sz w:val="16"/>
          <w:szCs w:val="16"/>
          <w:b w:val="1"/>
          <w:bCs w:val="1"/>
          <w:color w:val="auto"/>
        </w:rPr>
        <w:t xml:space="preserve">Motivate </w:t>
      </w:r>
      <w:r>
        <w:rPr>
          <w:rFonts w:ascii="Arial" w:cs="Arial" w:eastAsia="Arial" w:hAnsi="Arial"/>
          <w:sz w:val="16"/>
          <w:szCs w:val="16"/>
          <w:color w:val="auto"/>
        </w:rPr>
        <w:t>our executives to achieve superior results and build long-term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106045</wp:posOffset>
            </wp:positionV>
            <wp:extent cx="406400" cy="2451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81" w:lineRule="exact"/>
        <w:rPr>
          <w:sz w:val="20"/>
          <w:szCs w:val="20"/>
          <w:color w:val="auto"/>
        </w:rPr>
      </w:pPr>
    </w:p>
    <w:p>
      <w:pPr>
        <w:ind w:left="620" w:hanging="433"/>
        <w:spacing w:after="0"/>
        <w:tabs>
          <w:tab w:leader="none" w:pos="620" w:val="left"/>
        </w:tabs>
        <w:numPr>
          <w:ilvl w:val="0"/>
          <w:numId w:val="98"/>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tabs>
          <w:tab w:leader="none" w:pos="2320" w:val="left"/>
        </w:tabs>
        <w:rPr>
          <w:sz w:val="20"/>
          <w:szCs w:val="20"/>
          <w:color w:val="auto"/>
        </w:rPr>
      </w:pPr>
      <w:r>
        <w:rPr>
          <w:rFonts w:ascii="Arial" w:cs="Arial" w:eastAsia="Arial" w:hAnsi="Arial"/>
          <w:sz w:val="13"/>
          <w:szCs w:val="13"/>
          <w:color w:val="auto"/>
        </w:rPr>
        <w:t xml:space="preserve">2019 Named Executive Officers’ Compensation – Our Compensation Strategy </w:t>
      </w:r>
      <w:r>
        <w:rPr>
          <w:rFonts w:ascii="MS PGothic" w:cs="MS PGothic" w:eastAsia="MS PGothic" w:hAnsi="MS PGothic"/>
          <w:sz w:val="24"/>
          <w:szCs w:val="24"/>
          <w:color w:val="007CBA"/>
        </w:rPr>
        <w:t>◆</w:t>
      </w:r>
      <w:r>
        <w:rPr>
          <w:rFonts w:ascii="Arial" w:cs="Arial" w:eastAsia="Arial" w:hAnsi="Arial"/>
          <w:sz w:val="13"/>
          <w:szCs w:val="13"/>
          <w:color w:val="007CBA"/>
        </w:rPr>
        <w:tab/>
        <w:t>Compensation Discussion and Analysis</w:t>
      </w:r>
    </w:p>
    <w:p>
      <w:pPr>
        <w:spacing w:after="0" w:line="208" w:lineRule="exact"/>
        <w:rPr>
          <w:sz w:val="20"/>
          <w:szCs w:val="20"/>
          <w:color w:val="auto"/>
        </w:rPr>
      </w:pPr>
    </w:p>
    <w:p>
      <w:pPr>
        <w:ind w:left="620" w:hanging="327"/>
        <w:spacing w:after="0"/>
        <w:tabs>
          <w:tab w:leader="none" w:pos="620" w:val="left"/>
        </w:tabs>
        <w:numPr>
          <w:ilvl w:val="0"/>
          <w:numId w:val="99"/>
        </w:numPr>
        <w:rPr>
          <w:rFonts w:ascii="Arial" w:cs="Arial" w:eastAsia="Arial" w:hAnsi="Arial"/>
          <w:sz w:val="16"/>
          <w:szCs w:val="16"/>
          <w:color w:val="007CBA"/>
        </w:rPr>
      </w:pPr>
      <w:r>
        <w:rPr>
          <w:rFonts w:ascii="Arial" w:cs="Arial" w:eastAsia="Arial" w:hAnsi="Arial"/>
          <w:sz w:val="16"/>
          <w:szCs w:val="16"/>
          <w:b w:val="1"/>
          <w:bCs w:val="1"/>
          <w:color w:val="auto"/>
        </w:rPr>
        <w:t xml:space="preserve">Reward </w:t>
      </w:r>
      <w:r>
        <w:rPr>
          <w:rFonts w:ascii="Arial" w:cs="Arial" w:eastAsia="Arial" w:hAnsi="Arial"/>
          <w:sz w:val="16"/>
          <w:szCs w:val="16"/>
          <w:color w:val="auto"/>
        </w:rPr>
        <w:t>performance that meets or exceeds established goals consistent with our strategic aims and upholding integrity.</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99"/>
        </w:numPr>
        <w:rPr>
          <w:rFonts w:ascii="Arial" w:cs="Arial" w:eastAsia="Arial" w:hAnsi="Arial"/>
          <w:sz w:val="16"/>
          <w:szCs w:val="16"/>
          <w:color w:val="007CBA"/>
        </w:rPr>
      </w:pPr>
      <w:r>
        <w:rPr>
          <w:rFonts w:ascii="Arial" w:cs="Arial" w:eastAsia="Arial" w:hAnsi="Arial"/>
          <w:sz w:val="16"/>
          <w:szCs w:val="16"/>
          <w:b w:val="1"/>
          <w:bCs w:val="1"/>
          <w:color w:val="auto"/>
        </w:rPr>
        <w:t xml:space="preserve">Align individual objectives </w:t>
      </w:r>
      <w:r>
        <w:rPr>
          <w:rFonts w:ascii="Arial" w:cs="Arial" w:eastAsia="Arial" w:hAnsi="Arial"/>
          <w:sz w:val="16"/>
          <w:szCs w:val="16"/>
          <w:color w:val="auto"/>
        </w:rPr>
        <w:t>with the Company’s objectives without fostering excessive or inappropriate risk-taking.</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99"/>
        </w:numPr>
        <w:rPr>
          <w:rFonts w:ascii="Arial" w:cs="Arial" w:eastAsia="Arial" w:hAnsi="Arial"/>
          <w:sz w:val="16"/>
          <w:szCs w:val="16"/>
          <w:color w:val="007CBA"/>
        </w:rPr>
      </w:pPr>
      <w:r>
        <w:rPr>
          <w:rFonts w:ascii="Arial" w:cs="Arial" w:eastAsia="Arial" w:hAnsi="Arial"/>
          <w:sz w:val="16"/>
          <w:szCs w:val="16"/>
          <w:b w:val="1"/>
          <w:bCs w:val="1"/>
          <w:color w:val="auto"/>
        </w:rPr>
        <w:t xml:space="preserve">Encourage an ownership </w:t>
      </w:r>
      <w:r>
        <w:rPr>
          <w:rFonts w:ascii="Arial" w:cs="Arial" w:eastAsia="Arial" w:hAnsi="Arial"/>
          <w:sz w:val="16"/>
          <w:szCs w:val="16"/>
          <w:color w:val="auto"/>
        </w:rPr>
        <w:t>mentality and align the long-term financial interests of our executives with those of our shareholders.</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99"/>
        </w:numPr>
        <w:rPr>
          <w:rFonts w:ascii="Arial" w:cs="Arial" w:eastAsia="Arial" w:hAnsi="Arial"/>
          <w:sz w:val="16"/>
          <w:szCs w:val="16"/>
          <w:color w:val="007CBA"/>
        </w:rPr>
      </w:pPr>
      <w:r>
        <w:rPr>
          <w:rFonts w:ascii="Arial" w:cs="Arial" w:eastAsia="Arial" w:hAnsi="Arial"/>
          <w:sz w:val="16"/>
          <w:szCs w:val="16"/>
          <w:b w:val="1"/>
          <w:bCs w:val="1"/>
          <w:color w:val="auto"/>
        </w:rPr>
        <w:t xml:space="preserve">Be market competitive </w:t>
      </w:r>
      <w:r>
        <w:rPr>
          <w:rFonts w:ascii="Arial" w:cs="Arial" w:eastAsia="Arial" w:hAnsi="Arial"/>
          <w:sz w:val="16"/>
          <w:szCs w:val="16"/>
          <w:color w:val="auto"/>
        </w:rPr>
        <w:t>with our peers with whom we compete for talent.</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99"/>
        </w:numPr>
        <w:rPr>
          <w:rFonts w:ascii="Arial" w:cs="Arial" w:eastAsia="Arial" w:hAnsi="Arial"/>
          <w:sz w:val="16"/>
          <w:szCs w:val="16"/>
          <w:color w:val="007CBA"/>
        </w:rPr>
      </w:pPr>
      <w:r>
        <w:rPr>
          <w:rFonts w:ascii="Arial" w:cs="Arial" w:eastAsia="Arial" w:hAnsi="Arial"/>
          <w:sz w:val="16"/>
          <w:szCs w:val="16"/>
          <w:b w:val="1"/>
          <w:bCs w:val="1"/>
          <w:color w:val="auto"/>
        </w:rPr>
        <w:t xml:space="preserve">Provide reward systems that are measurable and easily understood </w:t>
      </w:r>
      <w:r>
        <w:rPr>
          <w:rFonts w:ascii="Arial" w:cs="Arial" w:eastAsia="Arial" w:hAnsi="Arial"/>
          <w:sz w:val="16"/>
          <w:szCs w:val="16"/>
          <w:color w:val="auto"/>
        </w:rPr>
        <w:t>by our managers and shareholders.</w:t>
      </w:r>
    </w:p>
    <w:p>
      <w:pPr>
        <w:spacing w:after="0" w:line="122" w:lineRule="exact"/>
        <w:rPr>
          <w:rFonts w:ascii="Arial" w:cs="Arial" w:eastAsia="Arial" w:hAnsi="Arial"/>
          <w:sz w:val="16"/>
          <w:szCs w:val="16"/>
          <w:color w:val="007CBA"/>
        </w:rPr>
      </w:pPr>
    </w:p>
    <w:p>
      <w:pPr>
        <w:ind w:left="620" w:right="20" w:hanging="327"/>
        <w:spacing w:after="0" w:line="280" w:lineRule="auto"/>
        <w:tabs>
          <w:tab w:leader="none" w:pos="620" w:val="left"/>
        </w:tabs>
        <w:numPr>
          <w:ilvl w:val="0"/>
          <w:numId w:val="99"/>
        </w:numPr>
        <w:rPr>
          <w:rFonts w:ascii="Arial" w:cs="Arial" w:eastAsia="Arial" w:hAnsi="Arial"/>
          <w:sz w:val="16"/>
          <w:szCs w:val="16"/>
          <w:color w:val="007CBA"/>
        </w:rPr>
      </w:pPr>
      <w:r>
        <w:rPr>
          <w:rFonts w:ascii="Arial" w:cs="Arial" w:eastAsia="Arial" w:hAnsi="Arial"/>
          <w:sz w:val="16"/>
          <w:szCs w:val="16"/>
          <w:b w:val="1"/>
          <w:bCs w:val="1"/>
          <w:color w:val="auto"/>
        </w:rPr>
        <w:t xml:space="preserve">Reinforce the succession planning </w:t>
      </w:r>
      <w:r>
        <w:rPr>
          <w:rFonts w:ascii="Arial" w:cs="Arial" w:eastAsia="Arial" w:hAnsi="Arial"/>
          <w:sz w:val="16"/>
          <w:szCs w:val="16"/>
          <w:color w:val="auto"/>
        </w:rPr>
        <w:t>process undertaken on a company-wide basis by building bench strength and by identifying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senior leadership, both capable of achieving the Company’s long-term growth, profitability and other objectives.</w:t>
      </w:r>
    </w:p>
    <w:p>
      <w:pPr>
        <w:spacing w:after="0" w:line="150"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In 2019, our executive compensation structure consisted of three primary components: base salary, annual incentives, and long-term incentives. Within the long-term incentive component, we utilized a balanced portfolio of PSUs and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1637665</wp:posOffset>
            </wp:positionH>
            <wp:positionV relativeFrom="paragraph">
              <wp:posOffset>217170</wp:posOffset>
            </wp:positionV>
            <wp:extent cx="3876040" cy="22682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6040" cy="226822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Martin Marietta has a long-standing commitment to pay for performance. We fulfill that aim by providing a majority of compensation through programs in which the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ultimately received vary in order to best reflect our financial, operational and strategic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284480</wp:posOffset>
            </wp:positionV>
            <wp:extent cx="406400" cy="2451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43</w:t>
            </w:r>
          </w:p>
        </w:tc>
      </w:tr>
    </w:tbl>
    <w:p>
      <w:pPr>
        <w:sectPr>
          <w:pgSz w:w="11900" w:h="16838" w:orient="portrait"/>
          <w:cols w:equalWidth="0" w:num="2">
            <w:col w:w="5400" w:space="340"/>
            <w:col w:w="5320"/>
          </w:cols>
          <w:pgMar w:left="320" w:top="455" w:right="5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2019 Named Executive Officers’ Compensation – Our Compensation Strategy</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key elements of our 2019 executive compensation program:</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5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Element</w:t>
            </w:r>
          </w:p>
        </w:tc>
        <w:tc>
          <w:tcPr>
            <w:tcW w:w="4260" w:type="dxa"/>
            <w:vAlign w:val="bottom"/>
            <w:tcBorders>
              <w:right w:val="single" w:sz="8" w:color="007CBA"/>
            </w:tcBorders>
            <w:shd w:val="clear" w:color="auto" w:fill="007CBA"/>
          </w:tcPr>
          <w:p>
            <w:pPr>
              <w:ind w:left="1520"/>
              <w:spacing w:after="0"/>
              <w:rPr>
                <w:sz w:val="20"/>
                <w:szCs w:val="20"/>
                <w:color w:val="auto"/>
              </w:rPr>
            </w:pPr>
            <w:r>
              <w:rPr>
                <w:rFonts w:ascii="Arial" w:cs="Arial" w:eastAsia="Arial" w:hAnsi="Arial"/>
                <w:sz w:val="16"/>
                <w:szCs w:val="16"/>
                <w:b w:val="1"/>
                <w:bCs w:val="1"/>
                <w:color w:val="FFFFFF"/>
              </w:rPr>
              <w:t>Primary Purpose</w:t>
            </w:r>
          </w:p>
        </w:tc>
        <w:tc>
          <w:tcPr>
            <w:tcW w:w="4100" w:type="dxa"/>
            <w:vAlign w:val="bottom"/>
            <w:shd w:val="clear" w:color="auto" w:fill="007CBA"/>
          </w:tcPr>
          <w:p>
            <w:pPr>
              <w:ind w:left="1340"/>
              <w:spacing w:after="0"/>
              <w:rPr>
                <w:sz w:val="20"/>
                <w:szCs w:val="20"/>
                <w:color w:val="auto"/>
              </w:rPr>
            </w:pPr>
            <w:r>
              <w:rPr>
                <w:rFonts w:ascii="Arial" w:cs="Arial" w:eastAsia="Arial" w:hAnsi="Arial"/>
                <w:sz w:val="16"/>
                <w:szCs w:val="16"/>
                <w:b w:val="1"/>
                <w:bCs w:val="1"/>
                <w:color w:val="FFFFFF"/>
              </w:rPr>
              <w:t>Key Characteristics</w:t>
            </w:r>
          </w:p>
        </w:tc>
        <w:tc>
          <w:tcPr>
            <w:tcW w:w="0" w:type="dxa"/>
            <w:vAlign w:val="bottom"/>
          </w:tcPr>
          <w:p>
            <w:pPr>
              <w:spacing w:after="0"/>
              <w:rPr>
                <w:sz w:val="1"/>
                <w:szCs w:val="1"/>
                <w:color w:val="auto"/>
              </w:rPr>
            </w:pPr>
          </w:p>
        </w:tc>
      </w:tr>
      <w:tr>
        <w:trPr>
          <w:trHeight w:val="253"/>
        </w:trPr>
        <w:tc>
          <w:tcPr>
            <w:tcW w:w="25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Base Salary</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To compensate the executive fairly and competitively for</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Fixed compensation that is reviewed annually.</w:t>
            </w: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the responsibility level of the position.</w:t>
            </w:r>
          </w:p>
        </w:tc>
        <w:tc>
          <w:tcPr>
            <w:tcW w:w="410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5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Annual Performance- Based</w:t>
            </w: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To motivate and reward organizational and individual</w:t>
            </w:r>
          </w:p>
        </w:tc>
        <w:tc>
          <w:tcPr>
            <w:tcW w:w="4100" w:type="dxa"/>
            <w:vAlign w:val="bottom"/>
          </w:tcPr>
          <w:p>
            <w:pPr>
              <w:ind w:left="100"/>
              <w:spacing w:after="0"/>
              <w:rPr>
                <w:sz w:val="20"/>
                <w:szCs w:val="20"/>
                <w:color w:val="auto"/>
              </w:rPr>
            </w:pPr>
            <w:r>
              <w:rPr>
                <w:rFonts w:ascii="Arial" w:cs="Arial" w:eastAsia="Arial" w:hAnsi="Arial"/>
                <w:sz w:val="16"/>
                <w:szCs w:val="16"/>
                <w:color w:val="auto"/>
              </w:rPr>
              <w:t>Variable compensation component; based on</w:t>
            </w: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Incentive Awards</w:t>
            </w: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achievement of annual, Company and individual</w:t>
            </w:r>
          </w:p>
        </w:tc>
        <w:tc>
          <w:tcPr>
            <w:tcW w:w="4100" w:type="dxa"/>
            <w:vAlign w:val="bottom"/>
          </w:tcPr>
          <w:p>
            <w:pPr>
              <w:ind w:left="100"/>
              <w:spacing w:after="0"/>
              <w:rPr>
                <w:sz w:val="20"/>
                <w:szCs w:val="20"/>
                <w:color w:val="auto"/>
              </w:rPr>
            </w:pPr>
            <w:r>
              <w:rPr>
                <w:rFonts w:ascii="Arial" w:cs="Arial" w:eastAsia="Arial" w:hAnsi="Arial"/>
                <w:sz w:val="16"/>
                <w:szCs w:val="16"/>
                <w:color w:val="auto"/>
              </w:rPr>
              <w:t>pre-established Company and individual performance</w:t>
            </w:r>
          </w:p>
        </w:tc>
        <w:tc>
          <w:tcPr>
            <w:tcW w:w="0" w:type="dxa"/>
            <w:vAlign w:val="bottom"/>
          </w:tcPr>
          <w:p>
            <w:pPr>
              <w:spacing w:after="0"/>
              <w:rPr>
                <w:sz w:val="1"/>
                <w:szCs w:val="1"/>
                <w:color w:val="auto"/>
              </w:rPr>
            </w:pPr>
          </w:p>
        </w:tc>
      </w:tr>
      <w:tr>
        <w:trPr>
          <w:trHeight w:val="193"/>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objectives.</w:t>
            </w:r>
          </w:p>
        </w:tc>
        <w:tc>
          <w:tcPr>
            <w:tcW w:w="4100" w:type="dxa"/>
            <w:vAlign w:val="bottom"/>
          </w:tcPr>
          <w:p>
            <w:pPr>
              <w:ind w:left="100"/>
              <w:spacing w:after="0"/>
              <w:rPr>
                <w:sz w:val="20"/>
                <w:szCs w:val="20"/>
                <w:color w:val="auto"/>
              </w:rPr>
            </w:pPr>
            <w:r>
              <w:rPr>
                <w:rFonts w:ascii="Arial" w:cs="Arial" w:eastAsia="Arial" w:hAnsi="Arial"/>
                <w:sz w:val="16"/>
                <w:szCs w:val="16"/>
                <w:color w:val="auto"/>
              </w:rPr>
              <w:t>goals.</w:t>
            </w:r>
          </w:p>
        </w:tc>
        <w:tc>
          <w:tcPr>
            <w:tcW w:w="0" w:type="dxa"/>
            <w:vAlign w:val="bottom"/>
          </w:tcPr>
          <w:p>
            <w:pPr>
              <w:spacing w:after="0"/>
              <w:rPr>
                <w:sz w:val="1"/>
                <w:szCs w:val="1"/>
                <w:color w:val="auto"/>
              </w:rPr>
            </w:pPr>
          </w:p>
        </w:tc>
      </w:tr>
      <w:tr>
        <w:trPr>
          <w:trHeight w:val="276"/>
        </w:trPr>
        <w:tc>
          <w:tcPr>
            <w:tcW w:w="2500" w:type="dxa"/>
            <w:vAlign w:val="bottom"/>
            <w:tcBorders>
              <w:right w:val="single" w:sz="8" w:color="007CBA"/>
            </w:tcBorders>
            <w:vMerge w:val="restart"/>
          </w:tcPr>
          <w:p>
            <w:pPr>
              <w:ind w:left="280"/>
              <w:spacing w:after="0"/>
              <w:rPr>
                <w:sz w:val="20"/>
                <w:szCs w:val="20"/>
                <w:color w:val="auto"/>
              </w:rPr>
            </w:pPr>
            <w:r>
              <w:rPr>
                <w:rFonts w:ascii="Arial" w:cs="Arial" w:eastAsia="Arial" w:hAnsi="Arial"/>
                <w:sz w:val="16"/>
                <w:szCs w:val="16"/>
                <w:i w:val="1"/>
                <w:iCs w:val="1"/>
                <w:color w:val="auto"/>
              </w:rPr>
              <w:t>Incentive Stock Plan</w:t>
            </w: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To ensure executives invest certain levels of their annual</w:t>
            </w:r>
          </w:p>
        </w:tc>
        <w:tc>
          <w:tcPr>
            <w:tcW w:w="4100" w:type="dxa"/>
            <w:vAlign w:val="bottom"/>
          </w:tcPr>
          <w:p>
            <w:pPr>
              <w:ind w:left="100"/>
              <w:spacing w:after="0"/>
              <w:rPr>
                <w:sz w:val="20"/>
                <w:szCs w:val="20"/>
                <w:color w:val="auto"/>
              </w:rPr>
            </w:pPr>
            <w:r>
              <w:rPr>
                <w:rFonts w:ascii="Arial" w:cs="Arial" w:eastAsia="Arial" w:hAnsi="Arial"/>
                <w:sz w:val="16"/>
                <w:szCs w:val="16"/>
                <w:color w:val="auto"/>
                <w:w w:val="99"/>
              </w:rPr>
              <w:t>To promote sustainable performance results, a portion of</w:t>
            </w:r>
          </w:p>
        </w:tc>
        <w:tc>
          <w:tcPr>
            <w:tcW w:w="0" w:type="dxa"/>
            <w:vAlign w:val="bottom"/>
          </w:tcPr>
          <w:p>
            <w:pPr>
              <w:spacing w:after="0"/>
              <w:rPr>
                <w:sz w:val="1"/>
                <w:szCs w:val="1"/>
                <w:color w:val="auto"/>
              </w:rPr>
            </w:pPr>
          </w:p>
        </w:tc>
      </w:tr>
      <w:tr>
        <w:trPr>
          <w:trHeight w:val="73"/>
        </w:trPr>
        <w:tc>
          <w:tcPr>
            <w:tcW w:w="2500" w:type="dxa"/>
            <w:vAlign w:val="bottom"/>
            <w:tcBorders>
              <w:right w:val="single" w:sz="8" w:color="007CBA"/>
            </w:tcBorders>
            <w:vMerge w:val="continue"/>
          </w:tcPr>
          <w:p>
            <w:pPr>
              <w:spacing w:after="0"/>
              <w:rPr>
                <w:sz w:val="6"/>
                <w:szCs w:val="6"/>
                <w:color w:val="auto"/>
              </w:rPr>
            </w:pPr>
          </w:p>
        </w:tc>
        <w:tc>
          <w:tcPr>
            <w:tcW w:w="4260" w:type="dxa"/>
            <w:vAlign w:val="bottom"/>
            <w:tcBorders>
              <w:right w:val="single" w:sz="8" w:color="007CBA"/>
            </w:tcBorders>
            <w:vMerge w:val="restart"/>
          </w:tcPr>
          <w:p>
            <w:pPr>
              <w:ind w:left="100"/>
              <w:spacing w:after="0"/>
              <w:rPr>
                <w:sz w:val="20"/>
                <w:szCs w:val="20"/>
                <w:color w:val="auto"/>
              </w:rPr>
            </w:pPr>
            <w:r>
              <w:rPr>
                <w:rFonts w:ascii="Arial" w:cs="Arial" w:eastAsia="Arial" w:hAnsi="Arial"/>
                <w:sz w:val="16"/>
                <w:szCs w:val="16"/>
                <w:color w:val="auto"/>
              </w:rPr>
              <w:t>incentive compensation into Martin Marietta stock units.</w:t>
            </w:r>
          </w:p>
        </w:tc>
        <w:tc>
          <w:tcPr>
            <w:tcW w:w="4100" w:type="dxa"/>
            <w:vAlign w:val="bottom"/>
            <w:vMerge w:val="restart"/>
          </w:tcPr>
          <w:p>
            <w:pPr>
              <w:ind w:left="100"/>
              <w:spacing w:after="0"/>
              <w:rPr>
                <w:sz w:val="20"/>
                <w:szCs w:val="20"/>
                <w:color w:val="auto"/>
              </w:rPr>
            </w:pPr>
            <w:r>
              <w:rPr>
                <w:rFonts w:ascii="Arial" w:cs="Arial" w:eastAsia="Arial" w:hAnsi="Arial"/>
                <w:sz w:val="16"/>
                <w:szCs w:val="16"/>
                <w:color w:val="auto"/>
              </w:rPr>
              <w:t>each NEO’s annual cash incentive compensation (35%</w:t>
            </w:r>
          </w:p>
        </w:tc>
        <w:tc>
          <w:tcPr>
            <w:tcW w:w="0" w:type="dxa"/>
            <w:vAlign w:val="bottom"/>
          </w:tcPr>
          <w:p>
            <w:pPr>
              <w:spacing w:after="0"/>
              <w:rPr>
                <w:sz w:val="1"/>
                <w:szCs w:val="1"/>
                <w:color w:val="auto"/>
              </w:rPr>
            </w:pPr>
          </w:p>
        </w:tc>
      </w:tr>
      <w:tr>
        <w:trPr>
          <w:trHeight w:val="114"/>
        </w:trPr>
        <w:tc>
          <w:tcPr>
            <w:tcW w:w="2500" w:type="dxa"/>
            <w:vAlign w:val="bottom"/>
            <w:tcBorders>
              <w:right w:val="single" w:sz="8" w:color="007CBA"/>
            </w:tcBorders>
          </w:tcPr>
          <w:p>
            <w:pPr>
              <w:spacing w:after="0"/>
              <w:rPr>
                <w:sz w:val="9"/>
                <w:szCs w:val="9"/>
                <w:color w:val="auto"/>
              </w:rPr>
            </w:pPr>
          </w:p>
        </w:tc>
        <w:tc>
          <w:tcPr>
            <w:tcW w:w="4260" w:type="dxa"/>
            <w:vAlign w:val="bottom"/>
            <w:tcBorders>
              <w:right w:val="single" w:sz="8" w:color="007CBA"/>
            </w:tcBorders>
            <w:vMerge w:val="continue"/>
          </w:tcPr>
          <w:p>
            <w:pPr>
              <w:spacing w:after="0"/>
              <w:rPr>
                <w:sz w:val="9"/>
                <w:szCs w:val="9"/>
                <w:color w:val="auto"/>
              </w:rPr>
            </w:pP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for the CEO and 20% for the other NEOs) is</w:t>
            </w: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automatically converted into common stock units. NEOs</w:t>
            </w: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may elect to convert up to 50% of their annual cash</w:t>
            </w:r>
          </w:p>
        </w:tc>
        <w:tc>
          <w:tcPr>
            <w:tcW w:w="0" w:type="dxa"/>
            <w:vAlign w:val="bottom"/>
          </w:tcPr>
          <w:p>
            <w:pPr>
              <w:spacing w:after="0"/>
              <w:rPr>
                <w:sz w:val="1"/>
                <w:szCs w:val="1"/>
                <w:color w:val="auto"/>
              </w:rPr>
            </w:pPr>
          </w:p>
        </w:tc>
      </w:tr>
      <w:tr>
        <w:trPr>
          <w:trHeight w:val="193"/>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incentive compensation into common stock units.</w:t>
            </w:r>
          </w:p>
        </w:tc>
        <w:tc>
          <w:tcPr>
            <w:tcW w:w="0" w:type="dxa"/>
            <w:vAlign w:val="bottom"/>
          </w:tcPr>
          <w:p>
            <w:pPr>
              <w:spacing w:after="0"/>
              <w:rPr>
                <w:sz w:val="1"/>
                <w:szCs w:val="1"/>
                <w:color w:val="auto"/>
              </w:rPr>
            </w:pPr>
          </w:p>
        </w:tc>
      </w:tr>
      <w:tr>
        <w:trPr>
          <w:trHeight w:val="45"/>
        </w:trPr>
        <w:tc>
          <w:tcPr>
            <w:tcW w:w="2500" w:type="dxa"/>
            <w:vAlign w:val="bottom"/>
            <w:tcBorders>
              <w:right w:val="single" w:sz="8" w:color="007CBA"/>
            </w:tcBorders>
          </w:tcPr>
          <w:p>
            <w:pPr>
              <w:spacing w:after="0"/>
              <w:rPr>
                <w:sz w:val="3"/>
                <w:szCs w:val="3"/>
                <w:color w:val="auto"/>
              </w:rPr>
            </w:pPr>
          </w:p>
        </w:tc>
        <w:tc>
          <w:tcPr>
            <w:tcW w:w="4260" w:type="dxa"/>
            <w:vAlign w:val="bottom"/>
            <w:tcBorders>
              <w:right w:val="single" w:sz="8" w:color="007CBA"/>
            </w:tcBorders>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5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Long-Term</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w w:val="99"/>
              </w:rPr>
              <w:t>To align executives with shareholder interests, to reinforce</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Variable compensation component. Reviewed and</w:t>
            </w:r>
          </w:p>
        </w:tc>
        <w:tc>
          <w:tcPr>
            <w:tcW w:w="0" w:type="dxa"/>
            <w:vAlign w:val="bottom"/>
          </w:tcPr>
          <w:p>
            <w:pPr>
              <w:spacing w:after="0"/>
              <w:rPr>
                <w:sz w:val="1"/>
                <w:szCs w:val="1"/>
                <w:color w:val="auto"/>
              </w:rPr>
            </w:pPr>
          </w:p>
        </w:tc>
      </w:tr>
      <w:tr>
        <w:trPr>
          <w:trHeight w:val="211"/>
        </w:trPr>
        <w:tc>
          <w:tcPr>
            <w:tcW w:w="25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Incentive Awards</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long-term value creation, and to provide a balanced</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w w:val="99"/>
              </w:rPr>
              <w:t>granted annually. Program splits long-term incentives for</w:t>
            </w:r>
          </w:p>
        </w:tc>
        <w:tc>
          <w:tcPr>
            <w:tcW w:w="0" w:type="dxa"/>
            <w:vAlign w:val="bottom"/>
          </w:tcPr>
          <w:p>
            <w:pPr>
              <w:spacing w:after="0"/>
              <w:rPr>
                <w:sz w:val="1"/>
                <w:szCs w:val="1"/>
                <w:color w:val="auto"/>
              </w:rPr>
            </w:pPr>
          </w:p>
        </w:tc>
      </w:tr>
      <w:tr>
        <w:trPr>
          <w:trHeight w:val="193"/>
        </w:trPr>
        <w:tc>
          <w:tcPr>
            <w:tcW w:w="250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portfolio of long-term incentive opportunities.</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NEOs at 55% PSUs and 45% RSUs.</w:t>
            </w:r>
          </w:p>
        </w:tc>
        <w:tc>
          <w:tcPr>
            <w:tcW w:w="0" w:type="dxa"/>
            <w:vAlign w:val="bottom"/>
          </w:tcPr>
          <w:p>
            <w:pPr>
              <w:spacing w:after="0"/>
              <w:rPr>
                <w:sz w:val="1"/>
                <w:szCs w:val="1"/>
                <w:color w:val="auto"/>
              </w:rPr>
            </w:pPr>
          </w:p>
        </w:tc>
      </w:tr>
      <w:tr>
        <w:trPr>
          <w:trHeight w:val="260"/>
        </w:trPr>
        <w:tc>
          <w:tcPr>
            <w:tcW w:w="250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Performance Share Units</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To motivate executives by tying incentives to our multi-</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w w:val="99"/>
              </w:rPr>
              <w:t>Grants based on three-year adjusted EBITDA and Sales</w:t>
            </w:r>
          </w:p>
        </w:tc>
        <w:tc>
          <w:tcPr>
            <w:tcW w:w="0" w:type="dxa"/>
            <w:vAlign w:val="bottom"/>
          </w:tcPr>
          <w:p>
            <w:pPr>
              <w:spacing w:after="0"/>
              <w:rPr>
                <w:sz w:val="1"/>
                <w:szCs w:val="1"/>
                <w:color w:val="auto"/>
              </w:rPr>
            </w:pPr>
          </w:p>
        </w:tc>
      </w:tr>
      <w:tr>
        <w:trPr>
          <w:trHeight w:val="203"/>
        </w:trPr>
        <w:tc>
          <w:tcPr>
            <w:tcW w:w="250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(PSUs)</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year financial goals and relative TSR reinforcing the link</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Growth goals, with a modifier based on TSR</w:t>
            </w:r>
          </w:p>
        </w:tc>
        <w:tc>
          <w:tcPr>
            <w:tcW w:w="0" w:type="dxa"/>
            <w:vAlign w:val="bottom"/>
          </w:tcPr>
          <w:p>
            <w:pPr>
              <w:spacing w:after="0"/>
              <w:rPr>
                <w:sz w:val="1"/>
                <w:szCs w:val="1"/>
                <w:color w:val="auto"/>
              </w:rPr>
            </w:pPr>
          </w:p>
        </w:tc>
      </w:tr>
      <w:tr>
        <w:trPr>
          <w:trHeight w:val="193"/>
        </w:trPr>
        <w:tc>
          <w:tcPr>
            <w:tcW w:w="2500" w:type="dxa"/>
            <w:vAlign w:val="bottom"/>
            <w:tcBorders>
              <w:right w:val="single" w:sz="8" w:color="007CBA"/>
            </w:tcBorders>
            <w:shd w:val="clear" w:color="auto" w:fill="E5F1F8"/>
          </w:tcPr>
          <w:p>
            <w:pPr>
              <w:spacing w:after="0"/>
              <w:rPr>
                <w:sz w:val="16"/>
                <w:szCs w:val="16"/>
                <w:color w:val="auto"/>
              </w:rPr>
            </w:pP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between our executive officers and our shareholders.</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performance relative to peers.</w:t>
            </w:r>
          </w:p>
        </w:tc>
        <w:tc>
          <w:tcPr>
            <w:tcW w:w="0" w:type="dxa"/>
            <w:vAlign w:val="bottom"/>
          </w:tcPr>
          <w:p>
            <w:pPr>
              <w:spacing w:after="0"/>
              <w:rPr>
                <w:sz w:val="1"/>
                <w:szCs w:val="1"/>
                <w:color w:val="auto"/>
              </w:rPr>
            </w:pPr>
          </w:p>
        </w:tc>
      </w:tr>
      <w:tr>
        <w:trPr>
          <w:trHeight w:val="284"/>
        </w:trPr>
        <w:tc>
          <w:tcPr>
            <w:tcW w:w="250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w w:val="99"/>
              </w:rPr>
              <w:t>Performance-Based Restricted</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To motivate the appropriate behaviors delivering superior</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Stock price growth. Awards are subject to achievement</w:t>
            </w: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Stock Units</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long-term total shareholder return.</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of one-year adjusted EBITDA goals.</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E5F1F8"/>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(RSUs)</w:t>
            </w:r>
          </w:p>
        </w:tc>
        <w:tc>
          <w:tcPr>
            <w:tcW w:w="4260" w:type="dxa"/>
            <w:vAlign w:val="bottom"/>
            <w:tcBorders>
              <w:bottom w:val="single" w:sz="8" w:color="E5F1F8"/>
              <w:right w:val="single" w:sz="8" w:color="007CBA"/>
            </w:tcBorders>
            <w:shd w:val="clear" w:color="auto" w:fill="E5F1F8"/>
          </w:tcPr>
          <w:p>
            <w:pPr>
              <w:spacing w:after="0"/>
              <w:rPr>
                <w:sz w:val="20"/>
                <w:szCs w:val="20"/>
                <w:color w:val="auto"/>
              </w:rPr>
            </w:pPr>
          </w:p>
        </w:tc>
        <w:tc>
          <w:tcPr>
            <w:tcW w:w="4100" w:type="dxa"/>
            <w:vAlign w:val="bottom"/>
            <w:tcBorders>
              <w:bottom w:val="single" w:sz="8" w:color="E5F1F8"/>
            </w:tcBorders>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5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Health/Welfare Plan and</w:t>
            </w: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To provide competitive benefits promoting employee</w:t>
            </w:r>
          </w:p>
        </w:tc>
        <w:tc>
          <w:tcPr>
            <w:tcW w:w="4100" w:type="dxa"/>
            <w:vAlign w:val="bottom"/>
          </w:tcPr>
          <w:p>
            <w:pPr>
              <w:ind w:left="100"/>
              <w:spacing w:after="0"/>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235"/>
        </w:trPr>
        <w:tc>
          <w:tcPr>
            <w:tcW w:w="25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Retirement Benefits</w:t>
            </w: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health and productivity and support financial security.</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500" w:type="dxa"/>
            <w:vAlign w:val="bottom"/>
            <w:tcBorders>
              <w:right w:val="single" w:sz="8" w:color="007CBA"/>
            </w:tcBorders>
          </w:tcPr>
          <w:p>
            <w:pPr>
              <w:spacing w:after="0"/>
              <w:rPr>
                <w:sz w:val="3"/>
                <w:szCs w:val="3"/>
                <w:color w:val="auto"/>
              </w:rPr>
            </w:pPr>
          </w:p>
        </w:tc>
        <w:tc>
          <w:tcPr>
            <w:tcW w:w="4260" w:type="dxa"/>
            <w:vAlign w:val="bottom"/>
            <w:tcBorders>
              <w:right w:val="single" w:sz="8" w:color="007CBA"/>
            </w:tcBorders>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5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Perquisites and Other Benefits</w:t>
            </w:r>
          </w:p>
        </w:tc>
        <w:tc>
          <w:tcPr>
            <w:tcW w:w="426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To provide limited business-related benefits, where</w:t>
            </w:r>
          </w:p>
        </w:tc>
        <w:tc>
          <w:tcPr>
            <w:tcW w:w="4100" w:type="dxa"/>
            <w:vAlign w:val="bottom"/>
            <w:shd w:val="clear" w:color="auto" w:fill="E5F1F8"/>
          </w:tcPr>
          <w:p>
            <w:pPr>
              <w:ind w:left="100"/>
              <w:spacing w:after="0"/>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162"/>
        </w:trPr>
        <w:tc>
          <w:tcPr>
            <w:tcW w:w="2500" w:type="dxa"/>
            <w:vAlign w:val="bottom"/>
            <w:tcBorders>
              <w:right w:val="single" w:sz="8" w:color="007CBA"/>
            </w:tcBorders>
            <w:shd w:val="clear" w:color="auto" w:fill="E5F1F8"/>
          </w:tcPr>
          <w:p>
            <w:pPr>
              <w:spacing w:after="0"/>
              <w:rPr>
                <w:sz w:val="14"/>
                <w:szCs w:val="14"/>
                <w:color w:val="auto"/>
              </w:rPr>
            </w:pPr>
          </w:p>
        </w:tc>
        <w:tc>
          <w:tcPr>
            <w:tcW w:w="4260" w:type="dxa"/>
            <w:vAlign w:val="bottom"/>
            <w:tcBorders>
              <w:right w:val="single" w:sz="8" w:color="007CBA"/>
            </w:tcBorders>
            <w:shd w:val="clear" w:color="auto" w:fill="E5F1F8"/>
          </w:tcPr>
          <w:p>
            <w:pPr>
              <w:ind w:left="100"/>
              <w:spacing w:after="0" w:line="162" w:lineRule="exact"/>
              <w:rPr>
                <w:sz w:val="20"/>
                <w:szCs w:val="20"/>
                <w:color w:val="auto"/>
              </w:rPr>
            </w:pPr>
            <w:r>
              <w:rPr>
                <w:rFonts w:ascii="Arial" w:cs="Arial" w:eastAsia="Arial" w:hAnsi="Arial"/>
                <w:sz w:val="16"/>
                <w:szCs w:val="16"/>
                <w:color w:val="auto"/>
              </w:rPr>
              <w:t>appropriate, and to assist in attracting and retaining</w:t>
            </w:r>
          </w:p>
        </w:tc>
        <w:tc>
          <w:tcPr>
            <w:tcW w:w="4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00" w:type="dxa"/>
            <w:vAlign w:val="bottom"/>
            <w:tcBorders>
              <w:bottom w:val="single" w:sz="8" w:color="E5F1F8"/>
              <w:right w:val="single" w:sz="8" w:color="007CBA"/>
            </w:tcBorders>
            <w:shd w:val="clear" w:color="auto" w:fill="E5F1F8"/>
          </w:tcPr>
          <w:p>
            <w:pPr>
              <w:spacing w:after="0"/>
              <w:rPr>
                <w:sz w:val="18"/>
                <w:szCs w:val="18"/>
                <w:color w:val="auto"/>
              </w:rPr>
            </w:pPr>
          </w:p>
        </w:tc>
        <w:tc>
          <w:tcPr>
            <w:tcW w:w="4260" w:type="dxa"/>
            <w:vAlign w:val="bottom"/>
            <w:tcBorders>
              <w:bottom w:val="single" w:sz="8" w:color="E5F1F8"/>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executive officers.</w:t>
            </w:r>
          </w:p>
        </w:tc>
        <w:tc>
          <w:tcPr>
            <w:tcW w:w="4100" w:type="dxa"/>
            <w:vAlign w:val="bottom"/>
            <w:tcBorders>
              <w:bottom w:val="single" w:sz="8" w:color="E5F1F8"/>
            </w:tcBorders>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50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Change-in-Control Protection</w:t>
            </w:r>
          </w:p>
        </w:tc>
        <w:tc>
          <w:tcPr>
            <w:tcW w:w="426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To provide continuity of management and bridge future</w:t>
            </w:r>
          </w:p>
        </w:tc>
        <w:tc>
          <w:tcPr>
            <w:tcW w:w="4100" w:type="dxa"/>
            <w:vAlign w:val="bottom"/>
          </w:tcPr>
          <w:p>
            <w:pPr>
              <w:ind w:left="100"/>
              <w:spacing w:after="0"/>
              <w:rPr>
                <w:sz w:val="20"/>
                <w:szCs w:val="20"/>
                <w:color w:val="auto"/>
              </w:rPr>
            </w:pPr>
            <w:r>
              <w:rPr>
                <w:rFonts w:ascii="Arial" w:cs="Arial" w:eastAsia="Arial" w:hAnsi="Arial"/>
                <w:sz w:val="16"/>
                <w:szCs w:val="16"/>
                <w:color w:val="auto"/>
              </w:rPr>
              <w:t>Fixed compensation component; only paid in the event</w:t>
            </w:r>
          </w:p>
        </w:tc>
        <w:tc>
          <w:tcPr>
            <w:tcW w:w="0" w:type="dxa"/>
            <w:vAlign w:val="bottom"/>
          </w:tcPr>
          <w:p>
            <w:pPr>
              <w:spacing w:after="0"/>
              <w:rPr>
                <w:sz w:val="1"/>
                <w:szCs w:val="1"/>
                <w:color w:val="auto"/>
              </w:rPr>
            </w:pPr>
          </w:p>
        </w:tc>
      </w:tr>
      <w:tr>
        <w:trPr>
          <w:trHeight w:val="162"/>
        </w:trPr>
        <w:tc>
          <w:tcPr>
            <w:tcW w:w="2500" w:type="dxa"/>
            <w:vAlign w:val="bottom"/>
            <w:tcBorders>
              <w:right w:val="single" w:sz="8" w:color="007CBA"/>
            </w:tcBorders>
          </w:tcPr>
          <w:p>
            <w:pPr>
              <w:spacing w:after="0"/>
              <w:rPr>
                <w:sz w:val="14"/>
                <w:szCs w:val="14"/>
                <w:color w:val="auto"/>
              </w:rPr>
            </w:pPr>
          </w:p>
        </w:tc>
        <w:tc>
          <w:tcPr>
            <w:tcW w:w="4260" w:type="dxa"/>
            <w:vAlign w:val="bottom"/>
            <w:tcBorders>
              <w:right w:val="single" w:sz="8" w:color="007CBA"/>
            </w:tcBorders>
          </w:tcPr>
          <w:p>
            <w:pPr>
              <w:ind w:left="100"/>
              <w:spacing w:after="0" w:line="162" w:lineRule="exact"/>
              <w:rPr>
                <w:sz w:val="20"/>
                <w:szCs w:val="20"/>
                <w:color w:val="auto"/>
              </w:rPr>
            </w:pPr>
            <w:r>
              <w:rPr>
                <w:rFonts w:ascii="Arial" w:cs="Arial" w:eastAsia="Arial" w:hAnsi="Arial"/>
                <w:sz w:val="16"/>
                <w:szCs w:val="16"/>
                <w:color w:val="auto"/>
              </w:rPr>
              <w:t>employment if terminated following a change in control.</w:t>
            </w:r>
          </w:p>
        </w:tc>
        <w:tc>
          <w:tcPr>
            <w:tcW w:w="4100" w:type="dxa"/>
            <w:vAlign w:val="bottom"/>
          </w:tcPr>
          <w:p>
            <w:pPr>
              <w:ind w:left="100"/>
              <w:spacing w:after="0" w:line="162" w:lineRule="exact"/>
              <w:rPr>
                <w:sz w:val="20"/>
                <w:szCs w:val="20"/>
                <w:color w:val="auto"/>
              </w:rPr>
            </w:pPr>
            <w:r>
              <w:rPr>
                <w:rFonts w:ascii="Arial" w:cs="Arial" w:eastAsia="Arial" w:hAnsi="Arial"/>
                <w:sz w:val="16"/>
                <w:szCs w:val="16"/>
                <w:color w:val="auto"/>
              </w:rPr>
              <w:t>the executive’s employment is terminated other than for</w:t>
            </w:r>
          </w:p>
        </w:tc>
        <w:tc>
          <w:tcPr>
            <w:tcW w:w="0" w:type="dxa"/>
            <w:vAlign w:val="bottom"/>
          </w:tcPr>
          <w:p>
            <w:pPr>
              <w:spacing w:after="0"/>
              <w:rPr>
                <w:sz w:val="1"/>
                <w:szCs w:val="1"/>
                <w:color w:val="auto"/>
              </w:rPr>
            </w:pPr>
          </w:p>
        </w:tc>
      </w:tr>
      <w:tr>
        <w:trPr>
          <w:trHeight w:val="187"/>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“cause” or for “good reason”, in either case, in</w:t>
            </w:r>
          </w:p>
        </w:tc>
        <w:tc>
          <w:tcPr>
            <w:tcW w:w="0" w:type="dxa"/>
            <w:vAlign w:val="bottom"/>
          </w:tcPr>
          <w:p>
            <w:pPr>
              <w:spacing w:after="0"/>
              <w:rPr>
                <w:sz w:val="1"/>
                <w:szCs w:val="1"/>
                <w:color w:val="auto"/>
              </w:rPr>
            </w:pPr>
          </w:p>
        </w:tc>
      </w:tr>
      <w:tr>
        <w:trPr>
          <w:trHeight w:val="193"/>
        </w:trPr>
        <w:tc>
          <w:tcPr>
            <w:tcW w:w="2500" w:type="dxa"/>
            <w:vAlign w:val="bottom"/>
            <w:tcBorders>
              <w:right w:val="single" w:sz="8" w:color="007CBA"/>
            </w:tcBorders>
          </w:tcPr>
          <w:p>
            <w:pPr>
              <w:spacing w:after="0"/>
              <w:rPr>
                <w:sz w:val="16"/>
                <w:szCs w:val="16"/>
                <w:color w:val="auto"/>
              </w:rPr>
            </w:pPr>
          </w:p>
        </w:tc>
        <w:tc>
          <w:tcPr>
            <w:tcW w:w="4260" w:type="dxa"/>
            <w:vAlign w:val="bottom"/>
            <w:tcBorders>
              <w:right w:val="single" w:sz="8" w:color="007CBA"/>
            </w:tcBorders>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6"/>
                <w:szCs w:val="16"/>
                <w:color w:val="auto"/>
              </w:rPr>
              <w:t>connection with a change in control.</w:t>
            </w:r>
          </w:p>
        </w:tc>
        <w:tc>
          <w:tcPr>
            <w:tcW w:w="0" w:type="dxa"/>
            <w:vAlign w:val="bottom"/>
          </w:tcPr>
          <w:p>
            <w:pPr>
              <w:spacing w:after="0"/>
              <w:rPr>
                <w:sz w:val="1"/>
                <w:szCs w:val="1"/>
                <w:color w:val="auto"/>
              </w:rPr>
            </w:pPr>
          </w:p>
        </w:tc>
      </w:tr>
      <w:tr>
        <w:trPr>
          <w:trHeight w:val="45"/>
        </w:trPr>
        <w:tc>
          <w:tcPr>
            <w:tcW w:w="2500" w:type="dxa"/>
            <w:vAlign w:val="bottom"/>
            <w:tcBorders>
              <w:bottom w:val="single" w:sz="8" w:color="007CBA"/>
              <w:right w:val="single" w:sz="8" w:color="007CBA"/>
            </w:tcBorders>
          </w:tcPr>
          <w:p>
            <w:pPr>
              <w:spacing w:after="0"/>
              <w:rPr>
                <w:sz w:val="3"/>
                <w:szCs w:val="3"/>
                <w:color w:val="auto"/>
              </w:rPr>
            </w:pPr>
          </w:p>
        </w:tc>
        <w:tc>
          <w:tcPr>
            <w:tcW w:w="4260" w:type="dxa"/>
            <w:vAlign w:val="bottom"/>
            <w:tcBorders>
              <w:bottom w:val="single" w:sz="8" w:color="007CBA"/>
              <w:right w:val="single" w:sz="8" w:color="007CBA"/>
            </w:tcBorders>
          </w:tcPr>
          <w:p>
            <w:pPr>
              <w:spacing w:after="0"/>
              <w:rPr>
                <w:sz w:val="3"/>
                <w:szCs w:val="3"/>
                <w:color w:val="auto"/>
              </w:rPr>
            </w:pPr>
          </w:p>
        </w:tc>
        <w:tc>
          <w:tcPr>
            <w:tcW w:w="4100" w:type="dxa"/>
            <w:vAlign w:val="bottom"/>
            <w:tcBorders>
              <w:bottom w:val="single" w:sz="8" w:color="007CB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93345</wp:posOffset>
            </wp:positionV>
            <wp:extent cx="406400" cy="2451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61" w:lineRule="exact"/>
        <w:rPr>
          <w:sz w:val="20"/>
          <w:szCs w:val="20"/>
          <w:color w:val="auto"/>
        </w:rPr>
      </w:pPr>
    </w:p>
    <w:p>
      <w:pPr>
        <w:ind w:left="620" w:hanging="433"/>
        <w:spacing w:after="0"/>
        <w:tabs>
          <w:tab w:leader="none" w:pos="620" w:val="left"/>
        </w:tabs>
        <w:numPr>
          <w:ilvl w:val="0"/>
          <w:numId w:val="100"/>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5600"/>
        <w:spacing w:after="0" w:line="276" w:lineRule="exact"/>
        <w:rPr>
          <w:sz w:val="20"/>
          <w:szCs w:val="20"/>
          <w:color w:val="auto"/>
        </w:rPr>
      </w:pPr>
      <w:r>
        <w:rPr>
          <w:rFonts w:ascii="Arial" w:cs="Arial" w:eastAsia="Arial" w:hAnsi="Arial"/>
          <w:sz w:val="13"/>
          <w:szCs w:val="13"/>
          <w:color w:val="auto"/>
        </w:rPr>
        <w:t xml:space="preserve">Considerations Regarding 2019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Considerations Regarding 2019 Compensation</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following chart summarizes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compensation in our 2019 executive compensation program:</w:t>
      </w: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70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Pay Component</w:t>
            </w:r>
          </w:p>
        </w:tc>
        <w:tc>
          <w:tcPr>
            <w:tcW w:w="9160" w:type="dxa"/>
            <w:vAlign w:val="bottom"/>
            <w:gridSpan w:val="2"/>
            <w:shd w:val="clear" w:color="auto" w:fill="007CBA"/>
          </w:tcPr>
          <w:p>
            <w:pPr>
              <w:ind w:left="400"/>
              <w:spacing w:after="0"/>
              <w:rPr>
                <w:sz w:val="20"/>
                <w:szCs w:val="20"/>
                <w:color w:val="auto"/>
              </w:rPr>
            </w:pPr>
            <w:r>
              <w:rPr>
                <w:rFonts w:ascii="Arial" w:cs="Arial" w:eastAsia="Arial" w:hAnsi="Arial"/>
                <w:sz w:val="16"/>
                <w:szCs w:val="16"/>
                <w:b w:val="1"/>
                <w:bCs w:val="1"/>
                <w:color w:val="FFFFFF"/>
              </w:rPr>
              <w:t>Summary</w:t>
            </w:r>
          </w:p>
        </w:tc>
      </w:tr>
      <w:tr>
        <w:trPr>
          <w:trHeight w:val="228"/>
        </w:trPr>
        <w:tc>
          <w:tcPr>
            <w:tcW w:w="1700" w:type="dxa"/>
            <w:vAlign w:val="bottom"/>
          </w:tcPr>
          <w:p>
            <w:pPr>
              <w:ind w:left="60"/>
              <w:spacing w:after="0"/>
              <w:rPr>
                <w:sz w:val="20"/>
                <w:szCs w:val="20"/>
                <w:color w:val="auto"/>
              </w:rPr>
            </w:pPr>
            <w:r>
              <w:rPr>
                <w:rFonts w:ascii="Arial" w:cs="Arial" w:eastAsia="Arial" w:hAnsi="Arial"/>
                <w:sz w:val="16"/>
                <w:szCs w:val="16"/>
                <w:b w:val="1"/>
                <w:bCs w:val="1"/>
                <w:color w:val="auto"/>
              </w:rPr>
              <w:t>Base Salary</w:t>
            </w:r>
          </w:p>
        </w:tc>
        <w:tc>
          <w:tcPr>
            <w:tcW w:w="640" w:type="dxa"/>
            <w:vAlign w:val="bottom"/>
          </w:tcPr>
          <w:p>
            <w:pPr>
              <w:ind w:left="480"/>
              <w:spacing w:after="0"/>
              <w:rPr>
                <w:sz w:val="20"/>
                <w:szCs w:val="20"/>
                <w:color w:val="auto"/>
              </w:rPr>
            </w:pPr>
            <w:r>
              <w:rPr>
                <w:rFonts w:ascii="Arial" w:cs="Arial" w:eastAsia="Arial" w:hAnsi="Arial"/>
                <w:sz w:val="16"/>
                <w:szCs w:val="16"/>
                <w:color w:val="007CBA"/>
              </w:rPr>
              <w:t>•</w:t>
            </w:r>
          </w:p>
        </w:tc>
        <w:tc>
          <w:tcPr>
            <w:tcW w:w="8520" w:type="dxa"/>
            <w:vAlign w:val="bottom"/>
          </w:tcPr>
          <w:p>
            <w:pPr>
              <w:ind w:left="80"/>
              <w:spacing w:after="0"/>
              <w:rPr>
                <w:sz w:val="20"/>
                <w:szCs w:val="20"/>
                <w:color w:val="auto"/>
              </w:rPr>
            </w:pPr>
            <w:r>
              <w:rPr>
                <w:rFonts w:ascii="Arial" w:cs="Arial" w:eastAsia="Arial" w:hAnsi="Arial"/>
                <w:sz w:val="16"/>
                <w:szCs w:val="16"/>
                <w:color w:val="auto"/>
              </w:rPr>
              <w:t>At the February 2019 meeting, the Committee reviewed competitive market data and individual performance</w:t>
            </w:r>
          </w:p>
        </w:tc>
      </w:tr>
      <w:tr>
        <w:trPr>
          <w:trHeight w:val="193"/>
        </w:trPr>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520" w:type="dxa"/>
            <w:vAlign w:val="bottom"/>
          </w:tcPr>
          <w:p>
            <w:pPr>
              <w:ind w:left="80"/>
              <w:spacing w:after="0"/>
              <w:rPr>
                <w:sz w:val="20"/>
                <w:szCs w:val="20"/>
                <w:color w:val="auto"/>
              </w:rPr>
            </w:pPr>
            <w:r>
              <w:rPr>
                <w:rFonts w:ascii="Arial" w:cs="Arial" w:eastAsia="Arial" w:hAnsi="Arial"/>
                <w:sz w:val="16"/>
                <w:szCs w:val="16"/>
                <w:color w:val="auto"/>
              </w:rPr>
              <w:t>evaluations. Increases were effective March 1, 2019 for all NEOs.</w:t>
            </w:r>
          </w:p>
        </w:tc>
      </w:tr>
      <w:tr>
        <w:trPr>
          <w:trHeight w:val="45"/>
        </w:trPr>
        <w:tc>
          <w:tcPr>
            <w:tcW w:w="1700" w:type="dxa"/>
            <w:vAlign w:val="bottom"/>
            <w:tcBorders>
              <w:bottom w:val="single" w:sz="8" w:color="007CBA"/>
            </w:tcBorders>
          </w:tcPr>
          <w:p>
            <w:pPr>
              <w:spacing w:after="0"/>
              <w:rPr>
                <w:sz w:val="3"/>
                <w:szCs w:val="3"/>
                <w:color w:val="auto"/>
              </w:rPr>
            </w:pPr>
          </w:p>
        </w:tc>
        <w:tc>
          <w:tcPr>
            <w:tcW w:w="640" w:type="dxa"/>
            <w:vAlign w:val="bottom"/>
            <w:tcBorders>
              <w:bottom w:val="single" w:sz="8" w:color="007CBA"/>
            </w:tcBorders>
          </w:tcPr>
          <w:p>
            <w:pPr>
              <w:spacing w:after="0"/>
              <w:rPr>
                <w:sz w:val="3"/>
                <w:szCs w:val="3"/>
                <w:color w:val="auto"/>
              </w:rPr>
            </w:pPr>
          </w:p>
        </w:tc>
        <w:tc>
          <w:tcPr>
            <w:tcW w:w="8520" w:type="dxa"/>
            <w:vAlign w:val="bottom"/>
            <w:tcBorders>
              <w:bottom w:val="single" w:sz="8" w:color="007CBA"/>
            </w:tcBorders>
          </w:tcPr>
          <w:p>
            <w:pPr>
              <w:spacing w:after="0"/>
              <w:rPr>
                <w:sz w:val="3"/>
                <w:szCs w:val="3"/>
                <w:color w:val="auto"/>
              </w:rPr>
            </w:pPr>
          </w:p>
        </w:tc>
      </w:tr>
      <w:tr>
        <w:trPr>
          <w:trHeight w:val="202"/>
        </w:trPr>
        <w:tc>
          <w:tcPr>
            <w:tcW w:w="1700" w:type="dxa"/>
            <w:vAlign w:val="bottom"/>
          </w:tcPr>
          <w:p>
            <w:pPr>
              <w:ind w:left="60"/>
              <w:spacing w:after="0"/>
              <w:rPr>
                <w:sz w:val="20"/>
                <w:szCs w:val="20"/>
                <w:color w:val="auto"/>
              </w:rPr>
            </w:pPr>
            <w:r>
              <w:rPr>
                <w:rFonts w:ascii="Arial" w:cs="Arial" w:eastAsia="Arial" w:hAnsi="Arial"/>
                <w:sz w:val="16"/>
                <w:szCs w:val="16"/>
                <w:b w:val="1"/>
                <w:bCs w:val="1"/>
                <w:color w:val="auto"/>
              </w:rPr>
              <w:t>Target Annual</w:t>
            </w:r>
          </w:p>
        </w:tc>
        <w:tc>
          <w:tcPr>
            <w:tcW w:w="640" w:type="dxa"/>
            <w:vAlign w:val="bottom"/>
          </w:tcPr>
          <w:p>
            <w:pPr>
              <w:ind w:left="480"/>
              <w:spacing w:after="0"/>
              <w:rPr>
                <w:sz w:val="20"/>
                <w:szCs w:val="20"/>
                <w:color w:val="auto"/>
              </w:rPr>
            </w:pPr>
            <w:r>
              <w:rPr>
                <w:rFonts w:ascii="Arial" w:cs="Arial" w:eastAsia="Arial" w:hAnsi="Arial"/>
                <w:sz w:val="16"/>
                <w:szCs w:val="16"/>
                <w:color w:val="007CBA"/>
              </w:rPr>
              <w:t>•</w:t>
            </w:r>
          </w:p>
        </w:tc>
        <w:tc>
          <w:tcPr>
            <w:tcW w:w="8520" w:type="dxa"/>
            <w:vAlign w:val="bottom"/>
          </w:tcPr>
          <w:p>
            <w:pPr>
              <w:ind w:left="100"/>
              <w:spacing w:after="0"/>
              <w:rPr>
                <w:sz w:val="20"/>
                <w:szCs w:val="20"/>
                <w:color w:val="auto"/>
              </w:rPr>
            </w:pPr>
            <w:r>
              <w:rPr>
                <w:rFonts w:ascii="Arial" w:cs="Arial" w:eastAsia="Arial" w:hAnsi="Arial"/>
                <w:sz w:val="16"/>
                <w:szCs w:val="16"/>
                <w:color w:val="auto"/>
              </w:rPr>
              <w:t>Our CEO’s target incentive for 2019 was 130% of base earnings. For other NEOs’ target incentives for 2019 were</w:t>
            </w:r>
          </w:p>
        </w:tc>
      </w:tr>
      <w:tr>
        <w:trPr>
          <w:trHeight w:val="207"/>
        </w:trPr>
        <w:tc>
          <w:tcPr>
            <w:tcW w:w="1700" w:type="dxa"/>
            <w:vAlign w:val="bottom"/>
          </w:tcPr>
          <w:p>
            <w:pPr>
              <w:ind w:left="60"/>
              <w:spacing w:after="0"/>
              <w:rPr>
                <w:sz w:val="20"/>
                <w:szCs w:val="20"/>
                <w:color w:val="auto"/>
              </w:rPr>
            </w:pPr>
            <w:r>
              <w:rPr>
                <w:rFonts w:ascii="Arial" w:cs="Arial" w:eastAsia="Arial" w:hAnsi="Arial"/>
                <w:sz w:val="16"/>
                <w:szCs w:val="16"/>
                <w:b w:val="1"/>
                <w:bCs w:val="1"/>
                <w:color w:val="auto"/>
              </w:rPr>
              <w:t>Cash Incentives</w:t>
            </w:r>
          </w:p>
        </w:tc>
        <w:tc>
          <w:tcPr>
            <w:tcW w:w="640" w:type="dxa"/>
            <w:vAlign w:val="bottom"/>
          </w:tcPr>
          <w:p>
            <w:pPr>
              <w:spacing w:after="0"/>
              <w:rPr>
                <w:sz w:val="17"/>
                <w:szCs w:val="17"/>
                <w:color w:val="auto"/>
              </w:rPr>
            </w:pPr>
          </w:p>
        </w:tc>
        <w:tc>
          <w:tcPr>
            <w:tcW w:w="8520" w:type="dxa"/>
            <w:vAlign w:val="bottom"/>
          </w:tcPr>
          <w:p>
            <w:pPr>
              <w:ind w:left="80"/>
              <w:spacing w:after="0"/>
              <w:rPr>
                <w:sz w:val="20"/>
                <w:szCs w:val="20"/>
                <w:color w:val="auto"/>
              </w:rPr>
            </w:pPr>
            <w:r>
              <w:rPr>
                <w:rFonts w:ascii="Arial" w:cs="Arial" w:eastAsia="Arial" w:hAnsi="Arial"/>
                <w:sz w:val="16"/>
                <w:szCs w:val="16"/>
                <w:color w:val="auto"/>
              </w:rPr>
              <w:t>70% to 80% of base earnings.</w:t>
            </w:r>
          </w:p>
        </w:tc>
      </w:tr>
    </w:tbl>
    <w:p>
      <w:pPr>
        <w:ind w:left="2620" w:right="180" w:hanging="234"/>
        <w:spacing w:after="0" w:line="243" w:lineRule="auto"/>
        <w:tabs>
          <w:tab w:leader="none" w:pos="2606" w:val="left"/>
        </w:tabs>
        <w:numPr>
          <w:ilvl w:val="0"/>
          <w:numId w:val="101"/>
        </w:numPr>
        <w:rPr>
          <w:rFonts w:ascii="Arial" w:cs="Arial" w:eastAsia="Arial" w:hAnsi="Arial"/>
          <w:sz w:val="16"/>
          <w:szCs w:val="16"/>
          <w:color w:val="007CBA"/>
        </w:rPr>
      </w:pPr>
      <w:r>
        <w:rPr>
          <w:rFonts w:ascii="Arial" w:cs="Arial" w:eastAsia="Arial" w:hAnsi="Arial"/>
          <w:sz w:val="16"/>
          <w:szCs w:val="16"/>
          <w:color w:val="auto"/>
        </w:rPr>
        <w:t>Our shareholders in 2016 approved a new Executive Cash Incentive Plan that fixed the bonus amounts based on certain objective criteria and allowed the Committee to reduce the award based on enumerated factors in the plan.</w:t>
      </w:r>
    </w:p>
    <w:p>
      <w:pPr>
        <w:ind w:left="2620" w:right="180" w:hanging="234"/>
        <w:spacing w:after="0" w:line="243" w:lineRule="auto"/>
        <w:tabs>
          <w:tab w:leader="none" w:pos="2606" w:val="left"/>
        </w:tabs>
        <w:numPr>
          <w:ilvl w:val="0"/>
          <w:numId w:val="101"/>
        </w:numPr>
        <w:rPr>
          <w:rFonts w:ascii="Arial" w:cs="Arial" w:eastAsia="Arial" w:hAnsi="Arial"/>
          <w:sz w:val="16"/>
          <w:szCs w:val="16"/>
          <w:color w:val="007CBA"/>
        </w:rPr>
      </w:pPr>
      <w:r>
        <w:rPr>
          <w:rFonts w:ascii="Arial" w:cs="Arial" w:eastAsia="Arial" w:hAnsi="Arial"/>
          <w:sz w:val="16"/>
          <w:szCs w:val="16"/>
          <w:color w:val="auto"/>
        </w:rPr>
        <w:t>Our CEO is required to invest a minimum of 35% of his annual cash bonus into stock units, which are required to be held generally for a period of three years.</w:t>
      </w:r>
    </w:p>
    <w:p>
      <w:pPr>
        <w:ind w:left="2620" w:right="180" w:hanging="234"/>
        <w:spacing w:after="0" w:line="254" w:lineRule="auto"/>
        <w:tabs>
          <w:tab w:leader="none" w:pos="2606" w:val="left"/>
        </w:tabs>
        <w:numPr>
          <w:ilvl w:val="0"/>
          <w:numId w:val="101"/>
        </w:numPr>
        <w:rPr>
          <w:rFonts w:ascii="Arial" w:cs="Arial" w:eastAsia="Arial" w:hAnsi="Arial"/>
          <w:sz w:val="16"/>
          <w:szCs w:val="16"/>
          <w:color w:val="007CBA"/>
        </w:rPr>
      </w:pPr>
      <w:r>
        <w:rPr>
          <w:rFonts w:ascii="Arial" w:cs="Arial" w:eastAsia="Arial" w:hAnsi="Arial"/>
          <w:sz w:val="16"/>
          <w:szCs w:val="16"/>
          <w:color w:val="auto"/>
        </w:rPr>
        <w:t>Other NEOs are required to invest a minimum of 20% of their annual cash bonus into stock units, which are held generally for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22225</wp:posOffset>
            </wp:positionV>
            <wp:extent cx="69056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Long-Term</w:t>
            </w:r>
          </w:p>
        </w:tc>
        <w:tc>
          <w:tcPr>
            <w:tcW w:w="9320" w:type="dxa"/>
            <w:vAlign w:val="bottom"/>
          </w:tcPr>
          <w:p>
            <w:pPr>
              <w:ind w:left="6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LTI structure consists of PSUs and performance-based RSUs.</w:t>
            </w:r>
          </w:p>
        </w:tc>
      </w:tr>
      <w:tr>
        <w:trPr>
          <w:trHeight w:val="207"/>
        </w:trPr>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Incentives</w:t>
            </w:r>
          </w:p>
        </w:tc>
        <w:tc>
          <w:tcPr>
            <w:tcW w:w="9320" w:type="dxa"/>
            <w:vAlign w:val="bottom"/>
          </w:tcPr>
          <w:p>
            <w:pPr>
              <w:ind w:left="6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The LTI awards for NEOs in 2019 were weighted 55% PSUs and 45% RSUs. The LTI grant size is based on</w:t>
            </w:r>
          </w:p>
        </w:tc>
      </w:tr>
      <w:tr>
        <w:trPr>
          <w:trHeight w:val="187"/>
        </w:trPr>
        <w:tc>
          <w:tcPr>
            <w:tcW w:w="1540" w:type="dxa"/>
            <w:vAlign w:val="bottom"/>
          </w:tcPr>
          <w:p>
            <w:pPr>
              <w:spacing w:after="0"/>
              <w:rPr>
                <w:sz w:val="16"/>
                <w:szCs w:val="16"/>
                <w:color w:val="auto"/>
              </w:rPr>
            </w:pPr>
          </w:p>
        </w:tc>
        <w:tc>
          <w:tcPr>
            <w:tcW w:w="9320" w:type="dxa"/>
            <w:vAlign w:val="bottom"/>
          </w:tcPr>
          <w:p>
            <w:pPr>
              <w:ind w:left="880"/>
              <w:spacing w:after="0"/>
              <w:rPr>
                <w:sz w:val="20"/>
                <w:szCs w:val="20"/>
                <w:color w:val="auto"/>
              </w:rPr>
            </w:pPr>
            <w:r>
              <w:rPr>
                <w:rFonts w:ascii="Arial" w:cs="Arial" w:eastAsia="Arial" w:hAnsi="Arial"/>
                <w:sz w:val="16"/>
                <w:szCs w:val="16"/>
                <w:color w:val="auto"/>
              </w:rPr>
              <w:t>competitive market data.</w:t>
            </w:r>
          </w:p>
        </w:tc>
      </w:tr>
      <w:tr>
        <w:trPr>
          <w:trHeight w:val="187"/>
        </w:trPr>
        <w:tc>
          <w:tcPr>
            <w:tcW w:w="1540" w:type="dxa"/>
            <w:vAlign w:val="bottom"/>
          </w:tcPr>
          <w:p>
            <w:pPr>
              <w:spacing w:after="0"/>
              <w:rPr>
                <w:sz w:val="16"/>
                <w:szCs w:val="16"/>
                <w:color w:val="auto"/>
              </w:rPr>
            </w:pPr>
          </w:p>
        </w:tc>
        <w:tc>
          <w:tcPr>
            <w:tcW w:w="9320" w:type="dxa"/>
            <w:vAlign w:val="bottom"/>
          </w:tcPr>
          <w:p>
            <w:pPr>
              <w:ind w:left="6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PSU awards in 2019 are earned based on achievement of performance levels, with 33% based on three-year</w:t>
            </w:r>
          </w:p>
        </w:tc>
      </w:tr>
      <w:tr>
        <w:trPr>
          <w:trHeight w:val="187"/>
        </w:trPr>
        <w:tc>
          <w:tcPr>
            <w:tcW w:w="1540" w:type="dxa"/>
            <w:vAlign w:val="bottom"/>
          </w:tcPr>
          <w:p>
            <w:pPr>
              <w:spacing w:after="0"/>
              <w:rPr>
                <w:sz w:val="16"/>
                <w:szCs w:val="16"/>
                <w:color w:val="auto"/>
              </w:rPr>
            </w:pPr>
          </w:p>
        </w:tc>
        <w:tc>
          <w:tcPr>
            <w:tcW w:w="9320" w:type="dxa"/>
            <w:vAlign w:val="bottom"/>
          </w:tcPr>
          <w:p>
            <w:pPr>
              <w:ind w:left="880"/>
              <w:spacing w:after="0"/>
              <w:rPr>
                <w:sz w:val="20"/>
                <w:szCs w:val="20"/>
                <w:color w:val="auto"/>
              </w:rPr>
            </w:pPr>
            <w:r>
              <w:rPr>
                <w:rFonts w:ascii="Arial" w:cs="Arial" w:eastAsia="Arial" w:hAnsi="Arial"/>
                <w:sz w:val="16"/>
                <w:szCs w:val="16"/>
                <w:color w:val="auto"/>
              </w:rPr>
              <w:t>cumulative Sales Growth and 67% based on three-year cumulative adjusted EBITDA performance. The Company’s</w:t>
            </w:r>
          </w:p>
        </w:tc>
      </w:tr>
      <w:tr>
        <w:trPr>
          <w:trHeight w:val="187"/>
        </w:trPr>
        <w:tc>
          <w:tcPr>
            <w:tcW w:w="1540" w:type="dxa"/>
            <w:vAlign w:val="bottom"/>
          </w:tcPr>
          <w:p>
            <w:pPr>
              <w:spacing w:after="0"/>
              <w:rPr>
                <w:sz w:val="16"/>
                <w:szCs w:val="16"/>
                <w:color w:val="auto"/>
              </w:rPr>
            </w:pPr>
          </w:p>
        </w:tc>
        <w:tc>
          <w:tcPr>
            <w:tcW w:w="9320" w:type="dxa"/>
            <w:vAlign w:val="bottom"/>
          </w:tcPr>
          <w:p>
            <w:pPr>
              <w:ind w:left="880"/>
              <w:spacing w:after="0"/>
              <w:rPr>
                <w:sz w:val="20"/>
                <w:szCs w:val="20"/>
                <w:color w:val="auto"/>
              </w:rPr>
            </w:pPr>
            <w:r>
              <w:rPr>
                <w:rFonts w:ascii="Arial" w:cs="Arial" w:eastAsia="Arial" w:hAnsi="Arial"/>
                <w:sz w:val="16"/>
                <w:szCs w:val="16"/>
                <w:color w:val="auto"/>
              </w:rPr>
              <w:t>relative TSR ranking compared to the S&amp;P 500 provides a modifier to the award up to 20%.</w:t>
            </w:r>
          </w:p>
        </w:tc>
      </w:tr>
      <w:tr>
        <w:trPr>
          <w:trHeight w:val="193"/>
        </w:trPr>
        <w:tc>
          <w:tcPr>
            <w:tcW w:w="1540" w:type="dxa"/>
            <w:vAlign w:val="bottom"/>
          </w:tcPr>
          <w:p>
            <w:pPr>
              <w:spacing w:after="0"/>
              <w:rPr>
                <w:sz w:val="16"/>
                <w:szCs w:val="16"/>
                <w:color w:val="auto"/>
              </w:rPr>
            </w:pPr>
          </w:p>
        </w:tc>
        <w:tc>
          <w:tcPr>
            <w:tcW w:w="9320" w:type="dxa"/>
            <w:vAlign w:val="bottom"/>
          </w:tcPr>
          <w:p>
            <w:pPr>
              <w:ind w:left="6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RSU awards to NEOs in 2019 are subject to the achievement of one-year adjusted EBITDA performance.</w:t>
            </w:r>
          </w:p>
        </w:tc>
      </w:tr>
      <w:tr>
        <w:trPr>
          <w:trHeight w:val="45"/>
        </w:trPr>
        <w:tc>
          <w:tcPr>
            <w:tcW w:w="1540" w:type="dxa"/>
            <w:vAlign w:val="bottom"/>
            <w:tcBorders>
              <w:bottom w:val="single" w:sz="8" w:color="007CBA"/>
            </w:tcBorders>
          </w:tcPr>
          <w:p>
            <w:pPr>
              <w:spacing w:after="0"/>
              <w:rPr>
                <w:sz w:val="3"/>
                <w:szCs w:val="3"/>
                <w:color w:val="auto"/>
              </w:rPr>
            </w:pPr>
          </w:p>
        </w:tc>
        <w:tc>
          <w:tcPr>
            <w:tcW w:w="9320" w:type="dxa"/>
            <w:vAlign w:val="bottom"/>
            <w:tcBorders>
              <w:bottom w:val="single" w:sz="8" w:color="007CBA"/>
            </w:tcBorders>
          </w:tcPr>
          <w:p>
            <w:pPr>
              <w:spacing w:after="0"/>
              <w:rPr>
                <w:sz w:val="3"/>
                <w:szCs w:val="3"/>
                <w:color w:val="auto"/>
              </w:rPr>
            </w:pPr>
          </w:p>
        </w:tc>
      </w:tr>
      <w:tr>
        <w:trPr>
          <w:trHeight w:val="180"/>
        </w:trPr>
        <w:tc>
          <w:tcPr>
            <w:tcW w:w="1540" w:type="dxa"/>
            <w:vAlign w:val="bottom"/>
            <w:tcBorders>
              <w:bottom w:val="single" w:sz="8" w:color="007CBA"/>
            </w:tcBorders>
            <w:shd w:val="clear" w:color="auto" w:fill="E5F1F8"/>
          </w:tcPr>
          <w:p>
            <w:pPr>
              <w:spacing w:after="0"/>
              <w:rPr>
                <w:sz w:val="15"/>
                <w:szCs w:val="15"/>
                <w:color w:val="auto"/>
              </w:rPr>
            </w:pPr>
          </w:p>
        </w:tc>
        <w:tc>
          <w:tcPr>
            <w:tcW w:w="9320" w:type="dxa"/>
            <w:vAlign w:val="bottom"/>
            <w:tcBorders>
              <w:bottom w:val="single" w:sz="8" w:color="007CBA"/>
            </w:tcBorders>
            <w:shd w:val="clear" w:color="auto" w:fill="E5F1F8"/>
          </w:tcPr>
          <w:p>
            <w:pPr>
              <w:spacing w:after="0"/>
              <w:rPr>
                <w:sz w:val="15"/>
                <w:szCs w:val="15"/>
                <w:color w:val="auto"/>
              </w:rPr>
            </w:pPr>
          </w:p>
        </w:tc>
      </w:tr>
    </w:tbl>
    <w:p>
      <w:pPr>
        <w:spacing w:after="0" w:line="22" w:lineRule="exact"/>
        <w:rPr>
          <w:sz w:val="20"/>
          <w:szCs w:val="20"/>
          <w:color w:val="auto"/>
        </w:rPr>
      </w:pPr>
    </w:p>
    <w:p>
      <w:pPr>
        <w:jc w:val="both"/>
        <w:ind w:left="2300" w:right="180" w:hanging="2048"/>
        <w:spacing w:after="0" w:line="246" w:lineRule="auto"/>
        <w:tabs>
          <w:tab w:leader="none" w:pos="2280" w:val="left"/>
        </w:tabs>
        <w:rPr>
          <w:sz w:val="20"/>
          <w:szCs w:val="20"/>
          <w:color w:val="auto"/>
        </w:rPr>
      </w:pPr>
      <w:r>
        <w:rPr>
          <w:rFonts w:ascii="Arial" w:cs="Arial" w:eastAsia="Arial" w:hAnsi="Arial"/>
          <w:sz w:val="16"/>
          <w:szCs w:val="16"/>
          <w:b w:val="1"/>
          <w:bCs w:val="1"/>
          <w:color w:val="auto"/>
        </w:rPr>
        <w:t>Total Compensation</w:t>
      </w:r>
      <w:r>
        <w:rPr>
          <w:sz w:val="20"/>
          <w:szCs w:val="20"/>
          <w:color w:val="auto"/>
        </w:rPr>
        <w:tab/>
      </w:r>
      <w:r>
        <w:rPr>
          <w:rFonts w:ascii="Arial" w:cs="Arial" w:eastAsia="Arial" w:hAnsi="Arial"/>
          <w:sz w:val="16"/>
          <w:szCs w:val="16"/>
          <w:color w:val="auto"/>
        </w:rPr>
        <w:t>The Committee uses the size-adjusted 50th percentile of our Compensation Peer Group as a guide in setting the target for the total compensation opportunity, but considers a variety of factors in setting compensation, including the short-term and longer-term performance and leadership characteristics of the executive, and may vary materially. Overall, the Committee believes targeted compensation should be more heavily weighted on variable “at-risk” compensation and longer-term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13335</wp:posOffset>
            </wp:positionV>
            <wp:extent cx="69056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Committee approved the following </w:t>
      </w:r>
      <w:r>
        <w:rPr>
          <w:rFonts w:ascii="Arial" w:cs="Arial" w:eastAsia="Arial" w:hAnsi="Arial"/>
          <w:sz w:val="16"/>
          <w:szCs w:val="16"/>
          <w:b w:val="1"/>
          <w:bCs w:val="1"/>
          <w:color w:val="auto"/>
        </w:rPr>
        <w:t>actual</w:t>
      </w:r>
      <w:r>
        <w:rPr>
          <w:rFonts w:ascii="Arial" w:cs="Arial" w:eastAsia="Arial" w:hAnsi="Arial"/>
          <w:sz w:val="16"/>
          <w:szCs w:val="16"/>
          <w:color w:val="auto"/>
        </w:rPr>
        <w:t xml:space="preserve"> compensation items in February 2019:</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2019 Base Salary</w:t>
      </w:r>
    </w:p>
    <w:p>
      <w:pPr>
        <w:spacing w:after="0" w:line="143"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The Committee determines base salaries for the NEOs and other executives based on a number of factors, including but not limited to, market data, individual performance, the Company’s performance, internal pay equity, the advice of the Committee’s independent compensation consultant, management recommendations (except for the CEO), and, for the CEO, the Committee’s assessment of Mr. Nye’s performance. Based on these factors, the Committee approved the following increases in base salary.</w:t>
      </w:r>
    </w:p>
    <w:p>
      <w:pPr>
        <w:spacing w:after="0" w:line="109" w:lineRule="exact"/>
        <w:rPr>
          <w:sz w:val="20"/>
          <w:szCs w:val="20"/>
          <w:color w:val="auto"/>
        </w:rPr>
      </w:pPr>
    </w:p>
    <w:p>
      <w:pPr>
        <w:ind w:left="620" w:hanging="327"/>
        <w:spacing w:after="0"/>
        <w:tabs>
          <w:tab w:leader="none" w:pos="62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Mr. Nye: 4.5% increase, based on his excellent achievements during his CEO tenure, and specifically his performance in 2019.</w:t>
      </w:r>
    </w:p>
    <w:p>
      <w:pPr>
        <w:spacing w:after="0" w:line="122" w:lineRule="exact"/>
        <w:rPr>
          <w:rFonts w:ascii="Arial" w:cs="Arial" w:eastAsia="Arial" w:hAnsi="Arial"/>
          <w:sz w:val="16"/>
          <w:szCs w:val="16"/>
          <w:color w:val="007CBA"/>
        </w:rPr>
      </w:pPr>
    </w:p>
    <w:p>
      <w:pPr>
        <w:ind w:left="620" w:right="20" w:hanging="327"/>
        <w:spacing w:after="0" w:line="254" w:lineRule="auto"/>
        <w:tabs>
          <w:tab w:leader="none" w:pos="62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Other NEOs: approximately 3.3% to 7.4% increases, based on a review of competitive market data and individual performance evaluations; Mr. LaTorre received an 18.8% increase in connection with his promotion to Senior Vice President.</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8920" w:type="dxa"/>
            <w:vAlign w:val="bottom"/>
            <w:tcBorders>
              <w:right w:val="single" w:sz="8" w:color="007CBA"/>
            </w:tcBorders>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2019</w:t>
            </w:r>
          </w:p>
        </w:tc>
        <w:tc>
          <w:tcPr>
            <w:tcW w:w="320" w:type="dxa"/>
            <w:vAlign w:val="bottom"/>
            <w:shd w:val="clear" w:color="auto" w:fill="007CBA"/>
          </w:tcPr>
          <w:p>
            <w:pPr>
              <w:spacing w:after="0"/>
              <w:rPr>
                <w:sz w:val="15"/>
                <w:szCs w:val="15"/>
                <w:color w:val="auto"/>
              </w:rPr>
            </w:pPr>
          </w:p>
        </w:tc>
        <w:tc>
          <w:tcPr>
            <w:tcW w:w="660" w:type="dxa"/>
            <w:vAlign w:val="bottom"/>
            <w:shd w:val="clear" w:color="auto" w:fill="007CBA"/>
          </w:tcPr>
          <w:p>
            <w:pPr>
              <w:jc w:val="right"/>
              <w:ind w:right="209"/>
              <w:spacing w:after="0"/>
              <w:rPr>
                <w:sz w:val="20"/>
                <w:szCs w:val="20"/>
                <w:color w:val="auto"/>
              </w:rPr>
            </w:pPr>
            <w:r>
              <w:rPr>
                <w:rFonts w:ascii="Arial" w:cs="Arial" w:eastAsia="Arial" w:hAnsi="Arial"/>
                <w:sz w:val="14"/>
                <w:szCs w:val="14"/>
                <w:b w:val="1"/>
                <w:bCs w:val="1"/>
                <w:color w:val="FFFFFF"/>
              </w:rPr>
              <w:t>2018</w:t>
            </w:r>
          </w:p>
        </w:tc>
      </w:tr>
      <w:tr>
        <w:trPr>
          <w:trHeight w:val="200"/>
        </w:trPr>
        <w:tc>
          <w:tcPr>
            <w:tcW w:w="89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NEO</w:t>
            </w:r>
          </w:p>
        </w:tc>
        <w:tc>
          <w:tcPr>
            <w:tcW w:w="96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4"/>
                <w:szCs w:val="14"/>
                <w:b w:val="1"/>
                <w:bCs w:val="1"/>
                <w:color w:val="FFFFFF"/>
              </w:rPr>
              <w:t>Base Salary</w:t>
            </w:r>
          </w:p>
        </w:tc>
        <w:tc>
          <w:tcPr>
            <w:tcW w:w="980" w:type="dxa"/>
            <w:vAlign w:val="bottom"/>
            <w:gridSpan w:val="2"/>
            <w:shd w:val="clear" w:color="auto" w:fill="007CBA"/>
          </w:tcPr>
          <w:p>
            <w:pPr>
              <w:jc w:val="right"/>
              <w:spacing w:after="0"/>
              <w:rPr>
                <w:sz w:val="20"/>
                <w:szCs w:val="20"/>
                <w:color w:val="auto"/>
              </w:rPr>
            </w:pPr>
            <w:r>
              <w:rPr>
                <w:rFonts w:ascii="Arial" w:cs="Arial" w:eastAsia="Arial" w:hAnsi="Arial"/>
                <w:sz w:val="14"/>
                <w:szCs w:val="14"/>
                <w:b w:val="1"/>
                <w:bCs w:val="1"/>
                <w:color w:val="FFFFFF"/>
              </w:rPr>
              <w:t>Base Salary</w:t>
            </w:r>
          </w:p>
        </w:tc>
      </w:tr>
      <w:tr>
        <w:trPr>
          <w:trHeight w:val="227"/>
        </w:trPr>
        <w:tc>
          <w:tcPr>
            <w:tcW w:w="89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 Howard Nye</w:t>
            </w:r>
          </w:p>
        </w:tc>
        <w:tc>
          <w:tcPr>
            <w:tcW w:w="960" w:type="dxa"/>
            <w:vAlign w:val="bottom"/>
            <w:tcBorders>
              <w:right w:val="single" w:sz="8" w:color="007CBA"/>
            </w:tcBorders>
            <w:gridSpan w:val="2"/>
            <w:shd w:val="clear" w:color="auto" w:fill="E5F1F8"/>
          </w:tcPr>
          <w:p>
            <w:pPr>
              <w:ind w:left="160"/>
              <w:spacing w:after="0"/>
              <w:rPr>
                <w:sz w:val="20"/>
                <w:szCs w:val="20"/>
                <w:color w:val="auto"/>
              </w:rPr>
            </w:pPr>
            <w:r>
              <w:rPr>
                <w:rFonts w:ascii="Arial" w:cs="Arial" w:eastAsia="Arial" w:hAnsi="Arial"/>
                <w:sz w:val="14"/>
                <w:szCs w:val="14"/>
                <w:color w:val="auto"/>
              </w:rPr>
              <w:t>$1,150,000</w:t>
            </w:r>
          </w:p>
        </w:tc>
        <w:tc>
          <w:tcPr>
            <w:tcW w:w="980" w:type="dxa"/>
            <w:vAlign w:val="bottom"/>
            <w:gridSpan w:val="2"/>
            <w:shd w:val="clear" w:color="auto" w:fill="E5F1F8"/>
          </w:tcPr>
          <w:p>
            <w:pPr>
              <w:jc w:val="right"/>
              <w:spacing w:after="0"/>
              <w:rPr>
                <w:sz w:val="20"/>
                <w:szCs w:val="20"/>
                <w:color w:val="auto"/>
              </w:rPr>
            </w:pPr>
            <w:r>
              <w:rPr>
                <w:rFonts w:ascii="Arial" w:cs="Arial" w:eastAsia="Arial" w:hAnsi="Arial"/>
                <w:sz w:val="14"/>
                <w:szCs w:val="14"/>
                <w:color w:val="auto"/>
              </w:rPr>
              <w:t>$1,100,000</w:t>
            </w:r>
          </w:p>
        </w:tc>
      </w:tr>
      <w:tr>
        <w:trPr>
          <w:trHeight w:val="221"/>
        </w:trPr>
        <w:tc>
          <w:tcPr>
            <w:tcW w:w="89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James A. J. Nickolas</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525,000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488,800</w:t>
            </w:r>
          </w:p>
        </w:tc>
      </w:tr>
      <w:tr>
        <w:trPr>
          <w:trHeight w:val="232"/>
        </w:trPr>
        <w:tc>
          <w:tcPr>
            <w:tcW w:w="89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Roselyn R. Bar</w:t>
            </w:r>
          </w:p>
        </w:tc>
        <w:tc>
          <w:tcPr>
            <w:tcW w:w="300" w:type="dxa"/>
            <w:vAlign w:val="bottom"/>
            <w:shd w:val="clear" w:color="auto" w:fill="E5F1F8"/>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570,000</w:t>
            </w:r>
          </w:p>
        </w:tc>
        <w:tc>
          <w:tcPr>
            <w:tcW w:w="3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542,500</w:t>
            </w:r>
          </w:p>
        </w:tc>
      </w:tr>
      <w:tr>
        <w:trPr>
          <w:trHeight w:val="221"/>
        </w:trPr>
        <w:tc>
          <w:tcPr>
            <w:tcW w:w="89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Craig M. LaTorre*</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475,000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227"/>
        </w:trPr>
        <w:tc>
          <w:tcPr>
            <w:tcW w:w="892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Daniel L. Grant</w:t>
            </w:r>
          </w:p>
        </w:tc>
        <w:tc>
          <w:tcPr>
            <w:tcW w:w="300" w:type="dxa"/>
            <w:vAlign w:val="bottom"/>
            <w:tcBorders>
              <w:bottom w:val="single" w:sz="8" w:color="007CBA"/>
            </w:tcBorders>
            <w:shd w:val="clear" w:color="auto" w:fill="E5F1F8"/>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396,500</w:t>
            </w:r>
          </w:p>
        </w:tc>
        <w:tc>
          <w:tcPr>
            <w:tcW w:w="32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384,000</w:t>
            </w:r>
          </w:p>
        </w:tc>
      </w:tr>
    </w:tbl>
    <w:p>
      <w:pPr>
        <w:spacing w:after="0" w:line="85" w:lineRule="exact"/>
        <w:rPr>
          <w:sz w:val="20"/>
          <w:szCs w:val="20"/>
          <w:color w:val="auto"/>
        </w:rPr>
      </w:pPr>
    </w:p>
    <w:p>
      <w:pPr>
        <w:ind w:left="400" w:hanging="213"/>
        <w:spacing w:after="0"/>
        <w:tabs>
          <w:tab w:leader="none" w:pos="4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NEO base salaries were increased effective March 1, 2019 with the exception of Mr. LaTorre whose base salary was effective as of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165735</wp:posOffset>
            </wp:positionV>
            <wp:extent cx="406400" cy="2451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61"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45</w:t>
            </w:r>
          </w:p>
        </w:tc>
      </w:tr>
    </w:tbl>
    <w:p>
      <w:pPr>
        <w:sectPr>
          <w:pgSz w:w="11900" w:h="16838" w:orient="portrait"/>
          <w:cols w:equalWidth="0" w:num="1">
            <w:col w:w="11060"/>
          </w:cols>
          <w:pgMar w:left="320" w:top="455"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2019 Annual Cash Incentive Goals and Results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07CBA"/>
        </w:rPr>
        <w:t>2019 Annual Cash Incentive Goals and Results</w:t>
      </w:r>
    </w:p>
    <w:p>
      <w:pPr>
        <w:sectPr>
          <w:pgSz w:w="11900" w:h="16838" w:orient="portrait"/>
          <w:cols w:equalWidth="0" w:num="1">
            <w:col w:w="11060"/>
          </w:cols>
          <w:pgMar w:left="320" w:top="455" w:right="519" w:bottom="1440" w:gutter="0" w:footer="0" w:header="0"/>
        </w:sectPr>
      </w:pPr>
    </w:p>
    <w:p>
      <w:pPr>
        <w:spacing w:after="0" w:line="22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NEOs and other executives are eligible to earn annual incentive compensation under our Executive Cash Incentive Plan based on the achievement of various performance metrics. Individual NEO targets (as a percent of base salary) are approved by the Committee at the beginning of the year based on a review of competitive market data, the advice of the Committee’s independent compensation consultant, and internal pay equity.</w:t>
      </w:r>
    </w:p>
    <w:p>
      <w:pPr>
        <w:spacing w:after="0" w:line="17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Committee awards actual annual cash incentive compensation based on achievement against corporate performance objectives and individualized targeted goals. This furthers Martin Marietta’s compensation philosophy to encourage superior performance and reward the achievement of Martin Marietta’s annual goals. The Committee determined the 2019 incentive awards in February 2020. In 2019, all of the executive officers participated in the plan. The annual incentive compensation level paid for 2019 for the NEOs other than Mr. Nye was 160% to 185% of target. The annual incentive compensation level paid for 2019 for Mr. Nye was 195%.</w:t>
      </w:r>
    </w:p>
    <w:p>
      <w:pPr>
        <w:spacing w:after="0" w:line="169"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In determining the incentive payment for the CEO, the Committee first reviews the achievements of Martin Marietta for the past year as compared to its targeted goals set at the end of the previous year. Our financial goals are established at the completion of our annual planning process, which for 2019 were determined in November 2018. The annual planning process includes reviews of the assumptions used by the business segments in generating their financial projections, such as industry trends and competitive assessments, current and future projected performance levels, and the risks and opportunities surrounding these baseline assumptions. The annual plan on which our financial goals are based is tied to the business environment in which we operate and can vary year-over-year.</w:t>
      </w:r>
    </w:p>
    <w:p>
      <w:pPr>
        <w:spacing w:after="0" w:line="168"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objective financial metrics in our annual plan that were measured for purposes of the 2019 Annual Cash Incentive were Pre-Tax Earnings and EBITDA, which are viewed as indicative of the Company’s profitability, and Days Sales Outstanding (DSO), which is viewed as indicative of the Company’s cash flow. All of these are important measures reflecting our performance and the creation of value for shareholders. In addition, the Committee considered the following:</w:t>
      </w:r>
    </w:p>
    <w:p>
      <w:pPr>
        <w:spacing w:after="0" w:line="111" w:lineRule="exact"/>
        <w:rPr>
          <w:sz w:val="20"/>
          <w:szCs w:val="20"/>
          <w:color w:val="auto"/>
        </w:rPr>
      </w:pPr>
    </w:p>
    <w:p>
      <w:pPr>
        <w:jc w:val="both"/>
        <w:ind w:left="540" w:hanging="274"/>
        <w:spacing w:after="0" w:line="249" w:lineRule="auto"/>
        <w:tabs>
          <w:tab w:leader="none" w:pos="540" w:val="left"/>
        </w:tabs>
        <w:numPr>
          <w:ilvl w:val="0"/>
          <w:numId w:val="104"/>
        </w:numPr>
        <w:rPr>
          <w:rFonts w:ascii="Arial" w:cs="Arial" w:eastAsia="Arial" w:hAnsi="Arial"/>
          <w:sz w:val="16"/>
          <w:szCs w:val="16"/>
          <w:color w:val="007CBA"/>
        </w:rPr>
      </w:pPr>
      <w:r>
        <w:rPr>
          <w:rFonts w:ascii="Arial" w:cs="Arial" w:eastAsia="Arial" w:hAnsi="Arial"/>
          <w:sz w:val="16"/>
          <w:szCs w:val="16"/>
          <w:color w:val="auto"/>
        </w:rPr>
        <w:t>A detailed assessment of Martin Marietta’s overall financial performance and each segment’s financial performance, including the highlights and the challenges.</w:t>
      </w:r>
    </w:p>
    <w:p>
      <w:pPr>
        <w:spacing w:after="0" w:line="107"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104"/>
        </w:numPr>
        <w:rPr>
          <w:rFonts w:ascii="Arial" w:cs="Arial" w:eastAsia="Arial" w:hAnsi="Arial"/>
          <w:sz w:val="16"/>
          <w:szCs w:val="16"/>
          <w:color w:val="007CBA"/>
        </w:rPr>
      </w:pPr>
      <w:r>
        <w:rPr>
          <w:rFonts w:ascii="Arial" w:cs="Arial" w:eastAsia="Arial" w:hAnsi="Arial"/>
          <w:sz w:val="16"/>
          <w:szCs w:val="16"/>
          <w:color w:val="auto"/>
        </w:rPr>
        <w:t>Shareholder returns, including the consistent delivery of value to Martin Marietta’s shareholders.</w:t>
      </w:r>
    </w:p>
    <w:p>
      <w:pPr>
        <w:spacing w:after="0" w:line="103" w:lineRule="exact"/>
        <w:rPr>
          <w:rFonts w:ascii="Arial" w:cs="Arial" w:eastAsia="Arial" w:hAnsi="Arial"/>
          <w:sz w:val="16"/>
          <w:szCs w:val="16"/>
          <w:color w:val="007CBA"/>
        </w:rPr>
      </w:pPr>
    </w:p>
    <w:p>
      <w:pPr>
        <w:jc w:val="both"/>
        <w:ind w:left="540" w:hanging="274"/>
        <w:spacing w:after="0" w:line="249" w:lineRule="auto"/>
        <w:tabs>
          <w:tab w:leader="none" w:pos="540" w:val="left"/>
        </w:tabs>
        <w:numPr>
          <w:ilvl w:val="0"/>
          <w:numId w:val="104"/>
        </w:numPr>
        <w:rPr>
          <w:rFonts w:ascii="Arial" w:cs="Arial" w:eastAsia="Arial" w:hAnsi="Arial"/>
          <w:sz w:val="16"/>
          <w:szCs w:val="16"/>
          <w:color w:val="007CBA"/>
        </w:rPr>
      </w:pPr>
      <w:r>
        <w:rPr>
          <w:rFonts w:ascii="Arial" w:cs="Arial" w:eastAsia="Arial" w:hAnsi="Arial"/>
          <w:sz w:val="16"/>
          <w:szCs w:val="16"/>
          <w:color w:val="auto"/>
        </w:rPr>
        <w:t>Our safety performance, which continues to be industry leading even though we increased hourly headcount and continued to train new employees hired through new acquisitions.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60" w:right="20" w:hanging="288"/>
        <w:spacing w:after="0" w:line="254" w:lineRule="auto"/>
        <w:tabs>
          <w:tab w:leader="none" w:pos="36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Outstanding environmental and regulatory compliance results, sustainability initiatives, and cybersecurity protections.</w:t>
      </w:r>
    </w:p>
    <w:p>
      <w:pPr>
        <w:spacing w:after="0" w:line="103" w:lineRule="exact"/>
        <w:rPr>
          <w:rFonts w:ascii="Arial" w:cs="Arial" w:eastAsia="Arial" w:hAnsi="Arial"/>
          <w:sz w:val="16"/>
          <w:szCs w:val="16"/>
          <w:color w:val="007CBA"/>
        </w:rPr>
      </w:pPr>
    </w:p>
    <w:p>
      <w:pPr>
        <w:ind w:left="360" w:hanging="288"/>
        <w:spacing w:after="0"/>
        <w:tabs>
          <w:tab w:leader="none" w:pos="36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Continuing achievement of excellent management of working capital.</w:t>
      </w:r>
    </w:p>
    <w:p>
      <w:pPr>
        <w:spacing w:after="0" w:line="122" w:lineRule="exact"/>
        <w:rPr>
          <w:rFonts w:ascii="Arial" w:cs="Arial" w:eastAsia="Arial" w:hAnsi="Arial"/>
          <w:sz w:val="16"/>
          <w:szCs w:val="16"/>
          <w:color w:val="007CBA"/>
        </w:rPr>
      </w:pPr>
    </w:p>
    <w:p>
      <w:pPr>
        <w:ind w:left="360" w:hanging="288"/>
        <w:spacing w:after="0"/>
        <w:tabs>
          <w:tab w:leader="none" w:pos="36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The successful organic and inorganic growth of Martin Marietta.</w:t>
      </w:r>
    </w:p>
    <w:p>
      <w:pPr>
        <w:spacing w:after="0" w:line="10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Key individual performance criteria are established for each NEO, which are intended to drive strategic focus and support operational results in the Company and the functional groups. For the NEOs other than Mr. Nye, 50% of the determination is made with respect to Martin Marietta’s performance against the same goals as for Mr. Nye and 50% is based on the individual’s performance against established objectives.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individualized target goals are tailored for each executive, based on his or her specific areas of responsibility and the then-current and longer-term goals of Martin Marietta. In addition, achievement of the goals typically is in part dependent on conditions outside the control of each of the NEOs. For example, our business may be adversely affected by hurricanes or other weather-related conditions, which could have the result of impeding the achievement of certain performance-based goals. Similar to the Committee’s assessment of financial goals, the Committee’s assessment of individual performance goals generally excludes non-recurring or extraordinary items.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Committee also reviewed and considered management’s furtherance of its strategic plan, including a primary objective of value-enhancing growth, and the adoption of Mission, Vision, and Values of the Company to unify management with the same objectives.</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The Committee conducted a comparative review of the individual contributions of each of the executive officers towards achieving these goals. The Committee also considered qualitative measures of performance for the executive officers, such as adherence to and implementation of 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customer satisfaction, and product quality.</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maximum incentive compensation is fixed based on objective criteria as described in the Executive Cash Incentive Plan, and the Committee then determines an appropriate award payout beneath the maximum amount based on the factors described above. We set challenging, but attainable, targets and our NEOs have a reasonable expectation of receiving cash incentive awards that reflect the achievement of our short-and long-term objectives as well as their individual performances.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898525</wp:posOffset>
            </wp:positionV>
            <wp:extent cx="406400" cy="2451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337"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12" w:lineRule="exact"/>
        <w:rPr>
          <w:sz w:val="20"/>
          <w:szCs w:val="20"/>
          <w:color w:val="auto"/>
        </w:rPr>
      </w:pPr>
    </w:p>
    <w:p>
      <w:pPr>
        <w:ind w:left="620" w:hanging="433"/>
        <w:spacing w:after="0"/>
        <w:tabs>
          <w:tab w:leader="none" w:pos="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5580"/>
        <w:spacing w:after="0" w:line="276" w:lineRule="exact"/>
        <w:rPr>
          <w:sz w:val="20"/>
          <w:szCs w:val="20"/>
          <w:color w:val="auto"/>
        </w:rPr>
      </w:pPr>
      <w:r>
        <w:rPr>
          <w:rFonts w:ascii="Arial" w:cs="Arial" w:eastAsia="Arial" w:hAnsi="Arial"/>
          <w:sz w:val="13"/>
          <w:szCs w:val="13"/>
          <w:color w:val="auto"/>
        </w:rPr>
        <w:t xml:space="preserve">2019 Annual Cash Incentive Goals and Results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2019 Actual Incentive Cash Earned</w:t>
      </w:r>
    </w:p>
    <w:p>
      <w:pPr>
        <w:spacing w:after="0" w:line="126"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In 2019, the Committee determined that Company and individual performance warranted the annual incentive payments in the chart below based on a review of financial metrics and other important achievements. The Committee reviews the NEOs’ performance based on continuous improvement from the preceding year. As described above, the Committee considered the following financial metrics in making this determination:</w:t>
      </w:r>
    </w:p>
    <w:p>
      <w:pPr>
        <w:spacing w:after="0" w:line="107" w:lineRule="exact"/>
        <w:rPr>
          <w:sz w:val="20"/>
          <w:szCs w:val="20"/>
          <w:color w:val="auto"/>
        </w:rPr>
      </w:pPr>
    </w:p>
    <w:p>
      <w:pPr>
        <w:ind w:left="620" w:hanging="327"/>
        <w:spacing w:after="0"/>
        <w:tabs>
          <w:tab w:leader="none" w:pos="620" w:val="left"/>
        </w:tabs>
        <w:numPr>
          <w:ilvl w:val="0"/>
          <w:numId w:val="107"/>
        </w:numPr>
        <w:rPr>
          <w:rFonts w:ascii="Arial" w:cs="Arial" w:eastAsia="Arial" w:hAnsi="Arial"/>
          <w:sz w:val="16"/>
          <w:szCs w:val="16"/>
          <w:color w:val="007CBA"/>
        </w:rPr>
      </w:pPr>
      <w:r>
        <w:rPr>
          <w:rFonts w:ascii="Arial" w:cs="Arial" w:eastAsia="Arial" w:hAnsi="Arial"/>
          <w:sz w:val="16"/>
          <w:szCs w:val="16"/>
          <w:color w:val="auto"/>
        </w:rPr>
        <w:t>Pre-Tax Earnings (profitability) as against prior year and current year plan</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107"/>
        </w:numPr>
        <w:rPr>
          <w:rFonts w:ascii="Arial" w:cs="Arial" w:eastAsia="Arial" w:hAnsi="Arial"/>
          <w:sz w:val="16"/>
          <w:szCs w:val="16"/>
          <w:color w:val="007CBA"/>
        </w:rPr>
      </w:pPr>
      <w:r>
        <w:rPr>
          <w:rFonts w:ascii="Arial" w:cs="Arial" w:eastAsia="Arial" w:hAnsi="Arial"/>
          <w:sz w:val="16"/>
          <w:szCs w:val="16"/>
          <w:color w:val="auto"/>
        </w:rPr>
        <w:t>EBITDA (profitability) as against prior year and current year plan</w:t>
      </w:r>
    </w:p>
    <w:p>
      <w:pPr>
        <w:spacing w:after="0" w:line="122" w:lineRule="exact"/>
        <w:rPr>
          <w:rFonts w:ascii="Arial" w:cs="Arial" w:eastAsia="Arial" w:hAnsi="Arial"/>
          <w:sz w:val="16"/>
          <w:szCs w:val="16"/>
          <w:color w:val="007CBA"/>
        </w:rPr>
      </w:pPr>
    </w:p>
    <w:p>
      <w:pPr>
        <w:ind w:left="620" w:hanging="327"/>
        <w:spacing w:after="0"/>
        <w:tabs>
          <w:tab w:leader="none" w:pos="620" w:val="left"/>
        </w:tabs>
        <w:numPr>
          <w:ilvl w:val="0"/>
          <w:numId w:val="107"/>
        </w:numPr>
        <w:rPr>
          <w:rFonts w:ascii="Arial" w:cs="Arial" w:eastAsia="Arial" w:hAnsi="Arial"/>
          <w:sz w:val="16"/>
          <w:szCs w:val="16"/>
          <w:color w:val="007CBA"/>
        </w:rPr>
      </w:pPr>
      <w:r>
        <w:rPr>
          <w:rFonts w:ascii="Arial" w:cs="Arial" w:eastAsia="Arial" w:hAnsi="Arial"/>
          <w:sz w:val="16"/>
          <w:szCs w:val="16"/>
          <w:color w:val="auto"/>
        </w:rPr>
        <w:t>DSO (cash flow) as against prior year and current year plan</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summarizes the targets for 2019, individual achievements and annual incentive award earned by each NEO:</w:t>
      </w:r>
    </w:p>
    <w:p>
      <w:pPr>
        <w:spacing w:after="0" w:line="241"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2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5440" w:type="dxa"/>
            <w:vAlign w:val="bottom"/>
            <w:tcBorders>
              <w:right w:val="single" w:sz="8" w:color="007CBA"/>
            </w:tcBorders>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Target Annual</w:t>
            </w:r>
          </w:p>
        </w:tc>
        <w:tc>
          <w:tcPr>
            <w:tcW w:w="108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2019 Target</w:t>
            </w:r>
          </w:p>
        </w:tc>
        <w:tc>
          <w:tcPr>
            <w:tcW w:w="920" w:type="dxa"/>
            <w:vAlign w:val="bottom"/>
            <w:gridSpan w:val="2"/>
            <w:shd w:val="clear" w:color="auto" w:fill="007CBA"/>
          </w:tcPr>
          <w:p>
            <w:pPr>
              <w:jc w:val="center"/>
              <w:ind w:left="69"/>
              <w:spacing w:after="0"/>
              <w:rPr>
                <w:sz w:val="20"/>
                <w:szCs w:val="20"/>
                <w:color w:val="auto"/>
              </w:rPr>
            </w:pPr>
            <w:r>
              <w:rPr>
                <w:rFonts w:ascii="Arial" w:cs="Arial" w:eastAsia="Arial" w:hAnsi="Arial"/>
                <w:sz w:val="14"/>
                <w:szCs w:val="14"/>
                <w:b w:val="1"/>
                <w:bCs w:val="1"/>
                <w:color w:val="FFFFFF"/>
              </w:rPr>
              <w:t>2019 Actual</w:t>
            </w:r>
          </w:p>
        </w:tc>
        <w:tc>
          <w:tcPr>
            <w:tcW w:w="140" w:type="dxa"/>
            <w:vAlign w:val="bottom"/>
            <w:shd w:val="clear" w:color="auto" w:fill="007CBA"/>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1820" w:type="dxa"/>
            <w:vAlign w:val="bottom"/>
            <w:tcBorders>
              <w:right w:val="single" w:sz="8" w:color="007CBA"/>
            </w:tcBorders>
            <w:shd w:val="clear" w:color="auto" w:fill="007CBA"/>
          </w:tcPr>
          <w:p>
            <w:pPr>
              <w:spacing w:after="0"/>
              <w:rPr>
                <w:sz w:val="13"/>
                <w:szCs w:val="13"/>
                <w:color w:val="auto"/>
              </w:rPr>
            </w:pPr>
          </w:p>
        </w:tc>
        <w:tc>
          <w:tcPr>
            <w:tcW w:w="180" w:type="dxa"/>
            <w:vAlign w:val="bottom"/>
            <w:shd w:val="clear" w:color="auto" w:fill="007CBA"/>
          </w:tcPr>
          <w:p>
            <w:pPr>
              <w:spacing w:after="0"/>
              <w:rPr>
                <w:sz w:val="13"/>
                <w:szCs w:val="13"/>
                <w:color w:val="auto"/>
              </w:rPr>
            </w:pPr>
          </w:p>
        </w:tc>
        <w:tc>
          <w:tcPr>
            <w:tcW w:w="5440" w:type="dxa"/>
            <w:vAlign w:val="bottom"/>
            <w:tcBorders>
              <w:right w:val="single" w:sz="8" w:color="007CBA"/>
            </w:tcBorders>
            <w:shd w:val="clear" w:color="auto" w:fill="007CBA"/>
          </w:tcPr>
          <w:p>
            <w:pPr>
              <w:spacing w:after="0"/>
              <w:rPr>
                <w:sz w:val="13"/>
                <w:szCs w:val="13"/>
                <w:color w:val="auto"/>
              </w:rPr>
            </w:pPr>
          </w:p>
        </w:tc>
        <w:tc>
          <w:tcPr>
            <w:tcW w:w="128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Incentive Bonus</w:t>
            </w:r>
          </w:p>
        </w:tc>
        <w:tc>
          <w:tcPr>
            <w:tcW w:w="260" w:type="dxa"/>
            <w:vAlign w:val="bottom"/>
            <w:shd w:val="clear" w:color="auto" w:fill="007CBA"/>
          </w:tcPr>
          <w:p>
            <w:pPr>
              <w:spacing w:after="0"/>
              <w:rPr>
                <w:sz w:val="13"/>
                <w:szCs w:val="13"/>
                <w:color w:val="auto"/>
              </w:rPr>
            </w:pPr>
          </w:p>
        </w:tc>
        <w:tc>
          <w:tcPr>
            <w:tcW w:w="820" w:type="dxa"/>
            <w:vAlign w:val="bottom"/>
            <w:tcBorders>
              <w:right w:val="single" w:sz="8" w:color="007CBA"/>
            </w:tcBorders>
            <w:shd w:val="clear" w:color="auto" w:fill="007CBA"/>
          </w:tcPr>
          <w:p>
            <w:pPr>
              <w:jc w:val="center"/>
              <w:ind w:right="229"/>
              <w:spacing w:after="0" w:line="160" w:lineRule="exact"/>
              <w:rPr>
                <w:sz w:val="20"/>
                <w:szCs w:val="20"/>
                <w:color w:val="auto"/>
              </w:rPr>
            </w:pPr>
            <w:r>
              <w:rPr>
                <w:rFonts w:ascii="Arial" w:cs="Arial" w:eastAsia="Arial" w:hAnsi="Arial"/>
                <w:sz w:val="14"/>
                <w:szCs w:val="14"/>
                <w:b w:val="1"/>
                <w:bCs w:val="1"/>
                <w:color w:val="FFFFFF"/>
              </w:rPr>
              <w:t>Annual</w:t>
            </w:r>
          </w:p>
        </w:tc>
        <w:tc>
          <w:tcPr>
            <w:tcW w:w="260" w:type="dxa"/>
            <w:vAlign w:val="bottom"/>
            <w:shd w:val="clear" w:color="auto" w:fill="007CBA"/>
          </w:tcPr>
          <w:p>
            <w:pPr>
              <w:spacing w:after="0"/>
              <w:rPr>
                <w:sz w:val="13"/>
                <w:szCs w:val="13"/>
                <w:color w:val="auto"/>
              </w:rPr>
            </w:pPr>
          </w:p>
        </w:tc>
        <w:tc>
          <w:tcPr>
            <w:tcW w:w="660" w:type="dxa"/>
            <w:vAlign w:val="bottom"/>
            <w:shd w:val="clear" w:color="auto" w:fill="007CBA"/>
          </w:tcPr>
          <w:p>
            <w:pPr>
              <w:jc w:val="center"/>
              <w:ind w:right="69"/>
              <w:spacing w:after="0" w:line="160" w:lineRule="exact"/>
              <w:rPr>
                <w:sz w:val="20"/>
                <w:szCs w:val="20"/>
                <w:color w:val="auto"/>
              </w:rPr>
            </w:pPr>
            <w:r>
              <w:rPr>
                <w:rFonts w:ascii="Arial" w:cs="Arial" w:eastAsia="Arial" w:hAnsi="Arial"/>
                <w:sz w:val="14"/>
                <w:szCs w:val="14"/>
                <w:b w:val="1"/>
                <w:bCs w:val="1"/>
                <w:color w:val="FFFFFF"/>
              </w:rPr>
              <w:t>Annual</w:t>
            </w:r>
          </w:p>
        </w:tc>
        <w:tc>
          <w:tcPr>
            <w:tcW w:w="140" w:type="dxa"/>
            <w:vAlign w:val="bottom"/>
            <w:shd w:val="clear" w:color="auto" w:fill="007CBA"/>
          </w:tcPr>
          <w:p>
            <w:pPr>
              <w:spacing w:after="0"/>
              <w:rPr>
                <w:sz w:val="13"/>
                <w:szCs w:val="13"/>
                <w:color w:val="auto"/>
              </w:rPr>
            </w:pPr>
          </w:p>
        </w:tc>
      </w:tr>
      <w:tr>
        <w:trPr>
          <w:trHeight w:val="200"/>
        </w:trPr>
        <w:tc>
          <w:tcPr>
            <w:tcW w:w="20" w:type="dxa"/>
            <w:vAlign w:val="bottom"/>
          </w:tcPr>
          <w:p>
            <w:pPr>
              <w:spacing w:after="0"/>
              <w:rPr>
                <w:sz w:val="17"/>
                <w:szCs w:val="17"/>
                <w:color w:val="auto"/>
              </w:rPr>
            </w:pPr>
          </w:p>
        </w:tc>
        <w:tc>
          <w:tcPr>
            <w:tcW w:w="18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NEO</w:t>
            </w:r>
          </w:p>
        </w:tc>
        <w:tc>
          <w:tcPr>
            <w:tcW w:w="180" w:type="dxa"/>
            <w:vAlign w:val="bottom"/>
            <w:shd w:val="clear" w:color="auto" w:fill="007CBA"/>
          </w:tcPr>
          <w:p>
            <w:pPr>
              <w:spacing w:after="0"/>
              <w:rPr>
                <w:sz w:val="17"/>
                <w:szCs w:val="17"/>
                <w:color w:val="auto"/>
              </w:rPr>
            </w:pPr>
          </w:p>
        </w:tc>
        <w:tc>
          <w:tcPr>
            <w:tcW w:w="5440" w:type="dxa"/>
            <w:vAlign w:val="bottom"/>
            <w:tcBorders>
              <w:right w:val="single" w:sz="8" w:color="007CBA"/>
            </w:tcBorders>
            <w:shd w:val="clear" w:color="auto" w:fill="007CBA"/>
          </w:tcPr>
          <w:p>
            <w:pPr>
              <w:ind w:left="1720"/>
              <w:spacing w:after="0"/>
              <w:rPr>
                <w:sz w:val="20"/>
                <w:szCs w:val="20"/>
                <w:color w:val="auto"/>
              </w:rPr>
            </w:pPr>
            <w:r>
              <w:rPr>
                <w:rFonts w:ascii="Arial" w:cs="Arial" w:eastAsia="Arial" w:hAnsi="Arial"/>
                <w:sz w:val="14"/>
                <w:szCs w:val="14"/>
                <w:b w:val="1"/>
                <w:bCs w:val="1"/>
                <w:color w:val="FFFFFF"/>
              </w:rPr>
              <w:t>2019 Performance Metrics</w:t>
            </w:r>
          </w:p>
        </w:tc>
        <w:tc>
          <w:tcPr>
            <w:tcW w:w="12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 of Salary)</w:t>
            </w:r>
          </w:p>
        </w:tc>
        <w:tc>
          <w:tcPr>
            <w:tcW w:w="108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Incentive*</w:t>
            </w:r>
          </w:p>
        </w:tc>
        <w:tc>
          <w:tcPr>
            <w:tcW w:w="920" w:type="dxa"/>
            <w:vAlign w:val="bottom"/>
            <w:gridSpan w:val="2"/>
            <w:shd w:val="clear" w:color="auto" w:fill="007CBA"/>
          </w:tcPr>
          <w:p>
            <w:pPr>
              <w:jc w:val="center"/>
              <w:ind w:left="69"/>
              <w:spacing w:after="0"/>
              <w:rPr>
                <w:sz w:val="20"/>
                <w:szCs w:val="20"/>
                <w:color w:val="auto"/>
              </w:rPr>
            </w:pPr>
            <w:r>
              <w:rPr>
                <w:rFonts w:ascii="Arial" w:cs="Arial" w:eastAsia="Arial" w:hAnsi="Arial"/>
                <w:sz w:val="14"/>
                <w:szCs w:val="14"/>
                <w:b w:val="1"/>
                <w:bCs w:val="1"/>
                <w:color w:val="FFFFFF"/>
              </w:rPr>
              <w:t>Incentive</w:t>
            </w:r>
          </w:p>
        </w:tc>
        <w:tc>
          <w:tcPr>
            <w:tcW w:w="140" w:type="dxa"/>
            <w:vAlign w:val="bottom"/>
            <w:shd w:val="clear" w:color="auto" w:fill="007CBA"/>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 Howard Nye</w:t>
            </w: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Continue to drive a world-class safety culture through leadership alignment on</w:t>
            </w:r>
          </w:p>
        </w:tc>
        <w:tc>
          <w:tcPr>
            <w:tcW w:w="1280" w:type="dxa"/>
            <w:vAlign w:val="bottom"/>
            <w:tcBorders>
              <w:right w:val="single" w:sz="8" w:color="007CBA"/>
            </w:tcBorders>
            <w:shd w:val="clear" w:color="auto" w:fill="E5F1F8"/>
          </w:tcPr>
          <w:p>
            <w:pPr>
              <w:jc w:val="right"/>
              <w:ind w:right="389"/>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w w:val="96"/>
              </w:rPr>
              <w:t>1,484,167</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5F1F8"/>
          </w:tcPr>
          <w:p>
            <w:pPr>
              <w:jc w:val="right"/>
              <w:spacing w:after="0"/>
              <w:rPr>
                <w:sz w:val="20"/>
                <w:szCs w:val="20"/>
                <w:color w:val="auto"/>
              </w:rPr>
            </w:pPr>
            <w:r>
              <w:rPr>
                <w:rFonts w:ascii="Arial" w:cs="Arial" w:eastAsia="Arial" w:hAnsi="Arial"/>
                <w:sz w:val="14"/>
                <w:szCs w:val="14"/>
                <w:color w:val="auto"/>
                <w:w w:val="96"/>
              </w:rPr>
              <w:t>2,900,000</w:t>
            </w:r>
          </w:p>
        </w:tc>
        <w:tc>
          <w:tcPr>
            <w:tcW w:w="140" w:type="dxa"/>
            <w:vAlign w:val="bottom"/>
            <w:shd w:val="clear" w:color="auto" w:fill="E5F1F8"/>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182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4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safety initiatives</w:t>
            </w:r>
          </w:p>
        </w:tc>
        <w:tc>
          <w:tcPr>
            <w:tcW w:w="128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66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r>
      <w:tr>
        <w:trPr>
          <w:trHeight w:val="280"/>
        </w:trPr>
        <w:tc>
          <w:tcPr>
            <w:tcW w:w="20" w:type="dxa"/>
            <w:vAlign w:val="bottom"/>
          </w:tcPr>
          <w:p>
            <w:pPr>
              <w:spacing w:after="0"/>
              <w:rPr>
                <w:sz w:val="24"/>
                <w:szCs w:val="24"/>
                <w:color w:val="auto"/>
              </w:rPr>
            </w:pPr>
          </w:p>
        </w:tc>
        <w:tc>
          <w:tcPr>
            <w:tcW w:w="1820" w:type="dxa"/>
            <w:vAlign w:val="bottom"/>
            <w:tcBorders>
              <w:right w:val="single" w:sz="8" w:color="007CBA"/>
            </w:tcBorders>
            <w:shd w:val="clear" w:color="auto" w:fill="E5F1F8"/>
          </w:tcPr>
          <w:p>
            <w:pPr>
              <w:spacing w:after="0"/>
              <w:rPr>
                <w:sz w:val="24"/>
                <w:szCs w:val="24"/>
                <w:color w:val="auto"/>
              </w:rPr>
            </w:pPr>
          </w:p>
        </w:tc>
        <w:tc>
          <w:tcPr>
            <w:tcW w:w="56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Generate long-term value for shareholders through strategic growth and profitability</w:t>
            </w:r>
          </w:p>
        </w:tc>
        <w:tc>
          <w:tcPr>
            <w:tcW w:w="128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82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660" w:type="dxa"/>
            <w:vAlign w:val="bottom"/>
            <w:shd w:val="clear" w:color="auto" w:fill="E5F1F8"/>
          </w:tcPr>
          <w:p>
            <w:pPr>
              <w:spacing w:after="0"/>
              <w:rPr>
                <w:sz w:val="24"/>
                <w:szCs w:val="24"/>
                <w:color w:val="auto"/>
              </w:rPr>
            </w:pPr>
          </w:p>
        </w:tc>
        <w:tc>
          <w:tcPr>
            <w:tcW w:w="140" w:type="dxa"/>
            <w:vAlign w:val="bottom"/>
            <w:shd w:val="clear" w:color="auto" w:fill="E5F1F8"/>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820" w:type="dxa"/>
            <w:vAlign w:val="bottom"/>
            <w:tcBorders>
              <w:right w:val="single" w:sz="8" w:color="007CBA"/>
            </w:tcBorders>
            <w:shd w:val="clear" w:color="auto" w:fill="E5F1F8"/>
          </w:tcPr>
          <w:p>
            <w:pPr>
              <w:spacing w:after="0"/>
              <w:rPr>
                <w:sz w:val="23"/>
                <w:szCs w:val="23"/>
                <w:color w:val="auto"/>
              </w:rPr>
            </w:pPr>
          </w:p>
        </w:tc>
        <w:tc>
          <w:tcPr>
            <w:tcW w:w="56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Effective development of succession plans and professional development of top</w:t>
            </w:r>
          </w:p>
        </w:tc>
        <w:tc>
          <w:tcPr>
            <w:tcW w:w="128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82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660" w:type="dxa"/>
            <w:vAlign w:val="bottom"/>
            <w:shd w:val="clear" w:color="auto" w:fill="E5F1F8"/>
          </w:tcPr>
          <w:p>
            <w:pPr>
              <w:spacing w:after="0"/>
              <w:rPr>
                <w:sz w:val="23"/>
                <w:szCs w:val="23"/>
                <w:color w:val="auto"/>
              </w:rPr>
            </w:pPr>
          </w:p>
        </w:tc>
        <w:tc>
          <w:tcPr>
            <w:tcW w:w="140" w:type="dxa"/>
            <w:vAlign w:val="bottom"/>
            <w:shd w:val="clear" w:color="auto" w:fill="E5F1F8"/>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820" w:type="dxa"/>
            <w:vAlign w:val="bottom"/>
            <w:tcBorders>
              <w:bottom w:val="single" w:sz="8" w:color="E5F1F8"/>
              <w:right w:val="single" w:sz="8" w:color="007CBA"/>
            </w:tcBorders>
            <w:shd w:val="clear" w:color="auto" w:fill="E5F1F8"/>
          </w:tcPr>
          <w:p>
            <w:pPr>
              <w:spacing w:after="0"/>
              <w:rPr>
                <w:sz w:val="16"/>
                <w:szCs w:val="16"/>
                <w:color w:val="auto"/>
              </w:rPr>
            </w:pPr>
          </w:p>
        </w:tc>
        <w:tc>
          <w:tcPr>
            <w:tcW w:w="180" w:type="dxa"/>
            <w:vAlign w:val="bottom"/>
            <w:tcBorders>
              <w:bottom w:val="single" w:sz="8" w:color="E5F1F8"/>
            </w:tcBorders>
            <w:shd w:val="clear" w:color="auto" w:fill="E5F1F8"/>
          </w:tcPr>
          <w:p>
            <w:pPr>
              <w:spacing w:after="0"/>
              <w:rPr>
                <w:sz w:val="16"/>
                <w:szCs w:val="16"/>
                <w:color w:val="auto"/>
              </w:rPr>
            </w:pPr>
          </w:p>
        </w:tc>
        <w:tc>
          <w:tcPr>
            <w:tcW w:w="5440" w:type="dxa"/>
            <w:vAlign w:val="bottom"/>
            <w:tcBorders>
              <w:bottom w:val="single" w:sz="8" w:color="E5F1F8"/>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leaders</w:t>
            </w:r>
          </w:p>
        </w:tc>
        <w:tc>
          <w:tcPr>
            <w:tcW w:w="1280" w:type="dxa"/>
            <w:vAlign w:val="bottom"/>
            <w:tcBorders>
              <w:bottom w:val="single" w:sz="8" w:color="E5F1F8"/>
              <w:right w:val="single" w:sz="8" w:color="007CBA"/>
            </w:tcBorders>
            <w:shd w:val="clear" w:color="auto" w:fill="E5F1F8"/>
          </w:tcPr>
          <w:p>
            <w:pPr>
              <w:spacing w:after="0"/>
              <w:rPr>
                <w:sz w:val="16"/>
                <w:szCs w:val="16"/>
                <w:color w:val="auto"/>
              </w:rPr>
            </w:pPr>
          </w:p>
        </w:tc>
        <w:tc>
          <w:tcPr>
            <w:tcW w:w="260" w:type="dxa"/>
            <w:vAlign w:val="bottom"/>
            <w:tcBorders>
              <w:bottom w:val="single" w:sz="8" w:color="E5F1F8"/>
            </w:tcBorders>
            <w:shd w:val="clear" w:color="auto" w:fill="E5F1F8"/>
          </w:tcPr>
          <w:p>
            <w:pPr>
              <w:spacing w:after="0"/>
              <w:rPr>
                <w:sz w:val="16"/>
                <w:szCs w:val="16"/>
                <w:color w:val="auto"/>
              </w:rPr>
            </w:pPr>
          </w:p>
        </w:tc>
        <w:tc>
          <w:tcPr>
            <w:tcW w:w="820" w:type="dxa"/>
            <w:vAlign w:val="bottom"/>
            <w:tcBorders>
              <w:bottom w:val="single" w:sz="8" w:color="E5F1F8"/>
              <w:right w:val="single" w:sz="8" w:color="007CBA"/>
            </w:tcBorders>
            <w:shd w:val="clear" w:color="auto" w:fill="E5F1F8"/>
          </w:tcPr>
          <w:p>
            <w:pPr>
              <w:spacing w:after="0"/>
              <w:rPr>
                <w:sz w:val="16"/>
                <w:szCs w:val="16"/>
                <w:color w:val="auto"/>
              </w:rPr>
            </w:pPr>
          </w:p>
        </w:tc>
        <w:tc>
          <w:tcPr>
            <w:tcW w:w="260" w:type="dxa"/>
            <w:vAlign w:val="bottom"/>
            <w:tcBorders>
              <w:bottom w:val="single" w:sz="8" w:color="E5F1F8"/>
            </w:tcBorders>
            <w:shd w:val="clear" w:color="auto" w:fill="E5F1F8"/>
          </w:tcPr>
          <w:p>
            <w:pPr>
              <w:spacing w:after="0"/>
              <w:rPr>
                <w:sz w:val="16"/>
                <w:szCs w:val="16"/>
                <w:color w:val="auto"/>
              </w:rPr>
            </w:pPr>
          </w:p>
        </w:tc>
        <w:tc>
          <w:tcPr>
            <w:tcW w:w="660" w:type="dxa"/>
            <w:vAlign w:val="bottom"/>
            <w:tcBorders>
              <w:bottom w:val="single" w:sz="8" w:color="E5F1F8"/>
            </w:tcBorders>
            <w:shd w:val="clear" w:color="auto" w:fill="E5F1F8"/>
          </w:tcPr>
          <w:p>
            <w:pPr>
              <w:spacing w:after="0"/>
              <w:rPr>
                <w:sz w:val="16"/>
                <w:szCs w:val="16"/>
                <w:color w:val="auto"/>
              </w:rPr>
            </w:pPr>
          </w:p>
        </w:tc>
        <w:tc>
          <w:tcPr>
            <w:tcW w:w="140" w:type="dxa"/>
            <w:vAlign w:val="bottom"/>
            <w:tcBorders>
              <w:bottom w:val="single" w:sz="8" w:color="E5F1F8"/>
            </w:tcBorders>
            <w:shd w:val="clear" w:color="auto" w:fill="E5F1F8"/>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1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James A. J. Nickolas</w:t>
            </w:r>
          </w:p>
        </w:tc>
        <w:tc>
          <w:tcPr>
            <w:tcW w:w="180" w:type="dxa"/>
            <w:vAlign w:val="bottom"/>
          </w:tcPr>
          <w:p>
            <w:pPr>
              <w:ind w:left="60"/>
              <w:spacing w:after="0"/>
              <w:rPr>
                <w:sz w:val="20"/>
                <w:szCs w:val="20"/>
                <w:color w:val="auto"/>
              </w:rPr>
            </w:pPr>
            <w:r>
              <w:rPr>
                <w:rFonts w:ascii="Arial" w:cs="Arial" w:eastAsia="Arial" w:hAnsi="Arial"/>
                <w:sz w:val="14"/>
                <w:szCs w:val="14"/>
                <w:color w:val="007CBA"/>
              </w:rPr>
              <w:t>•</w:t>
            </w:r>
          </w:p>
        </w:tc>
        <w:tc>
          <w:tcPr>
            <w:tcW w:w="54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Continue to develop the finance team</w:t>
            </w:r>
          </w:p>
        </w:tc>
        <w:tc>
          <w:tcPr>
            <w:tcW w:w="1280" w:type="dxa"/>
            <w:vAlign w:val="bottom"/>
            <w:tcBorders>
              <w:right w:val="single" w:sz="8" w:color="007CBA"/>
            </w:tcBorders>
          </w:tcPr>
          <w:p>
            <w:pPr>
              <w:jc w:val="right"/>
              <w:ind w:right="389"/>
              <w:spacing w:after="0"/>
              <w:rPr>
                <w:sz w:val="20"/>
                <w:szCs w:val="20"/>
                <w:color w:val="auto"/>
              </w:rPr>
            </w:pPr>
            <w:r>
              <w:rPr>
                <w:rFonts w:ascii="Arial" w:cs="Arial" w:eastAsia="Arial" w:hAnsi="Arial"/>
                <w:sz w:val="14"/>
                <w:szCs w:val="14"/>
                <w:color w:val="auto"/>
              </w:rPr>
              <w:t>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389,225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661,683</w:t>
            </w:r>
          </w:p>
        </w:tc>
        <w:tc>
          <w:tcPr>
            <w:tcW w:w="140" w:type="dxa"/>
            <w:vAlign w:val="bottom"/>
          </w:tcPr>
          <w:p>
            <w:pPr>
              <w:spacing w:after="0"/>
              <w:rPr>
                <w:sz w:val="18"/>
                <w:szCs w:val="18"/>
                <w:color w:val="auto"/>
              </w:rPr>
            </w:pPr>
          </w:p>
        </w:tc>
      </w:tr>
      <w:tr>
        <w:trPr>
          <w:trHeight w:val="280"/>
        </w:trPr>
        <w:tc>
          <w:tcPr>
            <w:tcW w:w="20" w:type="dxa"/>
            <w:vAlign w:val="bottom"/>
          </w:tcPr>
          <w:p>
            <w:pPr>
              <w:spacing w:after="0"/>
              <w:rPr>
                <w:sz w:val="24"/>
                <w:szCs w:val="24"/>
                <w:color w:val="auto"/>
              </w:rPr>
            </w:pPr>
          </w:p>
        </w:tc>
        <w:tc>
          <w:tcPr>
            <w:tcW w:w="1820" w:type="dxa"/>
            <w:vAlign w:val="bottom"/>
            <w:tcBorders>
              <w:right w:val="single" w:sz="8" w:color="007CBA"/>
            </w:tcBorders>
          </w:tcPr>
          <w:p>
            <w:pPr>
              <w:spacing w:after="0"/>
              <w:rPr>
                <w:sz w:val="24"/>
                <w:szCs w:val="24"/>
                <w:color w:val="auto"/>
              </w:rPr>
            </w:pPr>
          </w:p>
        </w:tc>
        <w:tc>
          <w:tcPr>
            <w:tcW w:w="562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Effective development and oversight of financial filings, audits and accounting</w:t>
            </w:r>
          </w:p>
        </w:tc>
        <w:tc>
          <w:tcPr>
            <w:tcW w:w="128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820" w:type="dxa"/>
            <w:vAlign w:val="bottom"/>
            <w:tcBorders>
              <w:right w:val="single" w:sz="8" w:color="007CBA"/>
            </w:tcBorders>
          </w:tcPr>
          <w:p>
            <w:pPr>
              <w:spacing w:after="0"/>
              <w:rPr>
                <w:sz w:val="23"/>
                <w:szCs w:val="23"/>
                <w:color w:val="auto"/>
              </w:rPr>
            </w:pPr>
          </w:p>
        </w:tc>
        <w:tc>
          <w:tcPr>
            <w:tcW w:w="562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Simplify and standardize financial processes and reporting methods to improve</w:t>
            </w:r>
          </w:p>
        </w:tc>
        <w:tc>
          <w:tcPr>
            <w:tcW w:w="128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60"/>
        </w:trPr>
        <w:tc>
          <w:tcPr>
            <w:tcW w:w="20" w:type="dxa"/>
            <w:vAlign w:val="bottom"/>
          </w:tcPr>
          <w:p>
            <w:pPr>
              <w:spacing w:after="0"/>
              <w:rPr>
                <w:sz w:val="13"/>
                <w:szCs w:val="13"/>
                <w:color w:val="auto"/>
              </w:rPr>
            </w:pPr>
          </w:p>
        </w:tc>
        <w:tc>
          <w:tcPr>
            <w:tcW w:w="1820" w:type="dxa"/>
            <w:vAlign w:val="bottom"/>
            <w:tcBorders>
              <w:right w:val="single" w:sz="8" w:color="007CBA"/>
            </w:tcBorders>
          </w:tcPr>
          <w:p>
            <w:pPr>
              <w:spacing w:after="0"/>
              <w:rPr>
                <w:sz w:val="13"/>
                <w:szCs w:val="13"/>
                <w:color w:val="auto"/>
              </w:rPr>
            </w:pPr>
          </w:p>
        </w:tc>
        <w:tc>
          <w:tcPr>
            <w:tcW w:w="180" w:type="dxa"/>
            <w:vAlign w:val="bottom"/>
          </w:tcPr>
          <w:p>
            <w:pPr>
              <w:spacing w:after="0"/>
              <w:rPr>
                <w:sz w:val="13"/>
                <w:szCs w:val="13"/>
                <w:color w:val="auto"/>
              </w:rPr>
            </w:pPr>
          </w:p>
        </w:tc>
        <w:tc>
          <w:tcPr>
            <w:tcW w:w="5440" w:type="dxa"/>
            <w:vAlign w:val="bottom"/>
            <w:tcBorders>
              <w:right w:val="single" w:sz="8" w:color="007CBA"/>
            </w:tcBorders>
          </w:tcPr>
          <w:p>
            <w:pPr>
              <w:ind w:left="100"/>
              <w:spacing w:after="0" w:line="160" w:lineRule="exact"/>
              <w:rPr>
                <w:sz w:val="20"/>
                <w:szCs w:val="20"/>
                <w:color w:val="auto"/>
              </w:rPr>
            </w:pPr>
            <w:r>
              <w:rPr>
                <w:rFonts w:ascii="Arial" w:cs="Arial" w:eastAsia="Arial" w:hAnsi="Arial"/>
                <w:sz w:val="14"/>
                <w:szCs w:val="14"/>
                <w:color w:val="auto"/>
              </w:rPr>
              <w:t>accuracy and knowledge sharing and to enable informed and timely business</w:t>
            </w:r>
          </w:p>
        </w:tc>
        <w:tc>
          <w:tcPr>
            <w:tcW w:w="1280" w:type="dxa"/>
            <w:vAlign w:val="bottom"/>
            <w:tcBorders>
              <w:right w:val="single" w:sz="8" w:color="007CBA"/>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right w:val="single" w:sz="8" w:color="007CBA"/>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820" w:type="dxa"/>
            <w:vAlign w:val="bottom"/>
            <w:tcBorders>
              <w:right w:val="single" w:sz="8" w:color="007CBA"/>
            </w:tcBorders>
          </w:tcPr>
          <w:p>
            <w:pPr>
              <w:spacing w:after="0"/>
              <w:rPr>
                <w:sz w:val="14"/>
                <w:szCs w:val="14"/>
                <w:color w:val="auto"/>
              </w:rPr>
            </w:pPr>
          </w:p>
        </w:tc>
        <w:tc>
          <w:tcPr>
            <w:tcW w:w="180" w:type="dxa"/>
            <w:vAlign w:val="bottom"/>
          </w:tcPr>
          <w:p>
            <w:pPr>
              <w:spacing w:after="0"/>
              <w:rPr>
                <w:sz w:val="14"/>
                <w:szCs w:val="14"/>
                <w:color w:val="auto"/>
              </w:rPr>
            </w:pPr>
          </w:p>
        </w:tc>
        <w:tc>
          <w:tcPr>
            <w:tcW w:w="5440" w:type="dxa"/>
            <w:vAlign w:val="bottom"/>
            <w:tcBorders>
              <w:right w:val="single" w:sz="8" w:color="007CBA"/>
            </w:tcBorders>
          </w:tcPr>
          <w:p>
            <w:pPr>
              <w:ind w:left="100"/>
              <w:spacing w:after="0"/>
              <w:rPr>
                <w:sz w:val="20"/>
                <w:szCs w:val="20"/>
                <w:color w:val="auto"/>
              </w:rPr>
            </w:pPr>
            <w:r>
              <w:rPr>
                <w:rFonts w:ascii="Arial" w:cs="Arial" w:eastAsia="Arial" w:hAnsi="Arial"/>
                <w:sz w:val="14"/>
                <w:szCs w:val="14"/>
                <w:color w:val="auto"/>
              </w:rPr>
              <w:t>decisions</w:t>
            </w:r>
          </w:p>
        </w:tc>
        <w:tc>
          <w:tcPr>
            <w:tcW w:w="1280" w:type="dxa"/>
            <w:vAlign w:val="bottom"/>
            <w:tcBorders>
              <w:right w:val="single" w:sz="8" w:color="007CBA"/>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007CBA"/>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8"/>
        </w:trPr>
        <w:tc>
          <w:tcPr>
            <w:tcW w:w="20" w:type="dxa"/>
            <w:vAlign w:val="bottom"/>
          </w:tcPr>
          <w:p>
            <w:pPr>
              <w:spacing w:after="0"/>
              <w:rPr>
                <w:sz w:val="3"/>
                <w:szCs w:val="3"/>
                <w:color w:val="auto"/>
              </w:rPr>
            </w:pPr>
          </w:p>
        </w:tc>
        <w:tc>
          <w:tcPr>
            <w:tcW w:w="1820" w:type="dxa"/>
            <w:vAlign w:val="bottom"/>
            <w:tcBorders>
              <w:right w:val="single" w:sz="8" w:color="007CBA"/>
            </w:tcBorders>
          </w:tcPr>
          <w:p>
            <w:pPr>
              <w:spacing w:after="0"/>
              <w:rPr>
                <w:sz w:val="3"/>
                <w:szCs w:val="3"/>
                <w:color w:val="auto"/>
              </w:rPr>
            </w:pPr>
          </w:p>
        </w:tc>
        <w:tc>
          <w:tcPr>
            <w:tcW w:w="180" w:type="dxa"/>
            <w:vAlign w:val="bottom"/>
          </w:tcPr>
          <w:p>
            <w:pPr>
              <w:spacing w:after="0"/>
              <w:rPr>
                <w:sz w:val="3"/>
                <w:szCs w:val="3"/>
                <w:color w:val="auto"/>
              </w:rPr>
            </w:pPr>
          </w:p>
        </w:tc>
        <w:tc>
          <w:tcPr>
            <w:tcW w:w="5440" w:type="dxa"/>
            <w:vAlign w:val="bottom"/>
            <w:tcBorders>
              <w:right w:val="single" w:sz="8" w:color="007CBA"/>
            </w:tcBorders>
          </w:tcPr>
          <w:p>
            <w:pPr>
              <w:spacing w:after="0"/>
              <w:rPr>
                <w:sz w:val="3"/>
                <w:szCs w:val="3"/>
                <w:color w:val="auto"/>
              </w:rPr>
            </w:pPr>
          </w:p>
        </w:tc>
        <w:tc>
          <w:tcPr>
            <w:tcW w:w="128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5"/>
        </w:trPr>
        <w:tc>
          <w:tcPr>
            <w:tcW w:w="20" w:type="dxa"/>
            <w:vAlign w:val="bottom"/>
          </w:tcPr>
          <w:p>
            <w:pPr>
              <w:spacing w:after="0"/>
              <w:rPr>
                <w:sz w:val="17"/>
                <w:szCs w:val="17"/>
                <w:color w:val="auto"/>
              </w:rPr>
            </w:pPr>
          </w:p>
        </w:tc>
        <w:tc>
          <w:tcPr>
            <w:tcW w:w="1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Roselyn R. Bar</w:t>
            </w: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Effective management of the legal department, including appropriate handling for</w:t>
            </w:r>
          </w:p>
        </w:tc>
        <w:tc>
          <w:tcPr>
            <w:tcW w:w="1280" w:type="dxa"/>
            <w:vAlign w:val="bottom"/>
            <w:tcBorders>
              <w:right w:val="single" w:sz="8" w:color="007CBA"/>
            </w:tcBorders>
            <w:shd w:val="clear" w:color="auto" w:fill="E5F1F8"/>
          </w:tcPr>
          <w:p>
            <w:pPr>
              <w:jc w:val="right"/>
              <w:ind w:right="389"/>
              <w:spacing w:after="0"/>
              <w:rPr>
                <w:sz w:val="20"/>
                <w:szCs w:val="20"/>
                <w:color w:val="auto"/>
              </w:rPr>
            </w:pPr>
            <w:r>
              <w:rPr>
                <w:rFonts w:ascii="Arial" w:cs="Arial" w:eastAsia="Arial" w:hAnsi="Arial"/>
                <w:sz w:val="14"/>
                <w:szCs w:val="14"/>
                <w:color w:val="auto"/>
              </w:rPr>
              <w:t>80%</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452,333</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836,817</w:t>
            </w:r>
          </w:p>
        </w:tc>
        <w:tc>
          <w:tcPr>
            <w:tcW w:w="140" w:type="dxa"/>
            <w:vAlign w:val="bottom"/>
            <w:shd w:val="clear" w:color="auto" w:fill="E5F1F8"/>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1820" w:type="dxa"/>
            <w:vAlign w:val="bottom"/>
            <w:tcBorders>
              <w:right w:val="single" w:sz="8" w:color="007CBA"/>
            </w:tcBorders>
            <w:shd w:val="clear" w:color="auto" w:fill="E5F1F8"/>
          </w:tcPr>
          <w:p>
            <w:pPr>
              <w:spacing w:after="0"/>
              <w:rPr>
                <w:sz w:val="13"/>
                <w:szCs w:val="13"/>
                <w:color w:val="auto"/>
              </w:rPr>
            </w:pPr>
          </w:p>
        </w:tc>
        <w:tc>
          <w:tcPr>
            <w:tcW w:w="180" w:type="dxa"/>
            <w:vAlign w:val="bottom"/>
            <w:shd w:val="clear" w:color="auto" w:fill="E5F1F8"/>
          </w:tcPr>
          <w:p>
            <w:pPr>
              <w:spacing w:after="0"/>
              <w:rPr>
                <w:sz w:val="13"/>
                <w:szCs w:val="13"/>
                <w:color w:val="auto"/>
              </w:rPr>
            </w:pPr>
          </w:p>
        </w:tc>
        <w:tc>
          <w:tcPr>
            <w:tcW w:w="5440" w:type="dxa"/>
            <w:vAlign w:val="bottom"/>
            <w:tcBorders>
              <w:right w:val="single" w:sz="8" w:color="007CBA"/>
            </w:tcBorders>
            <w:shd w:val="clear" w:color="auto" w:fill="E5F1F8"/>
          </w:tcPr>
          <w:p>
            <w:pPr>
              <w:ind w:left="100"/>
              <w:spacing w:after="0" w:line="160" w:lineRule="exact"/>
              <w:rPr>
                <w:sz w:val="20"/>
                <w:szCs w:val="20"/>
                <w:color w:val="auto"/>
              </w:rPr>
            </w:pPr>
            <w:r>
              <w:rPr>
                <w:rFonts w:ascii="Arial" w:cs="Arial" w:eastAsia="Arial" w:hAnsi="Arial"/>
                <w:sz w:val="14"/>
                <w:szCs w:val="14"/>
                <w:color w:val="auto"/>
              </w:rPr>
              <w:t>securities  law  compliance,  annual  and  periodic  reporting,  and  robust  case</w:t>
            </w:r>
          </w:p>
        </w:tc>
        <w:tc>
          <w:tcPr>
            <w:tcW w:w="1280" w:type="dxa"/>
            <w:vAlign w:val="bottom"/>
            <w:tcBorders>
              <w:right w:val="single" w:sz="8" w:color="007CBA"/>
            </w:tcBorders>
            <w:shd w:val="clear" w:color="auto" w:fill="E5F1F8"/>
          </w:tcPr>
          <w:p>
            <w:pPr>
              <w:spacing w:after="0"/>
              <w:rPr>
                <w:sz w:val="13"/>
                <w:szCs w:val="13"/>
                <w:color w:val="auto"/>
              </w:rPr>
            </w:pPr>
          </w:p>
        </w:tc>
        <w:tc>
          <w:tcPr>
            <w:tcW w:w="260" w:type="dxa"/>
            <w:vAlign w:val="bottom"/>
            <w:shd w:val="clear" w:color="auto" w:fill="E5F1F8"/>
          </w:tcPr>
          <w:p>
            <w:pPr>
              <w:spacing w:after="0"/>
              <w:rPr>
                <w:sz w:val="13"/>
                <w:szCs w:val="13"/>
                <w:color w:val="auto"/>
              </w:rPr>
            </w:pPr>
          </w:p>
        </w:tc>
        <w:tc>
          <w:tcPr>
            <w:tcW w:w="820" w:type="dxa"/>
            <w:vAlign w:val="bottom"/>
            <w:tcBorders>
              <w:right w:val="single" w:sz="8" w:color="007CBA"/>
            </w:tcBorders>
            <w:shd w:val="clear" w:color="auto" w:fill="E5F1F8"/>
          </w:tcPr>
          <w:p>
            <w:pPr>
              <w:spacing w:after="0"/>
              <w:rPr>
                <w:sz w:val="13"/>
                <w:szCs w:val="13"/>
                <w:color w:val="auto"/>
              </w:rPr>
            </w:pPr>
          </w:p>
        </w:tc>
        <w:tc>
          <w:tcPr>
            <w:tcW w:w="260" w:type="dxa"/>
            <w:vAlign w:val="bottom"/>
            <w:shd w:val="clear" w:color="auto" w:fill="E5F1F8"/>
          </w:tcPr>
          <w:p>
            <w:pPr>
              <w:spacing w:after="0"/>
              <w:rPr>
                <w:sz w:val="13"/>
                <w:szCs w:val="13"/>
                <w:color w:val="auto"/>
              </w:rPr>
            </w:pPr>
          </w:p>
        </w:tc>
        <w:tc>
          <w:tcPr>
            <w:tcW w:w="660" w:type="dxa"/>
            <w:vAlign w:val="bottom"/>
            <w:shd w:val="clear" w:color="auto" w:fill="E5F1F8"/>
          </w:tcPr>
          <w:p>
            <w:pPr>
              <w:spacing w:after="0"/>
              <w:rPr>
                <w:sz w:val="13"/>
                <w:szCs w:val="13"/>
                <w:color w:val="auto"/>
              </w:rPr>
            </w:pPr>
          </w:p>
        </w:tc>
        <w:tc>
          <w:tcPr>
            <w:tcW w:w="140" w:type="dxa"/>
            <w:vAlign w:val="bottom"/>
            <w:shd w:val="clear" w:color="auto" w:fill="E5F1F8"/>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82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4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assessment</w:t>
            </w:r>
          </w:p>
        </w:tc>
        <w:tc>
          <w:tcPr>
            <w:tcW w:w="128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66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r>
      <w:tr>
        <w:trPr>
          <w:trHeight w:val="280"/>
        </w:trPr>
        <w:tc>
          <w:tcPr>
            <w:tcW w:w="20" w:type="dxa"/>
            <w:vAlign w:val="bottom"/>
          </w:tcPr>
          <w:p>
            <w:pPr>
              <w:spacing w:after="0"/>
              <w:rPr>
                <w:sz w:val="24"/>
                <w:szCs w:val="24"/>
                <w:color w:val="auto"/>
              </w:rPr>
            </w:pPr>
          </w:p>
        </w:tc>
        <w:tc>
          <w:tcPr>
            <w:tcW w:w="1820" w:type="dxa"/>
            <w:vAlign w:val="bottom"/>
            <w:tcBorders>
              <w:right w:val="single" w:sz="8" w:color="007CBA"/>
            </w:tcBorders>
            <w:shd w:val="clear" w:color="auto" w:fill="E5F1F8"/>
          </w:tcPr>
          <w:p>
            <w:pPr>
              <w:spacing w:after="0"/>
              <w:rPr>
                <w:sz w:val="24"/>
                <w:szCs w:val="24"/>
                <w:color w:val="auto"/>
              </w:rPr>
            </w:pPr>
          </w:p>
        </w:tc>
        <w:tc>
          <w:tcPr>
            <w:tcW w:w="56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Provide oversight of ethics program as Chief Ethics Officer</w:t>
            </w:r>
          </w:p>
        </w:tc>
        <w:tc>
          <w:tcPr>
            <w:tcW w:w="128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82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660" w:type="dxa"/>
            <w:vAlign w:val="bottom"/>
            <w:shd w:val="clear" w:color="auto" w:fill="E5F1F8"/>
          </w:tcPr>
          <w:p>
            <w:pPr>
              <w:spacing w:after="0"/>
              <w:rPr>
                <w:sz w:val="24"/>
                <w:szCs w:val="24"/>
                <w:color w:val="auto"/>
              </w:rPr>
            </w:pPr>
          </w:p>
        </w:tc>
        <w:tc>
          <w:tcPr>
            <w:tcW w:w="140" w:type="dxa"/>
            <w:vAlign w:val="bottom"/>
            <w:shd w:val="clear" w:color="auto" w:fill="E5F1F8"/>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820" w:type="dxa"/>
            <w:vAlign w:val="bottom"/>
            <w:tcBorders>
              <w:bottom w:val="single" w:sz="8" w:color="E5F1F8"/>
              <w:right w:val="single" w:sz="8" w:color="007CBA"/>
            </w:tcBorders>
            <w:shd w:val="clear" w:color="auto" w:fill="E5F1F8"/>
          </w:tcPr>
          <w:p>
            <w:pPr>
              <w:spacing w:after="0"/>
              <w:rPr>
                <w:sz w:val="24"/>
                <w:szCs w:val="24"/>
                <w:color w:val="auto"/>
              </w:rPr>
            </w:pPr>
          </w:p>
        </w:tc>
        <w:tc>
          <w:tcPr>
            <w:tcW w:w="5620" w:type="dxa"/>
            <w:vAlign w:val="bottom"/>
            <w:tcBorders>
              <w:bottom w:val="single" w:sz="8" w:color="E5F1F8"/>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Continue to improve of processes and management of Corporate Secretary function</w:t>
            </w:r>
          </w:p>
        </w:tc>
        <w:tc>
          <w:tcPr>
            <w:tcW w:w="1280" w:type="dxa"/>
            <w:vAlign w:val="bottom"/>
            <w:tcBorders>
              <w:bottom w:val="single" w:sz="8" w:color="E5F1F8"/>
              <w:right w:val="single" w:sz="8" w:color="007CBA"/>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820" w:type="dxa"/>
            <w:vAlign w:val="bottom"/>
            <w:tcBorders>
              <w:bottom w:val="single" w:sz="8" w:color="E5F1F8"/>
              <w:right w:val="single" w:sz="8" w:color="007CBA"/>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660" w:type="dxa"/>
            <w:vAlign w:val="bottom"/>
            <w:tcBorders>
              <w:bottom w:val="single" w:sz="8" w:color="E5F1F8"/>
            </w:tcBorders>
            <w:shd w:val="clear" w:color="auto" w:fill="E5F1F8"/>
          </w:tcPr>
          <w:p>
            <w:pPr>
              <w:spacing w:after="0"/>
              <w:rPr>
                <w:sz w:val="24"/>
                <w:szCs w:val="24"/>
                <w:color w:val="auto"/>
              </w:rPr>
            </w:pPr>
          </w:p>
        </w:tc>
        <w:tc>
          <w:tcPr>
            <w:tcW w:w="140" w:type="dxa"/>
            <w:vAlign w:val="bottom"/>
            <w:tcBorders>
              <w:bottom w:val="single" w:sz="8" w:color="E5F1F8"/>
            </w:tcBorders>
            <w:shd w:val="clear" w:color="auto" w:fill="E5F1F8"/>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Craig M. LaTorre</w:t>
            </w:r>
          </w:p>
        </w:tc>
        <w:tc>
          <w:tcPr>
            <w:tcW w:w="180" w:type="dxa"/>
            <w:vAlign w:val="bottom"/>
          </w:tcPr>
          <w:p>
            <w:pPr>
              <w:ind w:left="60"/>
              <w:spacing w:after="0"/>
              <w:rPr>
                <w:sz w:val="20"/>
                <w:szCs w:val="20"/>
                <w:color w:val="auto"/>
              </w:rPr>
            </w:pPr>
            <w:r>
              <w:rPr>
                <w:rFonts w:ascii="Arial" w:cs="Arial" w:eastAsia="Arial" w:hAnsi="Arial"/>
                <w:sz w:val="14"/>
                <w:szCs w:val="14"/>
                <w:color w:val="007CBA"/>
              </w:rPr>
              <w:t>•</w:t>
            </w:r>
          </w:p>
        </w:tc>
        <w:tc>
          <w:tcPr>
            <w:tcW w:w="54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Define and develop the safety strategy and gain business alignment on long-term</w:t>
            </w:r>
          </w:p>
        </w:tc>
        <w:tc>
          <w:tcPr>
            <w:tcW w:w="1280" w:type="dxa"/>
            <w:vAlign w:val="bottom"/>
            <w:tcBorders>
              <w:right w:val="single" w:sz="8" w:color="007CBA"/>
            </w:tcBorders>
          </w:tcPr>
          <w:p>
            <w:pPr>
              <w:jc w:val="right"/>
              <w:ind w:right="389"/>
              <w:spacing w:after="0"/>
              <w:rPr>
                <w:sz w:val="20"/>
                <w:szCs w:val="20"/>
                <w:color w:val="auto"/>
              </w:rPr>
            </w:pPr>
            <w:r>
              <w:rPr>
                <w:rFonts w:ascii="Arial" w:cs="Arial" w:eastAsia="Arial" w:hAnsi="Arial"/>
                <w:sz w:val="14"/>
                <w:szCs w:val="14"/>
                <w:color w:val="auto"/>
              </w:rPr>
              <w:t>70%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319,375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523,812</w:t>
            </w:r>
          </w:p>
        </w:tc>
        <w:tc>
          <w:tcPr>
            <w:tcW w:w="140" w:type="dxa"/>
            <w:vAlign w:val="bottom"/>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1820" w:type="dxa"/>
            <w:vAlign w:val="bottom"/>
            <w:tcBorders>
              <w:right w:val="single" w:sz="8" w:color="007CBA"/>
            </w:tcBorders>
          </w:tcPr>
          <w:p>
            <w:pPr>
              <w:spacing w:after="0"/>
              <w:rPr>
                <w:sz w:val="14"/>
                <w:szCs w:val="14"/>
                <w:color w:val="auto"/>
              </w:rPr>
            </w:pPr>
          </w:p>
        </w:tc>
        <w:tc>
          <w:tcPr>
            <w:tcW w:w="180" w:type="dxa"/>
            <w:vAlign w:val="bottom"/>
          </w:tcPr>
          <w:p>
            <w:pPr>
              <w:spacing w:after="0"/>
              <w:rPr>
                <w:sz w:val="14"/>
                <w:szCs w:val="14"/>
                <w:color w:val="auto"/>
              </w:rPr>
            </w:pPr>
          </w:p>
        </w:tc>
        <w:tc>
          <w:tcPr>
            <w:tcW w:w="5440" w:type="dxa"/>
            <w:vAlign w:val="bottom"/>
            <w:tcBorders>
              <w:right w:val="single" w:sz="8" w:color="007CBA"/>
            </w:tcBorders>
          </w:tcPr>
          <w:p>
            <w:pPr>
              <w:ind w:left="100"/>
              <w:spacing w:after="0"/>
              <w:rPr>
                <w:sz w:val="20"/>
                <w:szCs w:val="20"/>
                <w:color w:val="auto"/>
              </w:rPr>
            </w:pPr>
            <w:r>
              <w:rPr>
                <w:rFonts w:ascii="Arial" w:cs="Arial" w:eastAsia="Arial" w:hAnsi="Arial"/>
                <w:sz w:val="14"/>
                <w:szCs w:val="14"/>
                <w:color w:val="auto"/>
              </w:rPr>
              <w:t>safety initiatives</w:t>
            </w:r>
          </w:p>
        </w:tc>
        <w:tc>
          <w:tcPr>
            <w:tcW w:w="1280" w:type="dxa"/>
            <w:vAlign w:val="bottom"/>
            <w:tcBorders>
              <w:right w:val="single" w:sz="8" w:color="007CBA"/>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007CBA"/>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69"/>
        </w:trPr>
        <w:tc>
          <w:tcPr>
            <w:tcW w:w="20" w:type="dxa"/>
            <w:vAlign w:val="bottom"/>
          </w:tcPr>
          <w:p>
            <w:pPr>
              <w:spacing w:after="0"/>
              <w:rPr>
                <w:sz w:val="23"/>
                <w:szCs w:val="23"/>
                <w:color w:val="auto"/>
              </w:rPr>
            </w:pPr>
          </w:p>
        </w:tc>
        <w:tc>
          <w:tcPr>
            <w:tcW w:w="1820" w:type="dxa"/>
            <w:vAlign w:val="bottom"/>
            <w:tcBorders>
              <w:right w:val="single" w:sz="8" w:color="007CBA"/>
            </w:tcBorders>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4"/>
                <w:szCs w:val="14"/>
                <w:color w:val="007CBA"/>
              </w:rPr>
              <w:t>•</w:t>
            </w:r>
          </w:p>
        </w:tc>
        <w:tc>
          <w:tcPr>
            <w:tcW w:w="54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Develop and implement key Human Resources priorities, which include talent</w:t>
            </w:r>
          </w:p>
        </w:tc>
        <w:tc>
          <w:tcPr>
            <w:tcW w:w="128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60"/>
        </w:trPr>
        <w:tc>
          <w:tcPr>
            <w:tcW w:w="20" w:type="dxa"/>
            <w:vAlign w:val="bottom"/>
          </w:tcPr>
          <w:p>
            <w:pPr>
              <w:spacing w:after="0"/>
              <w:rPr>
                <w:sz w:val="13"/>
                <w:szCs w:val="13"/>
                <w:color w:val="auto"/>
              </w:rPr>
            </w:pPr>
          </w:p>
        </w:tc>
        <w:tc>
          <w:tcPr>
            <w:tcW w:w="1820" w:type="dxa"/>
            <w:vAlign w:val="bottom"/>
            <w:tcBorders>
              <w:right w:val="single" w:sz="8" w:color="007CBA"/>
            </w:tcBorders>
          </w:tcPr>
          <w:p>
            <w:pPr>
              <w:spacing w:after="0"/>
              <w:rPr>
                <w:sz w:val="13"/>
                <w:szCs w:val="13"/>
                <w:color w:val="auto"/>
              </w:rPr>
            </w:pPr>
          </w:p>
        </w:tc>
        <w:tc>
          <w:tcPr>
            <w:tcW w:w="180" w:type="dxa"/>
            <w:vAlign w:val="bottom"/>
          </w:tcPr>
          <w:p>
            <w:pPr>
              <w:spacing w:after="0"/>
              <w:rPr>
                <w:sz w:val="13"/>
                <w:szCs w:val="13"/>
                <w:color w:val="auto"/>
              </w:rPr>
            </w:pPr>
          </w:p>
        </w:tc>
        <w:tc>
          <w:tcPr>
            <w:tcW w:w="5440" w:type="dxa"/>
            <w:vAlign w:val="bottom"/>
            <w:tcBorders>
              <w:right w:val="single" w:sz="8" w:color="007CBA"/>
            </w:tcBorders>
          </w:tcPr>
          <w:p>
            <w:pPr>
              <w:ind w:left="100"/>
              <w:spacing w:after="0" w:line="160" w:lineRule="exact"/>
              <w:rPr>
                <w:sz w:val="20"/>
                <w:szCs w:val="20"/>
                <w:color w:val="auto"/>
              </w:rPr>
            </w:pPr>
            <w:r>
              <w:rPr>
                <w:rFonts w:ascii="Arial" w:cs="Arial" w:eastAsia="Arial" w:hAnsi="Arial"/>
                <w:sz w:val="14"/>
                <w:szCs w:val="14"/>
                <w:color w:val="auto"/>
              </w:rPr>
              <w:t>acquisition, employee development, performance management and succession</w:t>
            </w:r>
          </w:p>
        </w:tc>
        <w:tc>
          <w:tcPr>
            <w:tcW w:w="1280" w:type="dxa"/>
            <w:vAlign w:val="bottom"/>
            <w:tcBorders>
              <w:right w:val="single" w:sz="8" w:color="007CBA"/>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right w:val="single" w:sz="8" w:color="007CBA"/>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820" w:type="dxa"/>
            <w:vAlign w:val="bottom"/>
            <w:tcBorders>
              <w:right w:val="single" w:sz="8" w:color="007CBA"/>
            </w:tcBorders>
          </w:tcPr>
          <w:p>
            <w:pPr>
              <w:spacing w:after="0"/>
              <w:rPr>
                <w:sz w:val="14"/>
                <w:szCs w:val="14"/>
                <w:color w:val="auto"/>
              </w:rPr>
            </w:pPr>
          </w:p>
        </w:tc>
        <w:tc>
          <w:tcPr>
            <w:tcW w:w="180" w:type="dxa"/>
            <w:vAlign w:val="bottom"/>
          </w:tcPr>
          <w:p>
            <w:pPr>
              <w:spacing w:after="0"/>
              <w:rPr>
                <w:sz w:val="14"/>
                <w:szCs w:val="14"/>
                <w:color w:val="auto"/>
              </w:rPr>
            </w:pPr>
          </w:p>
        </w:tc>
        <w:tc>
          <w:tcPr>
            <w:tcW w:w="5440" w:type="dxa"/>
            <w:vAlign w:val="bottom"/>
            <w:tcBorders>
              <w:right w:val="single" w:sz="8" w:color="007CBA"/>
            </w:tcBorders>
          </w:tcPr>
          <w:p>
            <w:pPr>
              <w:ind w:left="100"/>
              <w:spacing w:after="0"/>
              <w:rPr>
                <w:sz w:val="20"/>
                <w:szCs w:val="20"/>
                <w:color w:val="auto"/>
              </w:rPr>
            </w:pPr>
            <w:r>
              <w:rPr>
                <w:rFonts w:ascii="Arial" w:cs="Arial" w:eastAsia="Arial" w:hAnsi="Arial"/>
                <w:sz w:val="14"/>
                <w:szCs w:val="14"/>
                <w:color w:val="auto"/>
              </w:rPr>
              <w:t>planning</w:t>
            </w:r>
          </w:p>
        </w:tc>
        <w:tc>
          <w:tcPr>
            <w:tcW w:w="1280" w:type="dxa"/>
            <w:vAlign w:val="bottom"/>
            <w:tcBorders>
              <w:right w:val="single" w:sz="8" w:color="007CBA"/>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007CBA"/>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8"/>
        </w:trPr>
        <w:tc>
          <w:tcPr>
            <w:tcW w:w="20" w:type="dxa"/>
            <w:vAlign w:val="bottom"/>
          </w:tcPr>
          <w:p>
            <w:pPr>
              <w:spacing w:after="0"/>
              <w:rPr>
                <w:sz w:val="3"/>
                <w:szCs w:val="3"/>
                <w:color w:val="auto"/>
              </w:rPr>
            </w:pPr>
          </w:p>
        </w:tc>
        <w:tc>
          <w:tcPr>
            <w:tcW w:w="1820" w:type="dxa"/>
            <w:vAlign w:val="bottom"/>
            <w:tcBorders>
              <w:right w:val="single" w:sz="8" w:color="007CBA"/>
            </w:tcBorders>
          </w:tcPr>
          <w:p>
            <w:pPr>
              <w:spacing w:after="0"/>
              <w:rPr>
                <w:sz w:val="3"/>
                <w:szCs w:val="3"/>
                <w:color w:val="auto"/>
              </w:rPr>
            </w:pPr>
          </w:p>
        </w:tc>
        <w:tc>
          <w:tcPr>
            <w:tcW w:w="180" w:type="dxa"/>
            <w:vAlign w:val="bottom"/>
          </w:tcPr>
          <w:p>
            <w:pPr>
              <w:spacing w:after="0"/>
              <w:rPr>
                <w:sz w:val="3"/>
                <w:szCs w:val="3"/>
                <w:color w:val="auto"/>
              </w:rPr>
            </w:pPr>
          </w:p>
        </w:tc>
        <w:tc>
          <w:tcPr>
            <w:tcW w:w="5440" w:type="dxa"/>
            <w:vAlign w:val="bottom"/>
            <w:tcBorders>
              <w:right w:val="single" w:sz="8" w:color="007CBA"/>
            </w:tcBorders>
          </w:tcPr>
          <w:p>
            <w:pPr>
              <w:spacing w:after="0"/>
              <w:rPr>
                <w:sz w:val="3"/>
                <w:szCs w:val="3"/>
                <w:color w:val="auto"/>
              </w:rPr>
            </w:pPr>
          </w:p>
        </w:tc>
        <w:tc>
          <w:tcPr>
            <w:tcW w:w="128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5"/>
        </w:trPr>
        <w:tc>
          <w:tcPr>
            <w:tcW w:w="20" w:type="dxa"/>
            <w:vAlign w:val="bottom"/>
          </w:tcPr>
          <w:p>
            <w:pPr>
              <w:spacing w:after="0"/>
              <w:rPr>
                <w:sz w:val="17"/>
                <w:szCs w:val="17"/>
                <w:color w:val="auto"/>
              </w:rPr>
            </w:pPr>
          </w:p>
        </w:tc>
        <w:tc>
          <w:tcPr>
            <w:tcW w:w="1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Daniel L. Grant</w:t>
            </w: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Continue to lead strategic merger and acquisition and asset disposition projects and</w:t>
            </w:r>
          </w:p>
        </w:tc>
        <w:tc>
          <w:tcPr>
            <w:tcW w:w="1280" w:type="dxa"/>
            <w:vAlign w:val="bottom"/>
            <w:tcBorders>
              <w:right w:val="single" w:sz="8" w:color="007CBA"/>
            </w:tcBorders>
            <w:shd w:val="clear" w:color="auto" w:fill="E5F1F8"/>
          </w:tcPr>
          <w:p>
            <w:pPr>
              <w:jc w:val="right"/>
              <w:ind w:right="389"/>
              <w:spacing w:after="0"/>
              <w:rPr>
                <w:sz w:val="20"/>
                <w:szCs w:val="20"/>
                <w:color w:val="auto"/>
              </w:rPr>
            </w:pPr>
            <w:r>
              <w:rPr>
                <w:rFonts w:ascii="Arial" w:cs="Arial" w:eastAsia="Arial" w:hAnsi="Arial"/>
                <w:sz w:val="14"/>
                <w:szCs w:val="14"/>
                <w:color w:val="auto"/>
              </w:rPr>
              <w:t>70%</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276,092</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441,747</w:t>
            </w:r>
          </w:p>
        </w:tc>
        <w:tc>
          <w:tcPr>
            <w:tcW w:w="140" w:type="dxa"/>
            <w:vAlign w:val="bottom"/>
            <w:shd w:val="clear" w:color="auto" w:fill="E5F1F8"/>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182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4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initiatives that align with our business objectives</w:t>
            </w:r>
          </w:p>
        </w:tc>
        <w:tc>
          <w:tcPr>
            <w:tcW w:w="128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66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r>
      <w:tr>
        <w:trPr>
          <w:trHeight w:val="280"/>
        </w:trPr>
        <w:tc>
          <w:tcPr>
            <w:tcW w:w="20" w:type="dxa"/>
            <w:vAlign w:val="bottom"/>
          </w:tcPr>
          <w:p>
            <w:pPr>
              <w:spacing w:after="0"/>
              <w:rPr>
                <w:sz w:val="24"/>
                <w:szCs w:val="24"/>
                <w:color w:val="auto"/>
              </w:rPr>
            </w:pPr>
          </w:p>
        </w:tc>
        <w:tc>
          <w:tcPr>
            <w:tcW w:w="1820" w:type="dxa"/>
            <w:vAlign w:val="bottom"/>
            <w:tcBorders>
              <w:right w:val="single" w:sz="8" w:color="007CBA"/>
            </w:tcBorders>
            <w:shd w:val="clear" w:color="auto" w:fill="E5F1F8"/>
          </w:tcPr>
          <w:p>
            <w:pPr>
              <w:spacing w:after="0"/>
              <w:rPr>
                <w:sz w:val="24"/>
                <w:szCs w:val="24"/>
                <w:color w:val="auto"/>
              </w:rPr>
            </w:pPr>
          </w:p>
        </w:tc>
        <w:tc>
          <w:tcPr>
            <w:tcW w:w="56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Development of Strategy and Development personnel</w:t>
            </w:r>
          </w:p>
        </w:tc>
        <w:tc>
          <w:tcPr>
            <w:tcW w:w="128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82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660" w:type="dxa"/>
            <w:vAlign w:val="bottom"/>
            <w:shd w:val="clear" w:color="auto" w:fill="E5F1F8"/>
          </w:tcPr>
          <w:p>
            <w:pPr>
              <w:spacing w:after="0"/>
              <w:rPr>
                <w:sz w:val="24"/>
                <w:szCs w:val="24"/>
                <w:color w:val="auto"/>
              </w:rPr>
            </w:pPr>
          </w:p>
        </w:tc>
        <w:tc>
          <w:tcPr>
            <w:tcW w:w="140" w:type="dxa"/>
            <w:vAlign w:val="bottom"/>
            <w:shd w:val="clear" w:color="auto" w:fill="E5F1F8"/>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1820" w:type="dxa"/>
            <w:vAlign w:val="bottom"/>
            <w:tcBorders>
              <w:bottom w:val="single" w:sz="8" w:color="E5F1F8"/>
              <w:right w:val="single" w:sz="8" w:color="007CBA"/>
            </w:tcBorders>
            <w:shd w:val="clear" w:color="auto" w:fill="E5F1F8"/>
          </w:tcPr>
          <w:p>
            <w:pPr>
              <w:spacing w:after="0"/>
              <w:rPr>
                <w:sz w:val="24"/>
                <w:szCs w:val="24"/>
                <w:color w:val="auto"/>
              </w:rPr>
            </w:pPr>
          </w:p>
        </w:tc>
        <w:tc>
          <w:tcPr>
            <w:tcW w:w="5620" w:type="dxa"/>
            <w:vAlign w:val="bottom"/>
            <w:tcBorders>
              <w:bottom w:val="single" w:sz="8" w:color="E5F1F8"/>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Continue progress on world-class organization initiative</w:t>
            </w:r>
          </w:p>
        </w:tc>
        <w:tc>
          <w:tcPr>
            <w:tcW w:w="1280" w:type="dxa"/>
            <w:vAlign w:val="bottom"/>
            <w:tcBorders>
              <w:bottom w:val="single" w:sz="8" w:color="E5F1F8"/>
              <w:right w:val="single" w:sz="8" w:color="007CBA"/>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820" w:type="dxa"/>
            <w:vAlign w:val="bottom"/>
            <w:tcBorders>
              <w:bottom w:val="single" w:sz="8" w:color="E5F1F8"/>
              <w:right w:val="single" w:sz="8" w:color="007CBA"/>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660" w:type="dxa"/>
            <w:vAlign w:val="bottom"/>
            <w:tcBorders>
              <w:bottom w:val="single" w:sz="8" w:color="E5F1F8"/>
            </w:tcBorders>
            <w:shd w:val="clear" w:color="auto" w:fill="E5F1F8"/>
          </w:tcPr>
          <w:p>
            <w:pPr>
              <w:spacing w:after="0"/>
              <w:rPr>
                <w:sz w:val="24"/>
                <w:szCs w:val="24"/>
                <w:color w:val="auto"/>
              </w:rPr>
            </w:pPr>
          </w:p>
        </w:tc>
        <w:tc>
          <w:tcPr>
            <w:tcW w:w="140" w:type="dxa"/>
            <w:vAlign w:val="bottom"/>
            <w:tcBorders>
              <w:bottom w:val="single" w:sz="8" w:color="E5F1F8"/>
            </w:tcBorders>
            <w:shd w:val="clear" w:color="auto" w:fill="E5F1F8"/>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right w:val="single" w:sz="8" w:color="007CBA"/>
            </w:tcBorders>
            <w:shd w:val="clear" w:color="auto" w:fill="007CBA"/>
          </w:tcPr>
          <w:p>
            <w:pPr>
              <w:spacing w:after="0" w:line="20" w:lineRule="exact"/>
              <w:rPr>
                <w:sz w:val="1"/>
                <w:szCs w:val="1"/>
                <w:color w:val="auto"/>
              </w:rPr>
            </w:pPr>
          </w:p>
        </w:tc>
        <w:tc>
          <w:tcPr>
            <w:tcW w:w="5620" w:type="dxa"/>
            <w:vAlign w:val="bottom"/>
            <w:tcBorders>
              <w:right w:val="single" w:sz="8" w:color="007CBA"/>
            </w:tcBorders>
            <w:gridSpan w:val="2"/>
            <w:shd w:val="clear" w:color="auto" w:fill="007CBA"/>
          </w:tcPr>
          <w:p>
            <w:pPr>
              <w:spacing w:after="0" w:line="20" w:lineRule="exact"/>
              <w:rPr>
                <w:sz w:val="1"/>
                <w:szCs w:val="1"/>
                <w:color w:val="auto"/>
              </w:rPr>
            </w:pPr>
          </w:p>
        </w:tc>
        <w:tc>
          <w:tcPr>
            <w:tcW w:w="1280" w:type="dxa"/>
            <w:vAlign w:val="bottom"/>
            <w:tcBorders>
              <w:right w:val="single" w:sz="8" w:color="007CBA"/>
            </w:tcBorders>
            <w:shd w:val="clear" w:color="auto" w:fill="007CBA"/>
          </w:tcPr>
          <w:p>
            <w:pPr>
              <w:spacing w:after="0" w:line="20" w:lineRule="exact"/>
              <w:rPr>
                <w:sz w:val="1"/>
                <w:szCs w:val="1"/>
                <w:color w:val="auto"/>
              </w:rPr>
            </w:pPr>
          </w:p>
        </w:tc>
        <w:tc>
          <w:tcPr>
            <w:tcW w:w="260" w:type="dxa"/>
            <w:vAlign w:val="bottom"/>
            <w:shd w:val="clear" w:color="auto" w:fill="007CBA"/>
          </w:tcPr>
          <w:p>
            <w:pPr>
              <w:spacing w:after="0" w:line="20" w:lineRule="exact"/>
              <w:rPr>
                <w:sz w:val="1"/>
                <w:szCs w:val="1"/>
                <w:color w:val="auto"/>
              </w:rPr>
            </w:pPr>
          </w:p>
        </w:tc>
        <w:tc>
          <w:tcPr>
            <w:tcW w:w="820" w:type="dxa"/>
            <w:vAlign w:val="bottom"/>
            <w:tcBorders>
              <w:right w:val="single" w:sz="8" w:color="007CBA"/>
            </w:tcBorders>
            <w:shd w:val="clear" w:color="auto" w:fill="007CBA"/>
          </w:tcPr>
          <w:p>
            <w:pPr>
              <w:spacing w:after="0" w:line="20" w:lineRule="exact"/>
              <w:rPr>
                <w:sz w:val="1"/>
                <w:szCs w:val="1"/>
                <w:color w:val="auto"/>
              </w:rPr>
            </w:pPr>
          </w:p>
        </w:tc>
        <w:tc>
          <w:tcPr>
            <w:tcW w:w="260" w:type="dxa"/>
            <w:vAlign w:val="bottom"/>
            <w:shd w:val="clear" w:color="auto" w:fill="007CBA"/>
          </w:tcPr>
          <w:p>
            <w:pPr>
              <w:spacing w:after="0" w:line="20" w:lineRule="exact"/>
              <w:rPr>
                <w:sz w:val="1"/>
                <w:szCs w:val="1"/>
                <w:color w:val="auto"/>
              </w:rPr>
            </w:pPr>
          </w:p>
        </w:tc>
        <w:tc>
          <w:tcPr>
            <w:tcW w:w="660" w:type="dxa"/>
            <w:vAlign w:val="bottom"/>
            <w:shd w:val="clear" w:color="auto" w:fill="007CBA"/>
          </w:tcPr>
          <w:p>
            <w:pPr>
              <w:spacing w:after="0" w:line="20" w:lineRule="exact"/>
              <w:rPr>
                <w:sz w:val="1"/>
                <w:szCs w:val="1"/>
                <w:color w:val="auto"/>
              </w:rPr>
            </w:pPr>
          </w:p>
        </w:tc>
        <w:tc>
          <w:tcPr>
            <w:tcW w:w="140" w:type="dxa"/>
            <w:vAlign w:val="bottom"/>
            <w:shd w:val="clear" w:color="auto" w:fill="007CBA"/>
          </w:tcPr>
          <w:p>
            <w:pPr>
              <w:spacing w:after="0" w:line="20" w:lineRule="exact"/>
              <w:rPr>
                <w:sz w:val="1"/>
                <w:szCs w:val="1"/>
                <w:color w:val="auto"/>
              </w:rPr>
            </w:pPr>
          </w:p>
        </w:tc>
      </w:tr>
      <w:tr>
        <w:trPr>
          <w:trHeight w:val="289"/>
        </w:trPr>
        <w:tc>
          <w:tcPr>
            <w:tcW w:w="7460" w:type="dxa"/>
            <w:vAlign w:val="bottom"/>
            <w:gridSpan w:val="4"/>
          </w:tcPr>
          <w:p>
            <w:pPr>
              <w:spacing w:after="0"/>
              <w:rPr>
                <w:sz w:val="20"/>
                <w:szCs w:val="20"/>
                <w:color w:val="auto"/>
              </w:rPr>
            </w:pPr>
            <w:r>
              <w:rPr>
                <w:rFonts w:ascii="Arial" w:cs="Arial" w:eastAsia="Arial" w:hAnsi="Arial"/>
                <w:sz w:val="14"/>
                <w:szCs w:val="14"/>
                <w:color w:val="auto"/>
              </w:rPr>
              <w:t>*  Based on actual base salary earnings in 2019.</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gridSpan w:val="4"/>
          </w:tcPr>
          <w:p>
            <w:pPr>
              <w:jc w:val="right"/>
              <w:ind w:right="209"/>
              <w:spacing w:after="0"/>
              <w:rPr>
                <w:sz w:val="20"/>
                <w:szCs w:val="20"/>
                <w:color w:val="auto"/>
              </w:rPr>
            </w:pPr>
            <w:r>
              <w:rPr>
                <w:rFonts w:ascii="Arial" w:cs="Arial" w:eastAsia="Arial" w:hAnsi="Arial"/>
                <w:sz w:val="12"/>
                <w:szCs w:val="12"/>
                <w:color w:val="007CBA"/>
              </w:rPr>
              <w:t>2020 PROXY STATEMENT</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w w:val="89"/>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-115570</wp:posOffset>
            </wp:positionV>
            <wp:extent cx="406400" cy="2451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060"/>
          </w:cols>
          <w:pgMar w:left="320" w:top="455" w:right="519" w:bottom="1440" w:gutter="0" w:footer="0" w:header="0"/>
        </w:sectPr>
      </w:pPr>
    </w:p>
    <w:p>
      <w:pPr>
        <w:spacing w:after="0" w:line="289"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2019 Annual Cash Incentive Goals and Results</w:t>
      </w:r>
    </w:p>
    <w:p>
      <w:pPr>
        <w:spacing w:after="0" w:line="253" w:lineRule="exact"/>
        <w:rPr>
          <w:sz w:val="20"/>
          <w:szCs w:val="20"/>
          <w:color w:val="auto"/>
        </w:rPr>
      </w:pPr>
    </w:p>
    <w:p>
      <w:pPr>
        <w:ind w:left="200" w:right="460"/>
        <w:spacing w:after="0" w:line="246" w:lineRule="auto"/>
        <w:rPr>
          <w:sz w:val="20"/>
          <w:szCs w:val="20"/>
          <w:color w:val="auto"/>
        </w:rPr>
      </w:pPr>
      <w:r>
        <w:rPr>
          <w:rFonts w:ascii="Arial" w:cs="Arial" w:eastAsia="Arial" w:hAnsi="Arial"/>
          <w:sz w:val="17"/>
          <w:szCs w:val="17"/>
          <w:b w:val="1"/>
          <w:bCs w:val="1"/>
          <w:color w:val="auto"/>
        </w:rPr>
        <w:t>Annual Incentive Feature: Performance-Based Stock Purchase Plan</w:t>
      </w:r>
    </w:p>
    <w:p>
      <w:pPr>
        <w:jc w:val="both"/>
        <w:ind w:left="200" w:right="260"/>
        <w:spacing w:after="0" w:line="244" w:lineRule="auto"/>
        <w:rPr>
          <w:sz w:val="20"/>
          <w:szCs w:val="20"/>
          <w:color w:val="auto"/>
        </w:rPr>
      </w:pPr>
      <w:r>
        <w:rPr>
          <w:rFonts w:ascii="Arial" w:cs="Arial" w:eastAsia="Arial" w:hAnsi="Arial"/>
          <w:sz w:val="16"/>
          <w:szCs w:val="16"/>
          <w:color w:val="auto"/>
        </w:rPr>
        <w:t>The Incentive Stock Plan further promotes the alignment of executive compensation levels with our investors’ financial interests by requiring that a portion of the annual bonus award be deferred into Company stock units that vest based on continued service. Executive officers can also elect to defer amounts above the mandatory deferral amount. The voluntary election allows executives to invest up to 50% of their annual cash incentive compensation to purchase units that are subsequently converted into shares of common stock pursuant to the terms of the plan at a 20% discount from the market price of Martin Marietta’s common stock on the date the amount of the incentive compensation is determined. The discount is used to account for the risk of trading current cash compensation for “at-risk” shares which may decline in value.</w:t>
      </w:r>
    </w:p>
    <w:p>
      <w:pPr>
        <w:spacing w:after="0" w:line="141" w:lineRule="exact"/>
        <w:rPr>
          <w:sz w:val="20"/>
          <w:szCs w:val="20"/>
          <w:color w:val="auto"/>
        </w:rPr>
      </w:pPr>
    </w:p>
    <w:p>
      <w:pPr>
        <w:jc w:val="both"/>
        <w:ind w:left="200" w:right="260"/>
        <w:spacing w:after="0" w:line="247" w:lineRule="auto"/>
        <w:rPr>
          <w:sz w:val="20"/>
          <w:szCs w:val="20"/>
          <w:color w:val="auto"/>
        </w:rPr>
      </w:pPr>
      <w:r>
        <w:rPr>
          <w:rFonts w:ascii="Arial" w:cs="Arial" w:eastAsia="Arial" w:hAnsi="Arial"/>
          <w:sz w:val="16"/>
          <w:szCs w:val="16"/>
          <w:color w:val="auto"/>
        </w:rPr>
        <w:t>The mandatory portion requires executives to invest a minimum of 20% of their cash incentive compensation towards the crediting of units under the plan. The CEO is required to invest a minimum of 35% of his cash incentive compensation towards the crediting of such units.</w:t>
      </w:r>
    </w:p>
    <w:p>
      <w:pPr>
        <w:spacing w:after="0" w:line="136" w:lineRule="exact"/>
        <w:rPr>
          <w:sz w:val="20"/>
          <w:szCs w:val="20"/>
          <w:color w:val="auto"/>
        </w:rPr>
      </w:pPr>
    </w:p>
    <w:p>
      <w:pPr>
        <w:jc w:val="both"/>
        <w:ind w:left="200" w:right="260"/>
        <w:spacing w:after="0" w:line="245" w:lineRule="auto"/>
        <w:rPr>
          <w:sz w:val="20"/>
          <w:szCs w:val="20"/>
          <w:color w:val="auto"/>
        </w:rPr>
      </w:pPr>
      <w:r>
        <w:rPr>
          <w:rFonts w:ascii="Arial" w:cs="Arial" w:eastAsia="Arial" w:hAnsi="Arial"/>
          <w:sz w:val="16"/>
          <w:szCs w:val="16"/>
          <w:color w:val="auto"/>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 Mr. Nye deferred the maximum of 50% of his 2019 cash bonus in stock units.</w:t>
      </w:r>
    </w:p>
    <w:p>
      <w:pPr>
        <w:spacing w:after="0" w:line="125" w:lineRule="exact"/>
        <w:rPr>
          <w:sz w:val="20"/>
          <w:szCs w:val="20"/>
          <w:color w:val="auto"/>
        </w:rPr>
      </w:pPr>
    </w:p>
    <w:p>
      <w:pPr>
        <w:jc w:val="both"/>
        <w:ind w:left="200" w:right="260"/>
        <w:spacing w:after="0" w:line="245" w:lineRule="auto"/>
        <w:rPr>
          <w:sz w:val="20"/>
          <w:szCs w:val="20"/>
          <w:color w:val="auto"/>
        </w:rPr>
      </w:pPr>
      <w:r>
        <w:rPr>
          <w:rFonts w:ascii="Arial" w:cs="Arial" w:eastAsia="Arial" w:hAnsi="Arial"/>
          <w:sz w:val="16"/>
          <w:szCs w:val="16"/>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26" w:lineRule="exact"/>
        <w:rPr>
          <w:sz w:val="20"/>
          <w:szCs w:val="20"/>
          <w:color w:val="auto"/>
        </w:rPr>
      </w:pPr>
    </w:p>
    <w:p>
      <w:pPr>
        <w:ind w:left="200" w:right="620"/>
        <w:spacing w:after="0" w:line="279" w:lineRule="auto"/>
        <w:rPr>
          <w:sz w:val="20"/>
          <w:szCs w:val="20"/>
          <w:color w:val="auto"/>
        </w:rPr>
      </w:pPr>
      <w:r>
        <w:rPr>
          <w:rFonts w:ascii="Arial" w:cs="Arial" w:eastAsia="Arial" w:hAnsi="Arial"/>
          <w:sz w:val="25"/>
          <w:szCs w:val="25"/>
          <w:b w:val="1"/>
          <w:bCs w:val="1"/>
          <w:color w:val="007CBA"/>
        </w:rPr>
        <w:t>2019 Long-Term Incentive Compensation Overview</w:t>
      </w:r>
    </w:p>
    <w:p>
      <w:pPr>
        <w:spacing w:after="0" w:line="42" w:lineRule="exact"/>
        <w:rPr>
          <w:sz w:val="20"/>
          <w:szCs w:val="20"/>
          <w:color w:val="auto"/>
        </w:rPr>
      </w:pPr>
    </w:p>
    <w:p>
      <w:pPr>
        <w:jc w:val="both"/>
        <w:ind w:left="200" w:right="260"/>
        <w:spacing w:after="0" w:line="245" w:lineRule="auto"/>
        <w:rPr>
          <w:sz w:val="20"/>
          <w:szCs w:val="20"/>
          <w:color w:val="auto"/>
        </w:rPr>
      </w:pPr>
      <w:r>
        <w:rPr>
          <w:rFonts w:ascii="Arial" w:cs="Arial" w:eastAsia="Arial" w:hAnsi="Arial"/>
          <w:sz w:val="16"/>
          <w:szCs w:val="16"/>
          <w:color w:val="auto"/>
        </w:rPr>
        <w:t>Our LTI plan’s design reflects the objectives of our compensation program and is in-line with current market approaches, based on the advice of the Committee’s independent compensation consultant. Our plan design objectives are a simplified LTI program, that is transparent and enhances the line of sight between our performance and compensation.</w:t>
      </w:r>
    </w:p>
    <w:p>
      <w:pPr>
        <w:spacing w:after="0" w:line="152" w:lineRule="exact"/>
        <w:rPr>
          <w:sz w:val="20"/>
          <w:szCs w:val="20"/>
          <w:color w:val="auto"/>
        </w:rPr>
      </w:pPr>
    </w:p>
    <w:p>
      <w:pPr>
        <w:jc w:val="both"/>
        <w:ind w:left="200" w:right="260"/>
        <w:spacing w:after="0" w:line="246" w:lineRule="auto"/>
        <w:rPr>
          <w:sz w:val="20"/>
          <w:szCs w:val="20"/>
          <w:color w:val="auto"/>
        </w:rPr>
      </w:pPr>
      <w:r>
        <w:rPr>
          <w:rFonts w:ascii="Arial" w:cs="Arial" w:eastAsia="Arial" w:hAnsi="Arial"/>
          <w:sz w:val="16"/>
          <w:szCs w:val="16"/>
          <w:color w:val="auto"/>
        </w:rPr>
        <w:t>The award in 2019 for all NEOs was determined as a fixed percentage of base salary with some variation for position and grade, which amount was converted into common stock units based on the average Martin Marietta stock price for the 20-day period ending on February 20, 2019, the day the Martin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
        <w:spacing w:after="0" w:line="244" w:lineRule="auto"/>
        <w:rPr>
          <w:sz w:val="20"/>
          <w:szCs w:val="20"/>
          <w:color w:val="auto"/>
        </w:rPr>
      </w:pPr>
      <w:r>
        <w:rPr>
          <w:rFonts w:ascii="Arial" w:cs="Arial" w:eastAsia="Arial" w:hAnsi="Arial"/>
          <w:sz w:val="16"/>
          <w:szCs w:val="16"/>
          <w:color w:val="auto"/>
        </w:rPr>
        <w:t xml:space="preserve">Marietta Board of Directors confirmed the award, or $182.895. This award value was then divided into PSUs and performance-based RSUs, with 55% of the total award for NEOs consisting of the PSUs at target level and 45% of the total award for NEOs consisting of performance-based RSUs. The Committee believes that the incentive mix (PSUs and performance-based RSUs) constitutes an appropriate pay process and streamlined plan, which more fully reflects the performance of the Company and is better aligned with each NEO’s role within Martin Marietta. See a further description under </w:t>
      </w:r>
      <w:r>
        <w:rPr>
          <w:rFonts w:ascii="Arial" w:cs="Arial" w:eastAsia="Arial" w:hAnsi="Arial"/>
          <w:sz w:val="16"/>
          <w:szCs w:val="16"/>
          <w:i w:val="1"/>
          <w:iCs w:val="1"/>
          <w:color w:val="auto"/>
        </w:rPr>
        <w:t>Outstanding Equity Awards at Fiscal Year-End</w:t>
      </w:r>
      <w:r>
        <w:rPr>
          <w:rFonts w:ascii="Arial" w:cs="Arial" w:eastAsia="Arial" w:hAnsi="Arial"/>
          <w:sz w:val="16"/>
          <w:szCs w:val="16"/>
          <w:color w:val="auto"/>
        </w:rPr>
        <w:t xml:space="preserve"> and corresponding footnotes on pages 60 to 61.</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provides a notional example of the LTI plan design.</w:t>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73"/>
        </w:trPr>
        <w:tc>
          <w:tcPr>
            <w:tcW w:w="104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jc w:val="center"/>
              <w:ind w:right="9"/>
              <w:spacing w:after="0"/>
              <w:rPr>
                <w:sz w:val="20"/>
                <w:szCs w:val="20"/>
                <w:color w:val="auto"/>
              </w:rPr>
            </w:pPr>
            <w:r>
              <w:rPr>
                <w:rFonts w:ascii="Arial" w:cs="Arial" w:eastAsia="Arial" w:hAnsi="Arial"/>
                <w:sz w:val="14"/>
                <w:szCs w:val="14"/>
                <w:b w:val="1"/>
                <w:bCs w:val="1"/>
                <w:color w:val="FFFFFF"/>
                <w:w w:val="95"/>
              </w:rPr>
              <w:t>LTI</w:t>
            </w:r>
          </w:p>
        </w:tc>
        <w:tc>
          <w:tcPr>
            <w:tcW w:w="72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700" w:type="dxa"/>
            <w:vAlign w:val="bottom"/>
            <w:shd w:val="clear" w:color="auto" w:fill="007CBA"/>
          </w:tcPr>
          <w:p>
            <w:pPr>
              <w:spacing w:after="0"/>
              <w:rPr>
                <w:sz w:val="15"/>
                <w:szCs w:val="15"/>
                <w:color w:val="auto"/>
              </w:rPr>
            </w:pPr>
          </w:p>
        </w:tc>
      </w:tr>
      <w:tr>
        <w:trPr>
          <w:trHeight w:val="160"/>
        </w:trPr>
        <w:tc>
          <w:tcPr>
            <w:tcW w:w="1040" w:type="dxa"/>
            <w:vAlign w:val="bottom"/>
            <w:tcBorders>
              <w:right w:val="single" w:sz="8" w:color="007CBA"/>
            </w:tcBorders>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jc w:val="center"/>
              <w:ind w:right="49"/>
              <w:spacing w:after="0" w:line="160" w:lineRule="exact"/>
              <w:rPr>
                <w:sz w:val="20"/>
                <w:szCs w:val="20"/>
                <w:color w:val="auto"/>
              </w:rPr>
            </w:pPr>
            <w:r>
              <w:rPr>
                <w:rFonts w:ascii="Arial" w:cs="Arial" w:eastAsia="Arial" w:hAnsi="Arial"/>
                <w:sz w:val="14"/>
                <w:szCs w:val="14"/>
                <w:b w:val="1"/>
                <w:bCs w:val="1"/>
                <w:color w:val="FFFFFF"/>
                <w:w w:val="95"/>
              </w:rPr>
              <w:t>LTI</w:t>
            </w:r>
          </w:p>
        </w:tc>
        <w:tc>
          <w:tcPr>
            <w:tcW w:w="720" w:type="dxa"/>
            <w:vAlign w:val="bottom"/>
            <w:tcBorders>
              <w:right w:val="single" w:sz="8" w:color="007CBA"/>
            </w:tcBorders>
            <w:shd w:val="clear" w:color="auto" w:fill="007CBA"/>
          </w:tcPr>
          <w:p>
            <w:pPr>
              <w:jc w:val="center"/>
              <w:ind w:right="29"/>
              <w:spacing w:after="0" w:line="160" w:lineRule="exact"/>
              <w:rPr>
                <w:sz w:val="20"/>
                <w:szCs w:val="20"/>
                <w:color w:val="auto"/>
              </w:rPr>
            </w:pPr>
            <w:r>
              <w:rPr>
                <w:rFonts w:ascii="Arial" w:cs="Arial" w:eastAsia="Arial" w:hAnsi="Arial"/>
                <w:sz w:val="14"/>
                <w:szCs w:val="14"/>
                <w:b w:val="1"/>
                <w:bCs w:val="1"/>
                <w:color w:val="FFFFFF"/>
                <w:w w:val="98"/>
              </w:rPr>
              <w:t>Target</w:t>
            </w:r>
          </w:p>
        </w:tc>
        <w:tc>
          <w:tcPr>
            <w:tcW w:w="720" w:type="dxa"/>
            <w:vAlign w:val="bottom"/>
            <w:tcBorders>
              <w:right w:val="single" w:sz="8" w:color="007CBA"/>
            </w:tcBorders>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jc w:val="center"/>
              <w:ind w:right="29"/>
              <w:spacing w:after="0" w:line="160" w:lineRule="exact"/>
              <w:rPr>
                <w:sz w:val="20"/>
                <w:szCs w:val="20"/>
                <w:color w:val="auto"/>
              </w:rPr>
            </w:pPr>
            <w:r>
              <w:rPr>
                <w:rFonts w:ascii="Arial" w:cs="Arial" w:eastAsia="Arial" w:hAnsi="Arial"/>
                <w:sz w:val="14"/>
                <w:szCs w:val="14"/>
                <w:b w:val="1"/>
                <w:bCs w:val="1"/>
                <w:color w:val="FFFFFF"/>
              </w:rPr>
              <w:t>PSU</w:t>
            </w:r>
          </w:p>
        </w:tc>
        <w:tc>
          <w:tcPr>
            <w:tcW w:w="700" w:type="dxa"/>
            <w:vAlign w:val="bottom"/>
            <w:tcBorders>
              <w:right w:val="single" w:sz="8" w:color="007CBA"/>
            </w:tcBorders>
            <w:shd w:val="clear" w:color="auto" w:fill="007CBA"/>
          </w:tcPr>
          <w:p>
            <w:pPr>
              <w:spacing w:after="0"/>
              <w:rPr>
                <w:sz w:val="13"/>
                <w:szCs w:val="13"/>
                <w:color w:val="auto"/>
              </w:rPr>
            </w:pPr>
          </w:p>
        </w:tc>
        <w:tc>
          <w:tcPr>
            <w:tcW w:w="70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RSU</w:t>
            </w:r>
          </w:p>
        </w:tc>
      </w:tr>
      <w:tr>
        <w:trPr>
          <w:trHeight w:val="160"/>
        </w:trPr>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w w:val="99"/>
              </w:rPr>
              <w:t>Salary</w:t>
            </w:r>
          </w:p>
        </w:tc>
        <w:tc>
          <w:tcPr>
            <w:tcW w:w="720" w:type="dxa"/>
            <w:vAlign w:val="bottom"/>
            <w:tcBorders>
              <w:right w:val="single" w:sz="8" w:color="007CBA"/>
            </w:tcBorders>
            <w:shd w:val="clear" w:color="auto" w:fill="007CBA"/>
          </w:tcPr>
          <w:p>
            <w:pPr>
              <w:jc w:val="center"/>
              <w:ind w:right="69"/>
              <w:spacing w:after="0" w:line="160" w:lineRule="exact"/>
              <w:rPr>
                <w:sz w:val="20"/>
                <w:szCs w:val="20"/>
                <w:color w:val="auto"/>
              </w:rPr>
            </w:pPr>
            <w:r>
              <w:rPr>
                <w:rFonts w:ascii="Arial" w:cs="Arial" w:eastAsia="Arial" w:hAnsi="Arial"/>
                <w:sz w:val="14"/>
                <w:szCs w:val="14"/>
                <w:b w:val="1"/>
                <w:bCs w:val="1"/>
                <w:color w:val="FFFFFF"/>
                <w:w w:val="98"/>
              </w:rPr>
              <w:t>Target</w:t>
            </w:r>
          </w:p>
        </w:tc>
        <w:tc>
          <w:tcPr>
            <w:tcW w:w="720" w:type="dxa"/>
            <w:vAlign w:val="bottom"/>
            <w:tcBorders>
              <w:right w:val="single" w:sz="8" w:color="007CBA"/>
            </w:tcBorders>
            <w:shd w:val="clear" w:color="auto" w:fill="007CBA"/>
          </w:tcPr>
          <w:p>
            <w:pPr>
              <w:jc w:val="center"/>
              <w:ind w:right="29"/>
              <w:spacing w:after="0" w:line="160" w:lineRule="exact"/>
              <w:rPr>
                <w:sz w:val="20"/>
                <w:szCs w:val="20"/>
                <w:color w:val="auto"/>
              </w:rPr>
            </w:pPr>
            <w:r>
              <w:rPr>
                <w:rFonts w:ascii="Arial" w:cs="Arial" w:eastAsia="Arial" w:hAnsi="Arial"/>
                <w:sz w:val="14"/>
                <w:szCs w:val="14"/>
                <w:b w:val="1"/>
                <w:bCs w:val="1"/>
                <w:color w:val="FFFFFF"/>
              </w:rPr>
              <w:t>Value</w:t>
            </w:r>
          </w:p>
        </w:tc>
        <w:tc>
          <w:tcPr>
            <w:tcW w:w="720" w:type="dxa"/>
            <w:vAlign w:val="bottom"/>
            <w:tcBorders>
              <w:right w:val="single" w:sz="8" w:color="007CBA"/>
            </w:tcBorders>
            <w:shd w:val="clear" w:color="auto" w:fill="007CBA"/>
          </w:tcPr>
          <w:p>
            <w:pPr>
              <w:jc w:val="center"/>
              <w:ind w:right="29"/>
              <w:spacing w:after="0" w:line="160" w:lineRule="exact"/>
              <w:rPr>
                <w:sz w:val="20"/>
                <w:szCs w:val="20"/>
                <w:color w:val="auto"/>
              </w:rPr>
            </w:pPr>
            <w:r>
              <w:rPr>
                <w:rFonts w:ascii="Arial" w:cs="Arial" w:eastAsia="Arial" w:hAnsi="Arial"/>
                <w:sz w:val="14"/>
                <w:szCs w:val="14"/>
                <w:b w:val="1"/>
                <w:bCs w:val="1"/>
                <w:color w:val="FFFFFF"/>
              </w:rPr>
              <w:t>PSU</w:t>
            </w:r>
          </w:p>
        </w:tc>
        <w:tc>
          <w:tcPr>
            <w:tcW w:w="720" w:type="dxa"/>
            <w:vAlign w:val="bottom"/>
            <w:tcBorders>
              <w:right w:val="single" w:sz="8" w:color="007CBA"/>
            </w:tcBorders>
            <w:shd w:val="clear" w:color="auto" w:fill="007CBA"/>
          </w:tcPr>
          <w:p>
            <w:pPr>
              <w:jc w:val="center"/>
              <w:ind w:right="29"/>
              <w:spacing w:after="0" w:line="160" w:lineRule="exact"/>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ind w:left="220"/>
              <w:spacing w:after="0" w:line="160" w:lineRule="exact"/>
              <w:rPr>
                <w:sz w:val="20"/>
                <w:szCs w:val="20"/>
                <w:color w:val="auto"/>
              </w:rPr>
            </w:pPr>
            <w:r>
              <w:rPr>
                <w:rFonts w:ascii="Arial" w:cs="Arial" w:eastAsia="Arial" w:hAnsi="Arial"/>
                <w:sz w:val="14"/>
                <w:szCs w:val="14"/>
                <w:b w:val="1"/>
                <w:bCs w:val="1"/>
                <w:color w:val="FFFFFF"/>
              </w:rPr>
              <w:t>RSU</w:t>
            </w:r>
          </w:p>
        </w:tc>
        <w:tc>
          <w:tcPr>
            <w:tcW w:w="70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Value</w:t>
            </w:r>
          </w:p>
        </w:tc>
      </w:tr>
      <w:tr>
        <w:trPr>
          <w:trHeight w:val="207"/>
        </w:trPr>
        <w:tc>
          <w:tcPr>
            <w:tcW w:w="1040" w:type="dxa"/>
            <w:vAlign w:val="bottom"/>
            <w:tcBorders>
              <w:bottom w:val="single" w:sz="8" w:color="007CBA"/>
              <w:right w:val="single" w:sz="8" w:color="007CBA"/>
            </w:tcBorders>
            <w:shd w:val="clear" w:color="auto" w:fill="007CBA"/>
          </w:tcPr>
          <w:p>
            <w:pPr>
              <w:jc w:val="right"/>
              <w:ind w:right="429"/>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007CBA"/>
              <w:right w:val="single" w:sz="8" w:color="007CBA"/>
            </w:tcBorders>
            <w:shd w:val="clear" w:color="auto" w:fill="007CBA"/>
          </w:tcPr>
          <w:p>
            <w:pPr>
              <w:jc w:val="center"/>
              <w:ind w:right="49"/>
              <w:spacing w:after="0"/>
              <w:rPr>
                <w:sz w:val="20"/>
                <w:szCs w:val="20"/>
                <w:color w:val="auto"/>
              </w:rPr>
            </w:pPr>
            <w:r>
              <w:rPr>
                <w:rFonts w:ascii="Arial" w:cs="Arial" w:eastAsia="Arial" w:hAnsi="Arial"/>
                <w:sz w:val="14"/>
                <w:szCs w:val="14"/>
                <w:b w:val="1"/>
                <w:bCs w:val="1"/>
                <w:color w:val="FFFFFF"/>
                <w:w w:val="96"/>
              </w:rPr>
              <w:t>%</w:t>
            </w:r>
          </w:p>
        </w:tc>
        <w:tc>
          <w:tcPr>
            <w:tcW w:w="720" w:type="dxa"/>
            <w:vAlign w:val="bottom"/>
            <w:tcBorders>
              <w:bottom w:val="single" w:sz="8" w:color="007CBA"/>
              <w:right w:val="single" w:sz="8" w:color="007CBA"/>
            </w:tcBorders>
            <w:shd w:val="clear" w:color="auto" w:fill="007CBA"/>
          </w:tcPr>
          <w:p>
            <w:pPr>
              <w:jc w:val="center"/>
              <w:ind w:right="9"/>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007CBA"/>
              <w:right w:val="single" w:sz="8" w:color="007CBA"/>
            </w:tcBorders>
            <w:shd w:val="clear" w:color="auto" w:fill="007CBA"/>
          </w:tcPr>
          <w:p>
            <w:pPr>
              <w:jc w:val="right"/>
              <w:ind w:right="269"/>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007CBA"/>
              <w:right w:val="single" w:sz="8" w:color="007CBA"/>
            </w:tcBorders>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w w:val="76"/>
              </w:rPr>
              <w:t>$</w:t>
            </w:r>
          </w:p>
        </w:tc>
        <w:tc>
          <w:tcPr>
            <w:tcW w:w="700" w:type="dxa"/>
            <w:vAlign w:val="bottom"/>
            <w:tcBorders>
              <w:bottom w:val="single" w:sz="8" w:color="007CBA"/>
              <w:right w:val="single" w:sz="8" w:color="007CBA"/>
            </w:tcBorders>
            <w:shd w:val="clear" w:color="auto" w:fill="007CBA"/>
          </w:tcPr>
          <w:p>
            <w:pPr>
              <w:jc w:val="right"/>
              <w:ind w:right="209"/>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r>
      <w:tr>
        <w:trPr>
          <w:trHeight w:val="193"/>
        </w:trPr>
        <w:tc>
          <w:tcPr>
            <w:tcW w:w="1040" w:type="dxa"/>
            <w:vAlign w:val="bottom"/>
            <w:tcBorders>
              <w:bottom w:val="single" w:sz="8" w:color="E5F1F8"/>
              <w:right w:val="single" w:sz="8" w:color="007CBA"/>
            </w:tcBorders>
            <w:shd w:val="clear" w:color="auto" w:fill="E5F1F8"/>
          </w:tcPr>
          <w:p>
            <w:pPr>
              <w:jc w:val="right"/>
              <w:ind w:right="309"/>
              <w:spacing w:after="0"/>
              <w:rPr>
                <w:sz w:val="20"/>
                <w:szCs w:val="20"/>
                <w:color w:val="auto"/>
              </w:rPr>
            </w:pPr>
            <w:r>
              <w:rPr>
                <w:rFonts w:ascii="Arial" w:cs="Arial" w:eastAsia="Arial" w:hAnsi="Arial"/>
                <w:sz w:val="14"/>
                <w:szCs w:val="14"/>
                <w:color w:val="auto"/>
              </w:rPr>
              <w:t>150,000</w:t>
            </w:r>
          </w:p>
        </w:tc>
        <w:tc>
          <w:tcPr>
            <w:tcW w:w="720" w:type="dxa"/>
            <w:vAlign w:val="bottom"/>
            <w:tcBorders>
              <w:bottom w:val="single" w:sz="8" w:color="E5F1F8"/>
              <w:right w:val="single" w:sz="8" w:color="007CBA"/>
            </w:tcBorders>
            <w:shd w:val="clear" w:color="auto" w:fill="E5F1F8"/>
          </w:tcPr>
          <w:p>
            <w:pPr>
              <w:jc w:val="center"/>
              <w:ind w:right="89"/>
              <w:spacing w:after="0"/>
              <w:rPr>
                <w:sz w:val="20"/>
                <w:szCs w:val="20"/>
                <w:color w:val="auto"/>
              </w:rPr>
            </w:pPr>
            <w:r>
              <w:rPr>
                <w:rFonts w:ascii="Arial" w:cs="Arial" w:eastAsia="Arial" w:hAnsi="Arial"/>
                <w:sz w:val="14"/>
                <w:szCs w:val="14"/>
                <w:color w:val="auto"/>
              </w:rPr>
              <w:t>140%</w:t>
            </w:r>
          </w:p>
        </w:tc>
        <w:tc>
          <w:tcPr>
            <w:tcW w:w="720" w:type="dxa"/>
            <w:vAlign w:val="bottom"/>
            <w:tcBorders>
              <w:bottom w:val="single" w:sz="8" w:color="E5F1F8"/>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210,000</w:t>
            </w:r>
          </w:p>
        </w:tc>
        <w:tc>
          <w:tcPr>
            <w:tcW w:w="720" w:type="dxa"/>
            <w:vAlign w:val="bottom"/>
            <w:tcBorders>
              <w:bottom w:val="single" w:sz="8" w:color="E5F1F8"/>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55%</w:t>
            </w:r>
          </w:p>
        </w:tc>
        <w:tc>
          <w:tcPr>
            <w:tcW w:w="720" w:type="dxa"/>
            <w:vAlign w:val="bottom"/>
            <w:tcBorders>
              <w:bottom w:val="single" w:sz="8" w:color="E5F1F8"/>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115,500</w:t>
            </w:r>
          </w:p>
        </w:tc>
        <w:tc>
          <w:tcPr>
            <w:tcW w:w="700" w:type="dxa"/>
            <w:vAlign w:val="bottom"/>
            <w:tcBorders>
              <w:bottom w:val="single" w:sz="8" w:color="E5F1F8"/>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45%</w:t>
            </w:r>
          </w:p>
        </w:tc>
        <w:tc>
          <w:tcPr>
            <w:tcW w:w="700" w:type="dxa"/>
            <w:vAlign w:val="bottom"/>
            <w:tcBorders>
              <w:bottom w:val="single" w:sz="8" w:color="E5F1F8"/>
            </w:tcBorders>
            <w:shd w:val="clear" w:color="auto" w:fill="E5F1F8"/>
          </w:tcPr>
          <w:p>
            <w:pPr>
              <w:jc w:val="center"/>
              <w:spacing w:after="0"/>
              <w:rPr>
                <w:sz w:val="20"/>
                <w:szCs w:val="20"/>
                <w:color w:val="auto"/>
              </w:rPr>
            </w:pPr>
            <w:r>
              <w:rPr>
                <w:rFonts w:ascii="Arial" w:cs="Arial" w:eastAsia="Arial" w:hAnsi="Arial"/>
                <w:sz w:val="14"/>
                <w:szCs w:val="14"/>
                <w:color w:val="auto"/>
                <w:w w:val="97"/>
              </w:rPr>
              <w:t>94,500</w:t>
            </w:r>
          </w:p>
        </w:tc>
      </w:tr>
      <w:tr>
        <w:trPr>
          <w:trHeight w:val="20"/>
        </w:trPr>
        <w:tc>
          <w:tcPr>
            <w:tcW w:w="1040" w:type="dxa"/>
            <w:vAlign w:val="bottom"/>
            <w:tcBorders>
              <w:right w:val="single" w:sz="8" w:color="007CBA"/>
            </w:tcBorders>
            <w:shd w:val="clear" w:color="auto" w:fill="007CBA"/>
          </w:tcPr>
          <w:p>
            <w:pPr>
              <w:spacing w:after="0" w:line="20" w:lineRule="exact"/>
              <w:rPr>
                <w:sz w:val="1"/>
                <w:szCs w:val="1"/>
                <w:color w:val="auto"/>
              </w:rPr>
            </w:pPr>
          </w:p>
        </w:tc>
        <w:tc>
          <w:tcPr>
            <w:tcW w:w="720" w:type="dxa"/>
            <w:vAlign w:val="bottom"/>
            <w:tcBorders>
              <w:right w:val="single" w:sz="8" w:color="007CBA"/>
            </w:tcBorders>
            <w:shd w:val="clear" w:color="auto" w:fill="007CBA"/>
          </w:tcPr>
          <w:p>
            <w:pPr>
              <w:spacing w:after="0" w:line="20" w:lineRule="exact"/>
              <w:rPr>
                <w:sz w:val="1"/>
                <w:szCs w:val="1"/>
                <w:color w:val="auto"/>
              </w:rPr>
            </w:pPr>
          </w:p>
        </w:tc>
        <w:tc>
          <w:tcPr>
            <w:tcW w:w="720" w:type="dxa"/>
            <w:vAlign w:val="bottom"/>
            <w:tcBorders>
              <w:right w:val="single" w:sz="8" w:color="007CBA"/>
            </w:tcBorders>
            <w:shd w:val="clear" w:color="auto" w:fill="007CBA"/>
          </w:tcPr>
          <w:p>
            <w:pPr>
              <w:spacing w:after="0" w:line="20" w:lineRule="exact"/>
              <w:rPr>
                <w:sz w:val="1"/>
                <w:szCs w:val="1"/>
                <w:color w:val="auto"/>
              </w:rPr>
            </w:pPr>
          </w:p>
        </w:tc>
        <w:tc>
          <w:tcPr>
            <w:tcW w:w="720" w:type="dxa"/>
            <w:vAlign w:val="bottom"/>
            <w:tcBorders>
              <w:right w:val="single" w:sz="8" w:color="007CBA"/>
            </w:tcBorders>
            <w:shd w:val="clear" w:color="auto" w:fill="007CBA"/>
          </w:tcPr>
          <w:p>
            <w:pPr>
              <w:spacing w:after="0" w:line="20" w:lineRule="exact"/>
              <w:rPr>
                <w:sz w:val="1"/>
                <w:szCs w:val="1"/>
                <w:color w:val="auto"/>
              </w:rPr>
            </w:pPr>
          </w:p>
        </w:tc>
        <w:tc>
          <w:tcPr>
            <w:tcW w:w="720" w:type="dxa"/>
            <w:vAlign w:val="bottom"/>
            <w:tcBorders>
              <w:right w:val="single" w:sz="8" w:color="007CBA"/>
            </w:tcBorders>
            <w:shd w:val="clear" w:color="auto" w:fill="007CBA"/>
          </w:tcPr>
          <w:p>
            <w:pPr>
              <w:spacing w:after="0" w:line="20" w:lineRule="exact"/>
              <w:rPr>
                <w:sz w:val="1"/>
                <w:szCs w:val="1"/>
                <w:color w:val="auto"/>
              </w:rPr>
            </w:pPr>
          </w:p>
        </w:tc>
        <w:tc>
          <w:tcPr>
            <w:tcW w:w="700" w:type="dxa"/>
            <w:vAlign w:val="bottom"/>
            <w:tcBorders>
              <w:right w:val="single" w:sz="8" w:color="007CBA"/>
            </w:tcBorders>
            <w:shd w:val="clear" w:color="auto" w:fill="007CBA"/>
          </w:tcPr>
          <w:p>
            <w:pPr>
              <w:spacing w:after="0" w:line="20" w:lineRule="exact"/>
              <w:rPr>
                <w:sz w:val="1"/>
                <w:szCs w:val="1"/>
                <w:color w:val="auto"/>
              </w:rPr>
            </w:pPr>
          </w:p>
        </w:tc>
        <w:tc>
          <w:tcPr>
            <w:tcW w:w="700" w:type="dxa"/>
            <w:vAlign w:val="bottom"/>
            <w:shd w:val="clear" w:color="auto" w:fill="007CBA"/>
          </w:tcPr>
          <w:p>
            <w:pPr>
              <w:spacing w:after="0" w:line="20" w:lineRule="exact"/>
              <w:rPr>
                <w:sz w:val="1"/>
                <w:szCs w:val="1"/>
                <w:color w:val="auto"/>
              </w:rPr>
            </w:pPr>
          </w:p>
        </w:tc>
      </w:tr>
    </w:tbl>
    <w:p>
      <w:pPr>
        <w:spacing w:after="0" w:line="291" w:lineRule="exact"/>
        <w:rPr>
          <w:sz w:val="20"/>
          <w:szCs w:val="20"/>
          <w:color w:val="auto"/>
        </w:rPr>
      </w:pPr>
    </w:p>
    <w:p>
      <w:pPr>
        <w:ind w:left="3"/>
        <w:spacing w:after="0"/>
        <w:rPr>
          <w:sz w:val="20"/>
          <w:szCs w:val="20"/>
          <w:color w:val="auto"/>
        </w:rPr>
      </w:pPr>
      <w:r>
        <w:rPr>
          <w:rFonts w:ascii="Arial" w:cs="Arial" w:eastAsia="Arial" w:hAnsi="Arial"/>
          <w:sz w:val="25"/>
          <w:szCs w:val="25"/>
          <w:b w:val="1"/>
          <w:bCs w:val="1"/>
          <w:color w:val="007CBA"/>
        </w:rPr>
        <w:t>PSU Awards (55% of LTI Award)</w:t>
      </w:r>
    </w:p>
    <w:p>
      <w:pPr>
        <w:spacing w:after="0" w:line="143" w:lineRule="exact"/>
        <w:rPr>
          <w:sz w:val="20"/>
          <w:szCs w:val="20"/>
          <w:color w:val="auto"/>
        </w:rPr>
      </w:pPr>
    </w:p>
    <w:p>
      <w:pPr>
        <w:jc w:val="both"/>
        <w:ind w:left="3"/>
        <w:spacing w:after="0" w:line="247" w:lineRule="auto"/>
        <w:rPr>
          <w:sz w:val="20"/>
          <w:szCs w:val="20"/>
          <w:color w:val="auto"/>
        </w:rPr>
      </w:pPr>
      <w:r>
        <w:rPr>
          <w:rFonts w:ascii="Arial" w:cs="Arial" w:eastAsia="Arial" w:hAnsi="Arial"/>
          <w:sz w:val="16"/>
          <w:szCs w:val="16"/>
          <w:color w:val="auto"/>
        </w:rPr>
        <w:t>One of our compensation objectives is to align the potential rewards to senior management with increases in shareholder value. In that regard, the PSUs give the recipient the opportunity to receive Martin Marietta common stock if specific performance goals are achieved, consisting of:</w:t>
      </w:r>
    </w:p>
    <w:p>
      <w:pPr>
        <w:spacing w:after="0" w:line="109" w:lineRule="exact"/>
        <w:rPr>
          <w:sz w:val="20"/>
          <w:szCs w:val="20"/>
          <w:color w:val="auto"/>
        </w:rPr>
      </w:pPr>
    </w:p>
    <w:p>
      <w:pPr>
        <w:jc w:val="both"/>
        <w:ind w:left="323" w:right="20" w:hanging="323"/>
        <w:spacing w:after="0" w:line="249" w:lineRule="auto"/>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Earnings before Interest, Income Taxes, Depreciation and Amortization (EBITDA), measuring profitability and comprising 67% of the total target award, and</w:t>
      </w:r>
    </w:p>
    <w:p>
      <w:pPr>
        <w:spacing w:after="0" w:line="107" w:lineRule="exact"/>
        <w:rPr>
          <w:rFonts w:ascii="Arial" w:cs="Arial" w:eastAsia="Arial" w:hAnsi="Arial"/>
          <w:sz w:val="16"/>
          <w:szCs w:val="16"/>
          <w:color w:val="auto"/>
        </w:rPr>
      </w:pPr>
    </w:p>
    <w:p>
      <w:pPr>
        <w:ind w:left="323" w:right="20" w:hanging="323"/>
        <w:spacing w:after="0" w:line="254" w:lineRule="auto"/>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Sales Growth, measuring growth and comprising 33% of the total target award.</w:t>
      </w:r>
    </w:p>
    <w:p>
      <w:pPr>
        <w:spacing w:after="0" w:line="103" w:lineRule="exact"/>
        <w:rPr>
          <w:rFonts w:ascii="Arial" w:cs="Arial" w:eastAsia="Arial" w:hAnsi="Arial"/>
          <w:sz w:val="16"/>
          <w:szCs w:val="16"/>
          <w:color w:val="auto"/>
        </w:rPr>
      </w:pPr>
    </w:p>
    <w:p>
      <w:pPr>
        <w:jc w:val="both"/>
        <w:ind w:left="323" w:right="20" w:hanging="323"/>
        <w:spacing w:after="0" w:line="247" w:lineRule="auto"/>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addition, relative Total Shareholder Return (rTSR) will act as a modifier for the performance such that Martin Marietta’s performance will be measured against the S&amp;P 500, and will modify the total award by a range of -20% to +20%.</w:t>
      </w:r>
    </w:p>
    <w:p>
      <w:pPr>
        <w:spacing w:after="0" w:line="162" w:lineRule="exact"/>
        <w:rPr>
          <w:sz w:val="20"/>
          <w:szCs w:val="20"/>
          <w:color w:val="auto"/>
        </w:rPr>
      </w:pPr>
    </w:p>
    <w:p>
      <w:pPr>
        <w:jc w:val="both"/>
        <w:ind w:left="3" w:right="20"/>
        <w:spacing w:after="0" w:line="254" w:lineRule="auto"/>
        <w:rPr>
          <w:sz w:val="20"/>
          <w:szCs w:val="20"/>
          <w:color w:val="auto"/>
        </w:rPr>
      </w:pPr>
      <w:r>
        <w:rPr>
          <w:rFonts w:ascii="Arial" w:cs="Arial" w:eastAsia="Arial" w:hAnsi="Arial"/>
          <w:sz w:val="16"/>
          <w:szCs w:val="16"/>
          <w:color w:val="auto"/>
        </w:rPr>
        <w:t>The following table summarizes the weighting of our PSU performance measures:</w:t>
      </w:r>
    </w:p>
    <w:p>
      <w:pPr>
        <w:spacing w:after="0" w:line="222" w:lineRule="exact"/>
        <w:rPr>
          <w:sz w:val="20"/>
          <w:szCs w:val="20"/>
          <w:color w:val="auto"/>
        </w:rPr>
      </w:pPr>
    </w:p>
    <w:tbl>
      <w:tblPr>
        <w:tblLayout w:type="fixed"/>
        <w:tblInd w:w="3" w:type="dxa"/>
        <w:tblCellMar>
          <w:top w:w="0" w:type="dxa"/>
          <w:left w:w="0" w:type="dxa"/>
          <w:bottom w:w="0" w:type="dxa"/>
          <w:right w:w="0" w:type="dxa"/>
        </w:tblCellMar>
      </w:tblPr>
      <w:tr>
        <w:trPr>
          <w:trHeight w:val="173"/>
        </w:trPr>
        <w:tc>
          <w:tcPr>
            <w:tcW w:w="1780" w:type="dxa"/>
            <w:vAlign w:val="bottom"/>
            <w:tcBorders>
              <w:right w:val="single" w:sz="8" w:color="007CBA"/>
            </w:tcBorders>
            <w:shd w:val="clear" w:color="auto" w:fill="007CBA"/>
          </w:tcPr>
          <w:p>
            <w:pPr>
              <w:jc w:val="center"/>
              <w:ind w:right="109"/>
              <w:spacing w:after="0"/>
              <w:rPr>
                <w:sz w:val="20"/>
                <w:szCs w:val="20"/>
                <w:color w:val="auto"/>
              </w:rPr>
            </w:pPr>
            <w:r>
              <w:rPr>
                <w:rFonts w:ascii="Arial" w:cs="Arial" w:eastAsia="Arial" w:hAnsi="Arial"/>
                <w:sz w:val="14"/>
                <w:szCs w:val="14"/>
                <w:b w:val="1"/>
                <w:bCs w:val="1"/>
                <w:color w:val="FFFFFF"/>
              </w:rPr>
              <w:t>Cumulative</w:t>
            </w:r>
          </w:p>
        </w:tc>
        <w:tc>
          <w:tcPr>
            <w:tcW w:w="1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Cumulative</w:t>
            </w:r>
          </w:p>
        </w:tc>
        <w:tc>
          <w:tcPr>
            <w:tcW w:w="17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Relative TSR</w:t>
            </w:r>
          </w:p>
        </w:tc>
      </w:tr>
      <w:tr>
        <w:trPr>
          <w:trHeight w:val="207"/>
        </w:trPr>
        <w:tc>
          <w:tcPr>
            <w:tcW w:w="1780" w:type="dxa"/>
            <w:vAlign w:val="bottom"/>
            <w:tcBorders>
              <w:bottom w:val="single" w:sz="8" w:color="007CBA"/>
              <w:right w:val="single" w:sz="8" w:color="007CBA"/>
            </w:tcBorders>
            <w:shd w:val="clear" w:color="auto" w:fill="007CBA"/>
          </w:tcPr>
          <w:p>
            <w:pPr>
              <w:jc w:val="center"/>
              <w:ind w:right="69"/>
              <w:spacing w:after="0"/>
              <w:rPr>
                <w:sz w:val="20"/>
                <w:szCs w:val="20"/>
                <w:color w:val="auto"/>
              </w:rPr>
            </w:pPr>
            <w:r>
              <w:rPr>
                <w:rFonts w:ascii="Arial" w:cs="Arial" w:eastAsia="Arial" w:hAnsi="Arial"/>
                <w:sz w:val="14"/>
                <w:szCs w:val="14"/>
                <w:b w:val="1"/>
                <w:bCs w:val="1"/>
                <w:color w:val="FFFFFF"/>
                <w:w w:val="99"/>
              </w:rPr>
              <w:t>EBITDA</w:t>
            </w:r>
          </w:p>
        </w:tc>
        <w:tc>
          <w:tcPr>
            <w:tcW w:w="1800" w:type="dxa"/>
            <w:vAlign w:val="bottom"/>
            <w:tcBorders>
              <w:bottom w:val="single" w:sz="8" w:color="007CBA"/>
              <w:right w:val="single" w:sz="8" w:color="007CBA"/>
            </w:tcBorders>
            <w:shd w:val="clear" w:color="auto" w:fill="007CBA"/>
          </w:tcPr>
          <w:p>
            <w:pPr>
              <w:ind w:left="400"/>
              <w:spacing w:after="0"/>
              <w:rPr>
                <w:sz w:val="20"/>
                <w:szCs w:val="20"/>
                <w:color w:val="auto"/>
              </w:rPr>
            </w:pPr>
            <w:r>
              <w:rPr>
                <w:rFonts w:ascii="Arial" w:cs="Arial" w:eastAsia="Arial" w:hAnsi="Arial"/>
                <w:sz w:val="14"/>
                <w:szCs w:val="14"/>
                <w:b w:val="1"/>
                <w:bCs w:val="1"/>
                <w:color w:val="FFFFFF"/>
              </w:rPr>
              <w:t>Sales Growth</w:t>
            </w:r>
          </w:p>
        </w:tc>
        <w:tc>
          <w:tcPr>
            <w:tcW w:w="174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Modifier</w:t>
            </w:r>
          </w:p>
        </w:tc>
      </w:tr>
      <w:tr>
        <w:trPr>
          <w:trHeight w:val="193"/>
        </w:trPr>
        <w:tc>
          <w:tcPr>
            <w:tcW w:w="1780" w:type="dxa"/>
            <w:vAlign w:val="bottom"/>
            <w:tcBorders>
              <w:bottom w:val="single" w:sz="8" w:color="E5F1F8"/>
              <w:right w:val="single" w:sz="8" w:color="007CBA"/>
            </w:tcBorders>
            <w:shd w:val="clear" w:color="auto" w:fill="E5F1F8"/>
          </w:tcPr>
          <w:p>
            <w:pPr>
              <w:jc w:val="right"/>
              <w:ind w:right="709"/>
              <w:spacing w:after="0"/>
              <w:rPr>
                <w:sz w:val="20"/>
                <w:szCs w:val="20"/>
                <w:color w:val="auto"/>
              </w:rPr>
            </w:pPr>
            <w:r>
              <w:rPr>
                <w:rFonts w:ascii="Arial" w:cs="Arial" w:eastAsia="Arial" w:hAnsi="Arial"/>
                <w:sz w:val="14"/>
                <w:szCs w:val="14"/>
                <w:color w:val="auto"/>
              </w:rPr>
              <w:t>67%</w:t>
            </w:r>
          </w:p>
        </w:tc>
        <w:tc>
          <w:tcPr>
            <w:tcW w:w="1800" w:type="dxa"/>
            <w:vAlign w:val="bottom"/>
            <w:tcBorders>
              <w:bottom w:val="single" w:sz="8" w:color="E5F1F8"/>
              <w:right w:val="single" w:sz="8" w:color="007CBA"/>
            </w:tcBorders>
            <w:shd w:val="clear" w:color="auto" w:fill="E5F1F8"/>
          </w:tcPr>
          <w:p>
            <w:pPr>
              <w:jc w:val="right"/>
              <w:ind w:right="669"/>
              <w:spacing w:after="0"/>
              <w:rPr>
                <w:sz w:val="20"/>
                <w:szCs w:val="20"/>
                <w:color w:val="auto"/>
              </w:rPr>
            </w:pPr>
            <w:r>
              <w:rPr>
                <w:rFonts w:ascii="Arial" w:cs="Arial" w:eastAsia="Arial" w:hAnsi="Arial"/>
                <w:sz w:val="14"/>
                <w:szCs w:val="14"/>
                <w:color w:val="auto"/>
              </w:rPr>
              <w:t>33%</w:t>
            </w:r>
          </w:p>
        </w:tc>
        <w:tc>
          <w:tcPr>
            <w:tcW w:w="1740" w:type="dxa"/>
            <w:vAlign w:val="bottom"/>
            <w:tcBorders>
              <w:bottom w:val="single" w:sz="8" w:color="E5F1F8"/>
            </w:tcBorders>
            <w:shd w:val="clear" w:color="auto" w:fill="E5F1F8"/>
          </w:tcPr>
          <w:p>
            <w:pPr>
              <w:jc w:val="center"/>
              <w:spacing w:after="0"/>
              <w:rPr>
                <w:sz w:val="20"/>
                <w:szCs w:val="20"/>
                <w:color w:val="auto"/>
              </w:rPr>
            </w:pPr>
            <w:r>
              <w:rPr>
                <w:rFonts w:ascii="Arial" w:cs="Arial" w:eastAsia="Arial" w:hAnsi="Arial"/>
                <w:sz w:val="14"/>
                <w:szCs w:val="14"/>
                <w:color w:val="auto"/>
              </w:rPr>
              <w:t>+/- 20%</w:t>
            </w:r>
          </w:p>
        </w:tc>
      </w:tr>
      <w:tr>
        <w:trPr>
          <w:trHeight w:val="20"/>
        </w:trPr>
        <w:tc>
          <w:tcPr>
            <w:tcW w:w="1780" w:type="dxa"/>
            <w:vAlign w:val="bottom"/>
            <w:tcBorders>
              <w:right w:val="single" w:sz="8" w:color="007CBA"/>
            </w:tcBorders>
            <w:shd w:val="clear" w:color="auto" w:fill="007CBA"/>
          </w:tcPr>
          <w:p>
            <w:pPr>
              <w:spacing w:after="0" w:line="20" w:lineRule="exact"/>
              <w:rPr>
                <w:sz w:val="1"/>
                <w:szCs w:val="1"/>
                <w:color w:val="auto"/>
              </w:rPr>
            </w:pPr>
          </w:p>
        </w:tc>
        <w:tc>
          <w:tcPr>
            <w:tcW w:w="1800" w:type="dxa"/>
            <w:vAlign w:val="bottom"/>
            <w:tcBorders>
              <w:right w:val="single" w:sz="8" w:color="007CBA"/>
            </w:tcBorders>
            <w:shd w:val="clear" w:color="auto" w:fill="007CBA"/>
          </w:tcPr>
          <w:p>
            <w:pPr>
              <w:spacing w:after="0" w:line="20" w:lineRule="exact"/>
              <w:rPr>
                <w:sz w:val="1"/>
                <w:szCs w:val="1"/>
                <w:color w:val="auto"/>
              </w:rPr>
            </w:pPr>
          </w:p>
        </w:tc>
        <w:tc>
          <w:tcPr>
            <w:tcW w:w="1740" w:type="dxa"/>
            <w:vAlign w:val="bottom"/>
            <w:shd w:val="clear" w:color="auto" w:fill="007CBA"/>
          </w:tcPr>
          <w:p>
            <w:pPr>
              <w:spacing w:after="0" w:line="20" w:lineRule="exact"/>
              <w:rPr>
                <w:sz w:val="1"/>
                <w:szCs w:val="1"/>
                <w:color w:val="auto"/>
              </w:rPr>
            </w:pPr>
          </w:p>
        </w:tc>
      </w:tr>
    </w:tbl>
    <w:p>
      <w:pPr>
        <w:spacing w:after="0" w:line="175" w:lineRule="exact"/>
        <w:rPr>
          <w:sz w:val="20"/>
          <w:szCs w:val="20"/>
          <w:color w:val="auto"/>
        </w:rPr>
      </w:pPr>
    </w:p>
    <w:p>
      <w:pPr>
        <w:jc w:val="both"/>
        <w:ind w:left="3"/>
        <w:spacing w:after="0" w:line="244" w:lineRule="auto"/>
        <w:rPr>
          <w:sz w:val="20"/>
          <w:szCs w:val="20"/>
          <w:color w:val="auto"/>
        </w:rPr>
      </w:pPr>
      <w:r>
        <w:rPr>
          <w:rFonts w:ascii="Arial" w:cs="Arial" w:eastAsia="Arial" w:hAnsi="Arial"/>
          <w:sz w:val="16"/>
          <w:szCs w:val="16"/>
          <w:color w:val="auto"/>
        </w:rPr>
        <w:t>EBITDA and Sales Growth are two of the drivers of our performance and metrics of significance to our investors. The total payout opportunity for PSUs in 2019 was 0% to 240%: 50% of target if the threshold level is satisfied, 100% of target if the target level is satisfied, and 200% of target if the maximum level is satisfied. The rTSR modifier over the three-year measurement period is then applied to the final award to adjust it up or down by up to 20%. The threshold must be satisfied to receive PSUs for each performance metric. If the threshold is not met, none of the PSUs relating to that metric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182245</wp:posOffset>
            </wp:positionV>
            <wp:extent cx="406400" cy="2451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7"/>
            <w:col w:w="5323"/>
          </w:cols>
          <w:pgMar w:left="320" w:top="455" w:right="519" w:bottom="1440" w:gutter="0" w:footer="0" w:header="0"/>
          <w:type w:val="continuous"/>
        </w:sectPr>
      </w:pPr>
    </w:p>
    <w:p>
      <w:pPr>
        <w:spacing w:after="0" w:line="121" w:lineRule="exact"/>
        <w:rPr>
          <w:sz w:val="20"/>
          <w:szCs w:val="20"/>
          <w:color w:val="auto"/>
        </w:rPr>
      </w:pPr>
    </w:p>
    <w:p>
      <w:pPr>
        <w:ind w:left="620" w:hanging="433"/>
        <w:spacing w:after="0"/>
        <w:tabs>
          <w:tab w:leader="none" w:pos="620" w:val="left"/>
        </w:tabs>
        <w:numPr>
          <w:ilvl w:val="0"/>
          <w:numId w:val="109"/>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PSU Awards (55% of LTI Award)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ectPr>
          <w:pgSz w:w="11900" w:h="16838" w:orient="portrait"/>
          <w:cols w:equalWidth="0" w:num="1">
            <w:col w:w="11060"/>
          </w:cols>
          <w:pgMar w:left="320" w:top="455" w:right="519" w:bottom="1440" w:gutter="0" w:footer="0" w:header="0"/>
        </w:sectPr>
      </w:pPr>
    </w:p>
    <w:p>
      <w:pPr>
        <w:spacing w:after="0" w:line="28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Performance for each metric is measured independently, so PSUs can be earned as long as the threshold is satisfied for at least one metric. The “Target” level is generally viewed as achievable although it has not been achieved every year. The “Maximum” level is a stretch that is attainable if we outperform in the area measured. PSU payments are capped at the target level if three-year TSR is negative.</w:t>
      </w:r>
    </w:p>
    <w:p>
      <w:pPr>
        <w:spacing w:after="0" w:line="392"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The performance will be measured in February 2022 for the three-year period beginning January 2019 through December 2021 to determine</w:t>
      </w:r>
    </w:p>
    <w:p>
      <w:pPr>
        <w:spacing w:after="0" w:line="1" w:lineRule="exact"/>
        <w:rPr>
          <w:sz w:val="20"/>
          <w:szCs w:val="20"/>
          <w:color w:val="auto"/>
        </w:rPr>
      </w:pPr>
    </w:p>
    <w:p>
      <w:pPr>
        <w:jc w:val="both"/>
        <w:ind w:left="200" w:hanging="7"/>
        <w:spacing w:after="0" w:line="244" w:lineRule="auto"/>
        <w:tabs>
          <w:tab w:leader="none" w:pos="47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three-year cumulative EBITDA for Martin Marietta against the target identified in the PSU Award Agreement, and (2) the three-year cumulative Sales Growth against the target identified in the PSU Award Agreement. The payment amount will be further modified by the rTSR for the three-year period as against the S&amp;P 500, as set forth in the PSU Award Agreement. The Committee in its discretion may adjust the final award values only as set forth in the Agreement, either collectively or on an individual basis, in recognition of factors that are unusual or nonrecurring.</w:t>
      </w:r>
    </w:p>
    <w:p>
      <w:pPr>
        <w:spacing w:after="0" w:line="169"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Over the three-year performance period, up to one-third of the target PSUs may be earned each year based on one-third of the three-year cumulative EBITDA and Sales Growth goals. Each year, any earned PSUs are not distributed until the end of the three-year measurement period when the cumulative three-year performance is determined. The actual PSUs will equal the greater of the total PSUs earned for each of the annual periods (capped at 100% of the annual target, that is, one-third of the cumulative target) or the amount earned for cumulative three-year performance (capped at 200% of target). The final amount of earned PSUs to be distributed are then subject to the three-year rTSR modifier.</w:t>
      </w:r>
    </w:p>
    <w:p>
      <w:pPr>
        <w:spacing w:after="0" w:line="209"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PSUs will convert to unrestricted common stock and be distributed conditioned upon and to the extent that the performance goals have been met, which will be determined in February 2022. These awards are also generally subject to continued employment through the date the PSUs vest. The actual financial performance targets and achievement against those targets will be disclosed at the end of the three-year performance period.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Selection of Relative TSR</w:t>
      </w:r>
    </w:p>
    <w:p>
      <w:pPr>
        <w:spacing w:after="0" w:line="143"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We selected rTSR for the PSUs to measure our performance against the companies in the S&amp;P 500 index. We recognize that every industry faces different challenges and opportunities, and that the S&amp;P 500 index does not perfectly correlate to the environment in which Martin Marietta operates. However, we believe that the majority of our closest competitors are not publicly-held companies or are not U.S. companies, and therefore accurate information to potentially use as comparisons is not readily available. As a result, we believe that comparing</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TSR against the S&amp;P 500 index is appropriate because (1) it measures the interest of investors for whom we compete, (2) there is no consensus of a significantly better peer group with readily available comparable financial information; and (3) by using rTSR as a modifier rather than a primary measurement, we give our other performance measures more weight and their focus on profitability and growth both provide long-term value creation.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believe that EBITDA, Sales Growth and rTSR metrics drive the behaviors of our management team in ways that are intended to create the most value for our shareholders.</w:t>
      </w:r>
    </w:p>
    <w:p>
      <w:pPr>
        <w:spacing w:after="0" w:line="277" w:lineRule="exact"/>
        <w:rPr>
          <w:sz w:val="20"/>
          <w:szCs w:val="20"/>
          <w:color w:val="auto"/>
        </w:rPr>
      </w:pPr>
    </w:p>
    <w:p>
      <w:pPr>
        <w:ind w:right="40"/>
        <w:spacing w:after="0" w:line="279" w:lineRule="auto"/>
        <w:rPr>
          <w:sz w:val="20"/>
          <w:szCs w:val="20"/>
          <w:color w:val="auto"/>
        </w:rPr>
      </w:pPr>
      <w:r>
        <w:rPr>
          <w:rFonts w:ascii="Arial" w:cs="Arial" w:eastAsia="Arial" w:hAnsi="Arial"/>
          <w:sz w:val="25"/>
          <w:szCs w:val="25"/>
          <w:b w:val="1"/>
          <w:bCs w:val="1"/>
          <w:color w:val="007CBA"/>
        </w:rPr>
        <w:t>Performance-Based RSU Awards (45% of LTI Award)</w:t>
      </w:r>
    </w:p>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RSUs vest in three equal portions, each on the anniversary of the grant date (February 20, 2019) over a period of three years, subject to satisfaction of the performance measure and generally to continued employment through each one of those anniversaries. Once the restricted period ends (each anniversary for one third of the total RSU award), the recipient will be issued unrestricted shares of common stock (minus applicable taxes). The 2019 RSUs awarded to executive officers are also subject to a performance measure that a stated level of EBITDA be achieved during the first year. If the performance measure is satisfied, then the RSUs will continue to vest. If the performance measure is not satisfied, then the RSUs will be forfeited. For the 2019 grants, the performance measure was satisfied.</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2019-2021 Performance Goals</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setting minimum and maximum levels of payment, we reviewed historical levels of performance against our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specific EBITDA and Sales Growth target values for the 2019-2021 PSUs are not publicly disclosed at the time of grant due to the proprietary nature and competitive sensitivity of the information. However, the method used to calculate the awards will be based on actual performance compared to our 2019-2021 targets, with straight-line interpolation between points. The individual award agreements require the adjustment of goals to ensure that the ultimate payouts are not impacted to the benefit or detriment of management by specified events, such as unplanned pension contributions, changes in accounting (GAAP) standards or impact of an acquisition or divestiture. The Committee may exercise its discretion to reduce the final vesting percentage to no more than target if the Company’s three-year TSR is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181610</wp:posOffset>
            </wp:positionV>
            <wp:extent cx="406400" cy="2451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86"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49</w:t>
            </w:r>
          </w:p>
        </w:tc>
      </w:tr>
    </w:tbl>
    <w:p>
      <w:pPr>
        <w:sectPr>
          <w:pgSz w:w="11900" w:h="16838" w:orient="portrait"/>
          <w:cols w:equalWidth="0" w:num="2">
            <w:col w:w="5400" w:space="340"/>
            <w:col w:w="5320"/>
          </w:cols>
          <w:pgMar w:left="320" w:top="455" w:right="51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tbl>
      <w:tblPr>
        <w:tblLayout w:type="fixed"/>
        <w:tblInd w:w="180" w:type="dxa"/>
        <w:tblCellMar>
          <w:top w:w="0" w:type="dxa"/>
          <w:left w:w="0" w:type="dxa"/>
          <w:bottom w:w="0" w:type="dxa"/>
          <w:right w:w="0" w:type="dxa"/>
        </w:tblCellMar>
      </w:tblPr>
      <w:tr>
        <w:trPr>
          <w:trHeight w:val="391"/>
        </w:trPr>
        <w:tc>
          <w:tcPr>
            <w:tcW w:w="6440" w:type="dxa"/>
            <w:vAlign w:val="bottom"/>
            <w:gridSpan w:val="2"/>
          </w:tcPr>
          <w:p>
            <w:pPr>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2019-2021 Performance Goals</w:t>
            </w:r>
          </w:p>
        </w:tc>
        <w:tc>
          <w:tcPr>
            <w:tcW w:w="2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06"/>
        </w:trPr>
        <w:tc>
          <w:tcPr>
            <w:tcW w:w="8660" w:type="dxa"/>
            <w:vAlign w:val="bottom"/>
            <w:gridSpan w:val="3"/>
          </w:tcPr>
          <w:p>
            <w:pPr>
              <w:spacing w:after="0"/>
              <w:rPr>
                <w:sz w:val="20"/>
                <w:szCs w:val="20"/>
                <w:color w:val="auto"/>
              </w:rPr>
            </w:pPr>
            <w:r>
              <w:rPr>
                <w:rFonts w:ascii="Arial" w:cs="Arial" w:eastAsia="Arial" w:hAnsi="Arial"/>
                <w:sz w:val="16"/>
                <w:szCs w:val="16"/>
                <w:color w:val="auto"/>
              </w:rPr>
              <w:t>The following table provides a summary of the long-term incentives that each of the NEOs received in 2019.</w:t>
            </w:r>
          </w:p>
        </w:tc>
        <w:tc>
          <w:tcPr>
            <w:tcW w:w="22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420" w:type="dxa"/>
            <w:vAlign w:val="bottom"/>
            <w:tcBorders>
              <w:right w:val="single" w:sz="8" w:color="007CBA"/>
            </w:tcBorders>
            <w:shd w:val="clear" w:color="auto" w:fill="007CBA"/>
          </w:tcPr>
          <w:p>
            <w:pPr>
              <w:spacing w:after="0"/>
              <w:rPr>
                <w:sz w:val="16"/>
                <w:szCs w:val="16"/>
                <w:color w:val="auto"/>
              </w:rPr>
            </w:pP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RSUs</w:t>
            </w:r>
          </w:p>
        </w:tc>
        <w:tc>
          <w:tcPr>
            <w:tcW w:w="2220" w:type="dxa"/>
            <w:vAlign w:val="bottom"/>
            <w:shd w:val="clear" w:color="auto" w:fill="007CBA"/>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420" w:type="dxa"/>
            <w:vAlign w:val="bottom"/>
            <w:tcBorders>
              <w:right w:val="single" w:sz="8" w:color="007CBA"/>
            </w:tcBorders>
            <w:shd w:val="clear" w:color="auto" w:fill="007CBA"/>
          </w:tcPr>
          <w:p>
            <w:pPr>
              <w:spacing w:after="0"/>
              <w:rPr>
                <w:sz w:val="16"/>
                <w:szCs w:val="16"/>
                <w:color w:val="auto"/>
              </w:rPr>
            </w:pP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(3 year annual</w:t>
            </w:r>
          </w:p>
        </w:tc>
        <w:tc>
          <w:tcPr>
            <w:tcW w:w="222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PSUs – Target</w:t>
            </w:r>
          </w:p>
        </w:tc>
      </w:tr>
      <w:tr>
        <w:trPr>
          <w:trHeight w:val="187"/>
        </w:trPr>
        <w:tc>
          <w:tcPr>
            <w:tcW w:w="20" w:type="dxa"/>
            <w:vAlign w:val="bottom"/>
          </w:tcPr>
          <w:p>
            <w:pPr>
              <w:spacing w:after="0"/>
              <w:rPr>
                <w:sz w:val="16"/>
                <w:szCs w:val="16"/>
                <w:color w:val="auto"/>
              </w:rPr>
            </w:pPr>
          </w:p>
        </w:tc>
        <w:tc>
          <w:tcPr>
            <w:tcW w:w="6420" w:type="dxa"/>
            <w:vAlign w:val="bottom"/>
            <w:tcBorders>
              <w:right w:val="single" w:sz="8" w:color="007CBA"/>
            </w:tcBorders>
            <w:shd w:val="clear" w:color="auto" w:fill="007CBA"/>
          </w:tcPr>
          <w:p>
            <w:pPr>
              <w:spacing w:after="0"/>
              <w:rPr>
                <w:sz w:val="16"/>
                <w:szCs w:val="16"/>
                <w:color w:val="auto"/>
              </w:rPr>
            </w:pP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installment vesting</w:t>
            </w:r>
          </w:p>
        </w:tc>
        <w:tc>
          <w:tcPr>
            <w:tcW w:w="222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(3 year cliff vesting</w:t>
            </w:r>
          </w:p>
        </w:tc>
      </w:tr>
      <w:tr>
        <w:trPr>
          <w:trHeight w:val="187"/>
        </w:trPr>
        <w:tc>
          <w:tcPr>
            <w:tcW w:w="20" w:type="dxa"/>
            <w:vAlign w:val="bottom"/>
          </w:tcPr>
          <w:p>
            <w:pPr>
              <w:spacing w:after="0"/>
              <w:rPr>
                <w:sz w:val="16"/>
                <w:szCs w:val="16"/>
                <w:color w:val="auto"/>
              </w:rPr>
            </w:pPr>
          </w:p>
        </w:tc>
        <w:tc>
          <w:tcPr>
            <w:tcW w:w="6420" w:type="dxa"/>
            <w:vAlign w:val="bottom"/>
            <w:tcBorders>
              <w:right w:val="single" w:sz="8" w:color="007CBA"/>
            </w:tcBorders>
            <w:shd w:val="clear" w:color="auto" w:fill="007CBA"/>
          </w:tcPr>
          <w:p>
            <w:pPr>
              <w:spacing w:after="0"/>
              <w:rPr>
                <w:sz w:val="16"/>
                <w:szCs w:val="16"/>
                <w:color w:val="auto"/>
              </w:rPr>
            </w:pP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subject to achievement</w:t>
            </w:r>
          </w:p>
        </w:tc>
        <w:tc>
          <w:tcPr>
            <w:tcW w:w="222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subject to achievement</w:t>
            </w:r>
          </w:p>
        </w:tc>
      </w:tr>
      <w:tr>
        <w:trPr>
          <w:trHeight w:val="187"/>
        </w:trPr>
        <w:tc>
          <w:tcPr>
            <w:tcW w:w="20" w:type="dxa"/>
            <w:vAlign w:val="bottom"/>
          </w:tcPr>
          <w:p>
            <w:pPr>
              <w:spacing w:after="0"/>
              <w:rPr>
                <w:sz w:val="16"/>
                <w:szCs w:val="16"/>
                <w:color w:val="auto"/>
              </w:rPr>
            </w:pPr>
          </w:p>
        </w:tc>
        <w:tc>
          <w:tcPr>
            <w:tcW w:w="6420" w:type="dxa"/>
            <w:vAlign w:val="bottom"/>
            <w:tcBorders>
              <w:right w:val="single" w:sz="8" w:color="007CBA"/>
            </w:tcBorders>
            <w:shd w:val="clear" w:color="auto" w:fill="007CBA"/>
          </w:tcPr>
          <w:p>
            <w:pPr>
              <w:spacing w:after="0"/>
              <w:rPr>
                <w:sz w:val="16"/>
                <w:szCs w:val="16"/>
                <w:color w:val="auto"/>
              </w:rPr>
            </w:pP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of performance</w:t>
            </w:r>
          </w:p>
        </w:tc>
        <w:tc>
          <w:tcPr>
            <w:tcW w:w="222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of performance</w:t>
            </w:r>
          </w:p>
        </w:tc>
      </w:tr>
      <w:tr>
        <w:trPr>
          <w:trHeight w:val="187"/>
        </w:trPr>
        <w:tc>
          <w:tcPr>
            <w:tcW w:w="20" w:type="dxa"/>
            <w:vAlign w:val="bottom"/>
          </w:tcPr>
          <w:p>
            <w:pPr>
              <w:spacing w:after="0"/>
              <w:rPr>
                <w:sz w:val="16"/>
                <w:szCs w:val="16"/>
                <w:color w:val="auto"/>
              </w:rPr>
            </w:pPr>
          </w:p>
        </w:tc>
        <w:tc>
          <w:tcPr>
            <w:tcW w:w="6420" w:type="dxa"/>
            <w:vAlign w:val="bottom"/>
            <w:tcBorders>
              <w:right w:val="single" w:sz="8" w:color="007CBA"/>
            </w:tcBorders>
            <w:shd w:val="clear" w:color="auto" w:fill="007CBA"/>
          </w:tcPr>
          <w:p>
            <w:pPr>
              <w:spacing w:after="0"/>
              <w:rPr>
                <w:sz w:val="16"/>
                <w:szCs w:val="16"/>
                <w:color w:val="auto"/>
              </w:rPr>
            </w:pP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measure)</w:t>
            </w:r>
          </w:p>
        </w:tc>
        <w:tc>
          <w:tcPr>
            <w:tcW w:w="222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measures)</w:t>
            </w:r>
          </w:p>
        </w:tc>
      </w:tr>
      <w:tr>
        <w:trPr>
          <w:trHeight w:val="218"/>
        </w:trPr>
        <w:tc>
          <w:tcPr>
            <w:tcW w:w="20" w:type="dxa"/>
            <w:vAlign w:val="bottom"/>
          </w:tcPr>
          <w:p>
            <w:pPr>
              <w:spacing w:after="0"/>
              <w:rPr>
                <w:sz w:val="18"/>
                <w:szCs w:val="18"/>
                <w:color w:val="auto"/>
              </w:rPr>
            </w:pPr>
          </w:p>
        </w:tc>
        <w:tc>
          <w:tcPr>
            <w:tcW w:w="64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2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 of shares)</w:t>
            </w:r>
          </w:p>
        </w:tc>
        <w:tc>
          <w:tcPr>
            <w:tcW w:w="222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 of shares)</w:t>
            </w:r>
          </w:p>
        </w:tc>
      </w:tr>
      <w:tr>
        <w:trPr>
          <w:trHeight w:val="260"/>
        </w:trPr>
        <w:tc>
          <w:tcPr>
            <w:tcW w:w="20" w:type="dxa"/>
            <w:vAlign w:val="bottom"/>
          </w:tcPr>
          <w:p>
            <w:pPr>
              <w:spacing w:after="0"/>
              <w:rPr>
                <w:sz w:val="22"/>
                <w:szCs w:val="22"/>
                <w:color w:val="auto"/>
              </w:rPr>
            </w:pPr>
          </w:p>
        </w:tc>
        <w:tc>
          <w:tcPr>
            <w:tcW w:w="64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C. Howard Nye</w:t>
            </w:r>
          </w:p>
        </w:tc>
        <w:tc>
          <w:tcPr>
            <w:tcW w:w="2220" w:type="dxa"/>
            <w:vAlign w:val="bottom"/>
            <w:tcBorders>
              <w:bottom w:val="single" w:sz="8" w:color="E5F1F8"/>
              <w:right w:val="single" w:sz="8" w:color="007CBA"/>
            </w:tcBorders>
            <w:shd w:val="clear" w:color="auto" w:fill="E5F1F8"/>
          </w:tcPr>
          <w:p>
            <w:pPr>
              <w:jc w:val="right"/>
              <w:ind w:right="758"/>
              <w:spacing w:after="0"/>
              <w:rPr>
                <w:sz w:val="20"/>
                <w:szCs w:val="20"/>
                <w:color w:val="auto"/>
              </w:rPr>
            </w:pPr>
            <w:r>
              <w:rPr>
                <w:rFonts w:ascii="Arial" w:cs="Arial" w:eastAsia="Arial" w:hAnsi="Arial"/>
                <w:sz w:val="17"/>
                <w:szCs w:val="17"/>
                <w:color w:val="auto"/>
              </w:rPr>
              <w:t>11,318</w:t>
            </w:r>
          </w:p>
        </w:tc>
        <w:tc>
          <w:tcPr>
            <w:tcW w:w="2220" w:type="dxa"/>
            <w:vAlign w:val="bottom"/>
            <w:tcBorders>
              <w:bottom w:val="single" w:sz="8" w:color="E5F1F8"/>
            </w:tcBorders>
            <w:shd w:val="clear" w:color="auto" w:fill="E5F1F8"/>
          </w:tcPr>
          <w:p>
            <w:pPr>
              <w:jc w:val="right"/>
              <w:ind w:right="738"/>
              <w:spacing w:after="0"/>
              <w:rPr>
                <w:sz w:val="20"/>
                <w:szCs w:val="20"/>
                <w:color w:val="auto"/>
              </w:rPr>
            </w:pPr>
            <w:r>
              <w:rPr>
                <w:rFonts w:ascii="Arial" w:cs="Arial" w:eastAsia="Arial" w:hAnsi="Arial"/>
                <w:sz w:val="17"/>
                <w:szCs w:val="17"/>
                <w:color w:val="auto"/>
              </w:rPr>
              <w:t>13,175</w:t>
            </w:r>
          </w:p>
        </w:tc>
      </w:tr>
      <w:tr>
        <w:trPr>
          <w:trHeight w:val="250"/>
        </w:trPr>
        <w:tc>
          <w:tcPr>
            <w:tcW w:w="20" w:type="dxa"/>
            <w:vAlign w:val="bottom"/>
          </w:tcPr>
          <w:p>
            <w:pPr>
              <w:spacing w:after="0"/>
              <w:rPr>
                <w:sz w:val="21"/>
                <w:szCs w:val="21"/>
                <w:color w:val="auto"/>
              </w:rPr>
            </w:pPr>
          </w:p>
        </w:tc>
        <w:tc>
          <w:tcPr>
            <w:tcW w:w="642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James A. J. Nickolas</w:t>
            </w:r>
          </w:p>
        </w:tc>
        <w:tc>
          <w:tcPr>
            <w:tcW w:w="2220" w:type="dxa"/>
            <w:vAlign w:val="bottom"/>
            <w:tcBorders>
              <w:right w:val="single" w:sz="8" w:color="007CBA"/>
            </w:tcBorders>
          </w:tcPr>
          <w:p>
            <w:pPr>
              <w:jc w:val="right"/>
              <w:ind w:right="758"/>
              <w:spacing w:after="0"/>
              <w:rPr>
                <w:sz w:val="20"/>
                <w:szCs w:val="20"/>
                <w:color w:val="auto"/>
              </w:rPr>
            </w:pPr>
            <w:r>
              <w:rPr>
                <w:rFonts w:ascii="Arial" w:cs="Arial" w:eastAsia="Arial" w:hAnsi="Arial"/>
                <w:sz w:val="17"/>
                <w:szCs w:val="17"/>
                <w:color w:val="auto"/>
              </w:rPr>
              <w:t>2,261</w:t>
            </w:r>
          </w:p>
        </w:tc>
        <w:tc>
          <w:tcPr>
            <w:tcW w:w="2220" w:type="dxa"/>
            <w:vAlign w:val="bottom"/>
          </w:tcPr>
          <w:p>
            <w:pPr>
              <w:jc w:val="right"/>
              <w:ind w:right="738"/>
              <w:spacing w:after="0"/>
              <w:rPr>
                <w:sz w:val="20"/>
                <w:szCs w:val="20"/>
                <w:color w:val="auto"/>
              </w:rPr>
            </w:pPr>
            <w:r>
              <w:rPr>
                <w:rFonts w:ascii="Arial" w:cs="Arial" w:eastAsia="Arial" w:hAnsi="Arial"/>
                <w:sz w:val="17"/>
                <w:szCs w:val="17"/>
                <w:color w:val="auto"/>
              </w:rPr>
              <w:t>2,632</w:t>
            </w:r>
          </w:p>
        </w:tc>
      </w:tr>
      <w:tr>
        <w:trPr>
          <w:trHeight w:val="43"/>
        </w:trPr>
        <w:tc>
          <w:tcPr>
            <w:tcW w:w="20" w:type="dxa"/>
            <w:vAlign w:val="bottom"/>
          </w:tcPr>
          <w:p>
            <w:pPr>
              <w:spacing w:after="0"/>
              <w:rPr>
                <w:sz w:val="3"/>
                <w:szCs w:val="3"/>
                <w:color w:val="auto"/>
              </w:rPr>
            </w:pPr>
          </w:p>
        </w:tc>
        <w:tc>
          <w:tcPr>
            <w:tcW w:w="6420" w:type="dxa"/>
            <w:vAlign w:val="bottom"/>
            <w:tcBorders>
              <w:right w:val="single" w:sz="8" w:color="007CBA"/>
            </w:tcBorders>
          </w:tcPr>
          <w:p>
            <w:pPr>
              <w:spacing w:after="0"/>
              <w:rPr>
                <w:sz w:val="3"/>
                <w:szCs w:val="3"/>
                <w:color w:val="auto"/>
              </w:rPr>
            </w:pPr>
          </w:p>
        </w:tc>
        <w:tc>
          <w:tcPr>
            <w:tcW w:w="2220" w:type="dxa"/>
            <w:vAlign w:val="bottom"/>
            <w:tcBorders>
              <w:right w:val="single" w:sz="8" w:color="007CBA"/>
            </w:tcBorders>
          </w:tcPr>
          <w:p>
            <w:pPr>
              <w:spacing w:after="0"/>
              <w:rPr>
                <w:sz w:val="3"/>
                <w:szCs w:val="3"/>
                <w:color w:val="auto"/>
              </w:rPr>
            </w:pPr>
          </w:p>
        </w:tc>
        <w:tc>
          <w:tcPr>
            <w:tcW w:w="22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64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Roselyn R. Bar</w:t>
            </w:r>
          </w:p>
        </w:tc>
        <w:tc>
          <w:tcPr>
            <w:tcW w:w="2220" w:type="dxa"/>
            <w:vAlign w:val="bottom"/>
            <w:tcBorders>
              <w:bottom w:val="single" w:sz="8" w:color="E5F1F8"/>
              <w:right w:val="single" w:sz="8" w:color="007CBA"/>
            </w:tcBorders>
            <w:shd w:val="clear" w:color="auto" w:fill="E5F1F8"/>
          </w:tcPr>
          <w:p>
            <w:pPr>
              <w:jc w:val="right"/>
              <w:ind w:right="758"/>
              <w:spacing w:after="0"/>
              <w:rPr>
                <w:sz w:val="20"/>
                <w:szCs w:val="20"/>
                <w:color w:val="auto"/>
              </w:rPr>
            </w:pPr>
            <w:r>
              <w:rPr>
                <w:rFonts w:ascii="Arial" w:cs="Arial" w:eastAsia="Arial" w:hAnsi="Arial"/>
                <w:sz w:val="17"/>
                <w:szCs w:val="17"/>
                <w:color w:val="auto"/>
              </w:rPr>
              <w:t>2,455</w:t>
            </w:r>
          </w:p>
        </w:tc>
        <w:tc>
          <w:tcPr>
            <w:tcW w:w="2220" w:type="dxa"/>
            <w:vAlign w:val="bottom"/>
            <w:tcBorders>
              <w:bottom w:val="single" w:sz="8" w:color="E5F1F8"/>
            </w:tcBorders>
            <w:shd w:val="clear" w:color="auto" w:fill="E5F1F8"/>
          </w:tcPr>
          <w:p>
            <w:pPr>
              <w:jc w:val="right"/>
              <w:ind w:right="738"/>
              <w:spacing w:after="0"/>
              <w:rPr>
                <w:sz w:val="20"/>
                <w:szCs w:val="20"/>
                <w:color w:val="auto"/>
              </w:rPr>
            </w:pPr>
            <w:r>
              <w:rPr>
                <w:rFonts w:ascii="Arial" w:cs="Arial" w:eastAsia="Arial" w:hAnsi="Arial"/>
                <w:sz w:val="17"/>
                <w:szCs w:val="17"/>
                <w:color w:val="auto"/>
              </w:rPr>
              <w:t>2,857</w:t>
            </w:r>
          </w:p>
        </w:tc>
      </w:tr>
      <w:tr>
        <w:trPr>
          <w:trHeight w:val="250"/>
        </w:trPr>
        <w:tc>
          <w:tcPr>
            <w:tcW w:w="20" w:type="dxa"/>
            <w:vAlign w:val="bottom"/>
          </w:tcPr>
          <w:p>
            <w:pPr>
              <w:spacing w:after="0"/>
              <w:rPr>
                <w:sz w:val="21"/>
                <w:szCs w:val="21"/>
                <w:color w:val="auto"/>
              </w:rPr>
            </w:pPr>
          </w:p>
        </w:tc>
        <w:tc>
          <w:tcPr>
            <w:tcW w:w="642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Craig M. LaTorre</w:t>
            </w:r>
          </w:p>
        </w:tc>
        <w:tc>
          <w:tcPr>
            <w:tcW w:w="2220" w:type="dxa"/>
            <w:vAlign w:val="bottom"/>
            <w:tcBorders>
              <w:right w:val="single" w:sz="8" w:color="007CBA"/>
            </w:tcBorders>
          </w:tcPr>
          <w:p>
            <w:pPr>
              <w:jc w:val="right"/>
              <w:ind w:right="758"/>
              <w:spacing w:after="0"/>
              <w:rPr>
                <w:sz w:val="20"/>
                <w:szCs w:val="20"/>
                <w:color w:val="auto"/>
              </w:rPr>
            </w:pPr>
            <w:r>
              <w:rPr>
                <w:rFonts w:ascii="Arial" w:cs="Arial" w:eastAsia="Arial" w:hAnsi="Arial"/>
                <w:sz w:val="17"/>
                <w:szCs w:val="17"/>
                <w:color w:val="auto"/>
              </w:rPr>
              <w:t>2,188</w:t>
            </w:r>
          </w:p>
        </w:tc>
        <w:tc>
          <w:tcPr>
            <w:tcW w:w="2220" w:type="dxa"/>
            <w:vAlign w:val="bottom"/>
          </w:tcPr>
          <w:p>
            <w:pPr>
              <w:jc w:val="right"/>
              <w:ind w:right="738"/>
              <w:spacing w:after="0"/>
              <w:rPr>
                <w:sz w:val="20"/>
                <w:szCs w:val="20"/>
                <w:color w:val="auto"/>
              </w:rPr>
            </w:pPr>
            <w:r>
              <w:rPr>
                <w:rFonts w:ascii="Arial" w:cs="Arial" w:eastAsia="Arial" w:hAnsi="Arial"/>
                <w:sz w:val="17"/>
                <w:szCs w:val="17"/>
                <w:color w:val="auto"/>
              </w:rPr>
              <w:t>1,042</w:t>
            </w:r>
          </w:p>
        </w:tc>
      </w:tr>
      <w:tr>
        <w:trPr>
          <w:trHeight w:val="43"/>
        </w:trPr>
        <w:tc>
          <w:tcPr>
            <w:tcW w:w="20" w:type="dxa"/>
            <w:vAlign w:val="bottom"/>
          </w:tcPr>
          <w:p>
            <w:pPr>
              <w:spacing w:after="0"/>
              <w:rPr>
                <w:sz w:val="3"/>
                <w:szCs w:val="3"/>
                <w:color w:val="auto"/>
              </w:rPr>
            </w:pPr>
          </w:p>
        </w:tc>
        <w:tc>
          <w:tcPr>
            <w:tcW w:w="6420" w:type="dxa"/>
            <w:vAlign w:val="bottom"/>
            <w:tcBorders>
              <w:right w:val="single" w:sz="8" w:color="007CBA"/>
            </w:tcBorders>
          </w:tcPr>
          <w:p>
            <w:pPr>
              <w:spacing w:after="0"/>
              <w:rPr>
                <w:sz w:val="3"/>
                <w:szCs w:val="3"/>
                <w:color w:val="auto"/>
              </w:rPr>
            </w:pPr>
          </w:p>
        </w:tc>
        <w:tc>
          <w:tcPr>
            <w:tcW w:w="2220" w:type="dxa"/>
            <w:vAlign w:val="bottom"/>
            <w:tcBorders>
              <w:right w:val="single" w:sz="8" w:color="007CBA"/>
            </w:tcBorders>
          </w:tcPr>
          <w:p>
            <w:pPr>
              <w:spacing w:after="0"/>
              <w:rPr>
                <w:sz w:val="3"/>
                <w:szCs w:val="3"/>
                <w:color w:val="auto"/>
              </w:rPr>
            </w:pPr>
          </w:p>
        </w:tc>
        <w:tc>
          <w:tcPr>
            <w:tcW w:w="2220" w:type="dxa"/>
            <w:vAlign w:val="bottom"/>
          </w:tcPr>
          <w:p>
            <w:pPr>
              <w:spacing w:after="0"/>
              <w:rPr>
                <w:sz w:val="3"/>
                <w:szCs w:val="3"/>
                <w:color w:val="auto"/>
              </w:rPr>
            </w:pPr>
          </w:p>
        </w:tc>
      </w:tr>
      <w:tr>
        <w:trPr>
          <w:trHeight w:val="260"/>
        </w:trPr>
        <w:tc>
          <w:tcPr>
            <w:tcW w:w="20" w:type="dxa"/>
            <w:vAlign w:val="bottom"/>
          </w:tcPr>
          <w:p>
            <w:pPr>
              <w:spacing w:after="0"/>
              <w:rPr>
                <w:sz w:val="22"/>
                <w:szCs w:val="22"/>
                <w:color w:val="auto"/>
              </w:rPr>
            </w:pPr>
          </w:p>
        </w:tc>
        <w:tc>
          <w:tcPr>
            <w:tcW w:w="64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Daniel L. Grant</w:t>
            </w:r>
          </w:p>
        </w:tc>
        <w:tc>
          <w:tcPr>
            <w:tcW w:w="2220" w:type="dxa"/>
            <w:vAlign w:val="bottom"/>
            <w:tcBorders>
              <w:bottom w:val="single" w:sz="8" w:color="E5F1F8"/>
              <w:right w:val="single" w:sz="8" w:color="007CBA"/>
            </w:tcBorders>
            <w:shd w:val="clear" w:color="auto" w:fill="E5F1F8"/>
          </w:tcPr>
          <w:p>
            <w:pPr>
              <w:jc w:val="right"/>
              <w:ind w:right="758"/>
              <w:spacing w:after="0"/>
              <w:rPr>
                <w:sz w:val="20"/>
                <w:szCs w:val="20"/>
                <w:color w:val="auto"/>
              </w:rPr>
            </w:pPr>
            <w:r>
              <w:rPr>
                <w:rFonts w:ascii="Arial" w:cs="Arial" w:eastAsia="Arial" w:hAnsi="Arial"/>
                <w:sz w:val="17"/>
                <w:szCs w:val="17"/>
                <w:color w:val="auto"/>
              </w:rPr>
              <w:t>1,269</w:t>
            </w:r>
          </w:p>
        </w:tc>
        <w:tc>
          <w:tcPr>
            <w:tcW w:w="2220" w:type="dxa"/>
            <w:vAlign w:val="bottom"/>
            <w:tcBorders>
              <w:bottom w:val="single" w:sz="8" w:color="E5F1F8"/>
            </w:tcBorders>
            <w:shd w:val="clear" w:color="auto" w:fill="E5F1F8"/>
          </w:tcPr>
          <w:p>
            <w:pPr>
              <w:jc w:val="right"/>
              <w:ind w:right="738"/>
              <w:spacing w:after="0"/>
              <w:rPr>
                <w:sz w:val="20"/>
                <w:szCs w:val="20"/>
                <w:color w:val="auto"/>
              </w:rPr>
            </w:pPr>
            <w:r>
              <w:rPr>
                <w:rFonts w:ascii="Arial" w:cs="Arial" w:eastAsia="Arial" w:hAnsi="Arial"/>
                <w:sz w:val="17"/>
                <w:szCs w:val="17"/>
                <w:color w:val="auto"/>
              </w:rPr>
              <w:t>1,477</w:t>
            </w:r>
          </w:p>
        </w:tc>
      </w:tr>
      <w:tr>
        <w:trPr>
          <w:trHeight w:val="20"/>
        </w:trPr>
        <w:tc>
          <w:tcPr>
            <w:tcW w:w="20" w:type="dxa"/>
            <w:vAlign w:val="bottom"/>
          </w:tcPr>
          <w:p>
            <w:pPr>
              <w:spacing w:after="0" w:line="20" w:lineRule="exact"/>
              <w:rPr>
                <w:sz w:val="1"/>
                <w:szCs w:val="1"/>
                <w:color w:val="auto"/>
              </w:rPr>
            </w:pPr>
          </w:p>
        </w:tc>
        <w:tc>
          <w:tcPr>
            <w:tcW w:w="6420" w:type="dxa"/>
            <w:vAlign w:val="bottom"/>
            <w:tcBorders>
              <w:right w:val="single" w:sz="8" w:color="007CBA"/>
            </w:tcBorders>
            <w:shd w:val="clear" w:color="auto" w:fill="007CBA"/>
          </w:tcPr>
          <w:p>
            <w:pPr>
              <w:spacing w:after="0" w:line="20" w:lineRule="exact"/>
              <w:rPr>
                <w:sz w:val="1"/>
                <w:szCs w:val="1"/>
                <w:color w:val="auto"/>
              </w:rPr>
            </w:pPr>
          </w:p>
        </w:tc>
        <w:tc>
          <w:tcPr>
            <w:tcW w:w="2220" w:type="dxa"/>
            <w:vAlign w:val="bottom"/>
            <w:tcBorders>
              <w:right w:val="single" w:sz="8" w:color="007CBA"/>
            </w:tcBorders>
            <w:shd w:val="clear" w:color="auto" w:fill="007CBA"/>
          </w:tcPr>
          <w:p>
            <w:pPr>
              <w:spacing w:after="0" w:line="20" w:lineRule="exact"/>
              <w:rPr>
                <w:sz w:val="1"/>
                <w:szCs w:val="1"/>
                <w:color w:val="auto"/>
              </w:rPr>
            </w:pPr>
          </w:p>
        </w:tc>
        <w:tc>
          <w:tcPr>
            <w:tcW w:w="2220" w:type="dxa"/>
            <w:vAlign w:val="bottom"/>
            <w:shd w:val="clear" w:color="auto" w:fill="007CBA"/>
          </w:tcPr>
          <w:p>
            <w:pPr>
              <w:spacing w:after="0" w:line="20" w:lineRule="exact"/>
              <w:rPr>
                <w:sz w:val="1"/>
                <w:szCs w:val="1"/>
                <w:color w:val="auto"/>
              </w:rPr>
            </w:pPr>
          </w:p>
        </w:tc>
      </w:tr>
    </w:tbl>
    <w:p>
      <w:pPr>
        <w:spacing w:after="0" w:line="215"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In setting performance goals for the three-year PSUs awarded in 2019, the Committee considered various factors in choosing the metrics and establishing the goals, including:</w:t>
      </w:r>
    </w:p>
    <w:p>
      <w:pPr>
        <w:spacing w:after="0" w:line="64" w:lineRule="exact"/>
        <w:rPr>
          <w:sz w:val="20"/>
          <w:szCs w:val="20"/>
          <w:color w:val="auto"/>
        </w:rPr>
      </w:pPr>
    </w:p>
    <w:p>
      <w:pPr>
        <w:ind w:left="620" w:hanging="327"/>
        <w:spacing w:after="0"/>
        <w:tabs>
          <w:tab w:leader="none" w:pos="62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The metrics reflect drivers of our performance and we believe are important to our investors.</w:t>
      </w:r>
    </w:p>
    <w:p>
      <w:pPr>
        <w:spacing w:after="0" w:line="82" w:lineRule="exact"/>
        <w:rPr>
          <w:rFonts w:ascii="Arial" w:cs="Arial" w:eastAsia="Arial" w:hAnsi="Arial"/>
          <w:sz w:val="16"/>
          <w:szCs w:val="16"/>
          <w:color w:val="007CBA"/>
        </w:rPr>
      </w:pPr>
    </w:p>
    <w:p>
      <w:pPr>
        <w:ind w:left="620" w:hanging="327"/>
        <w:spacing w:after="0"/>
        <w:tabs>
          <w:tab w:leader="none" w:pos="62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The goals are consistent with our business plan and positive over prior year.</w:t>
      </w:r>
    </w:p>
    <w:p>
      <w:pPr>
        <w:spacing w:after="0" w:line="82" w:lineRule="exact"/>
        <w:rPr>
          <w:rFonts w:ascii="Arial" w:cs="Arial" w:eastAsia="Arial" w:hAnsi="Arial"/>
          <w:sz w:val="16"/>
          <w:szCs w:val="16"/>
          <w:color w:val="007CBA"/>
        </w:rPr>
      </w:pPr>
    </w:p>
    <w:p>
      <w:pPr>
        <w:ind w:left="620" w:hanging="327"/>
        <w:spacing w:after="0"/>
        <w:tabs>
          <w:tab w:leader="none" w:pos="62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We have a history of setting challenging target and maximum goals.</w:t>
      </w:r>
    </w:p>
    <w:p>
      <w:pPr>
        <w:spacing w:after="0" w:line="269"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In addition, we have looked at the alignment of our payouts with the Company’s performance, including TSR, and found that pay and performance are aligned.</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2019 Performance Goals and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163195</wp:posOffset>
            </wp:positionV>
            <wp:extent cx="6913880" cy="12014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13880" cy="120142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270" w:lineRule="exact"/>
        <w:rPr>
          <w:sz w:val="20"/>
          <w:szCs w:val="20"/>
          <w:color w:val="auto"/>
        </w:rPr>
      </w:pPr>
    </w:p>
    <w:p>
      <w:pPr>
        <w:ind w:left="680" w:right="360" w:hanging="49"/>
        <w:spacing w:after="0" w:line="271" w:lineRule="auto"/>
        <w:rPr>
          <w:sz w:val="20"/>
          <w:szCs w:val="20"/>
          <w:color w:val="auto"/>
        </w:rPr>
      </w:pPr>
      <w:r>
        <w:rPr>
          <w:rFonts w:ascii="Arial" w:cs="Arial" w:eastAsia="Arial" w:hAnsi="Arial"/>
          <w:sz w:val="14"/>
          <w:szCs w:val="14"/>
          <w:b w:val="1"/>
          <w:bCs w:val="1"/>
          <w:color w:val="FFFFFF"/>
        </w:rPr>
        <w:t>Relative TSR (Modifier +/- 20%)* TSR</w:t>
      </w:r>
    </w:p>
    <w:p>
      <w:pPr>
        <w:ind w:left="480"/>
        <w:spacing w:after="0"/>
        <w:tabs>
          <w:tab w:leader="none" w:pos="1980" w:val="left"/>
        </w:tabs>
        <w:rPr>
          <w:sz w:val="20"/>
          <w:szCs w:val="20"/>
          <w:color w:val="auto"/>
        </w:rPr>
      </w:pPr>
      <w:r>
        <w:rPr>
          <w:rFonts w:ascii="Arial" w:cs="Arial" w:eastAsia="Arial" w:hAnsi="Arial"/>
          <w:sz w:val="14"/>
          <w:szCs w:val="14"/>
          <w:b w:val="1"/>
          <w:bCs w:val="1"/>
          <w:color w:val="FFFFFF"/>
        </w:rPr>
        <w:t>Percentile</w:t>
      </w:r>
      <w:r>
        <w:rPr>
          <w:sz w:val="20"/>
          <w:szCs w:val="20"/>
          <w:color w:val="auto"/>
        </w:rPr>
        <w:tab/>
      </w:r>
      <w:r>
        <w:rPr>
          <w:rFonts w:ascii="Arial" w:cs="Arial" w:eastAsia="Arial" w:hAnsi="Arial"/>
          <w:sz w:val="14"/>
          <w:szCs w:val="14"/>
          <w:b w:val="1"/>
          <w:bCs w:val="1"/>
          <w:color w:val="FFFFFF"/>
        </w:rPr>
        <w:t>Payout</w:t>
      </w:r>
    </w:p>
    <w:p>
      <w:pPr>
        <w:ind w:left="380"/>
        <w:spacing w:after="0"/>
        <w:tabs>
          <w:tab w:leader="none" w:pos="2000" w:val="left"/>
        </w:tabs>
        <w:rPr>
          <w:sz w:val="20"/>
          <w:szCs w:val="20"/>
          <w:color w:val="auto"/>
        </w:rPr>
      </w:pPr>
      <w:r>
        <w:rPr>
          <w:rFonts w:ascii="Arial" w:cs="Arial" w:eastAsia="Arial" w:hAnsi="Arial"/>
          <w:sz w:val="14"/>
          <w:szCs w:val="14"/>
          <w:b w:val="1"/>
          <w:bCs w:val="1"/>
          <w:color w:val="FFFFFF"/>
        </w:rPr>
        <w:t>Achievement</w:t>
      </w:r>
      <w:r>
        <w:rPr>
          <w:sz w:val="20"/>
          <w:szCs w:val="20"/>
          <w:color w:val="auto"/>
        </w:rPr>
        <w:tab/>
      </w:r>
      <w:r>
        <w:rPr>
          <w:rFonts w:ascii="Arial" w:cs="Arial" w:eastAsia="Arial" w:hAnsi="Arial"/>
          <w:sz w:val="14"/>
          <w:szCs w:val="14"/>
          <w:b w:val="1"/>
          <w:bCs w:val="1"/>
          <w:color w:val="FFFFFF"/>
        </w:rPr>
        <w:t>Factor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FFFFFF"/>
        </w:rPr>
        <w:t>EBITDA (67%)***</w:t>
      </w:r>
    </w:p>
    <w:p>
      <w:pPr>
        <w:spacing w:after="0" w:line="186"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4"/>
          <w:szCs w:val="14"/>
          <w:b w:val="1"/>
          <w:bCs w:val="1"/>
          <w:color w:val="FFFFFF"/>
        </w:rPr>
        <w:t>EBITDA</w:t>
      </w:r>
      <w:r>
        <w:rPr>
          <w:sz w:val="20"/>
          <w:szCs w:val="20"/>
          <w:color w:val="auto"/>
        </w:rPr>
        <w:tab/>
      </w:r>
      <w:r>
        <w:rPr>
          <w:rFonts w:ascii="Arial" w:cs="Arial" w:eastAsia="Arial" w:hAnsi="Arial"/>
          <w:sz w:val="14"/>
          <w:szCs w:val="14"/>
          <w:b w:val="1"/>
          <w:bCs w:val="1"/>
          <w:color w:val="FFFFFF"/>
        </w:rPr>
        <w:t>Payout</w:t>
      </w:r>
    </w:p>
    <w:p>
      <w:pPr>
        <w:spacing w:after="0" w:line="17"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FFFFFF"/>
        </w:rPr>
        <w:t>Achievement</w:t>
      </w:r>
      <w:r>
        <w:rPr>
          <w:sz w:val="20"/>
          <w:szCs w:val="20"/>
          <w:color w:val="auto"/>
        </w:rPr>
        <w:tab/>
      </w:r>
      <w:r>
        <w:rPr>
          <w:rFonts w:ascii="Arial" w:cs="Arial" w:eastAsia="Arial" w:hAnsi="Arial"/>
          <w:sz w:val="14"/>
          <w:szCs w:val="14"/>
          <w:b w:val="1"/>
          <w:bCs w:val="1"/>
          <w:color w:val="FFFFFF"/>
        </w:rPr>
        <w:t>Factor**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FFFFFF"/>
        </w:rPr>
        <w:t>Sales Growth (33%)</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Sales</w:t>
      </w:r>
    </w:p>
    <w:p>
      <w:pPr>
        <w:spacing w:after="0" w:line="14" w:lineRule="exact"/>
        <w:rPr>
          <w:sz w:val="20"/>
          <w:szCs w:val="20"/>
          <w:color w:val="auto"/>
        </w:rPr>
      </w:pPr>
    </w:p>
    <w:p>
      <w:pPr>
        <w:ind w:left="180"/>
        <w:spacing w:after="0"/>
        <w:tabs>
          <w:tab w:leader="none" w:pos="1980" w:val="left"/>
        </w:tabs>
        <w:rPr>
          <w:sz w:val="20"/>
          <w:szCs w:val="20"/>
          <w:color w:val="auto"/>
        </w:rPr>
      </w:pPr>
      <w:r>
        <w:rPr>
          <w:rFonts w:ascii="Arial" w:cs="Arial" w:eastAsia="Arial" w:hAnsi="Arial"/>
          <w:sz w:val="14"/>
          <w:szCs w:val="14"/>
          <w:b w:val="1"/>
          <w:bCs w:val="1"/>
          <w:color w:val="FFFFFF"/>
        </w:rPr>
        <w:t>Growth</w:t>
      </w:r>
      <w:r>
        <w:rPr>
          <w:sz w:val="20"/>
          <w:szCs w:val="20"/>
          <w:color w:val="auto"/>
        </w:rPr>
        <w:tab/>
      </w:r>
      <w:r>
        <w:rPr>
          <w:rFonts w:ascii="Arial" w:cs="Arial" w:eastAsia="Arial" w:hAnsi="Arial"/>
          <w:sz w:val="14"/>
          <w:szCs w:val="14"/>
          <w:b w:val="1"/>
          <w:bCs w:val="1"/>
          <w:color w:val="FFFFFF"/>
        </w:rPr>
        <w:t>Payout</w:t>
      </w:r>
    </w:p>
    <w:p>
      <w:pPr>
        <w:spacing w:after="0"/>
        <w:tabs>
          <w:tab w:leader="none" w:pos="1940" w:val="left"/>
        </w:tabs>
        <w:rPr>
          <w:sz w:val="20"/>
          <w:szCs w:val="20"/>
          <w:color w:val="auto"/>
        </w:rPr>
      </w:pPr>
      <w:r>
        <w:rPr>
          <w:rFonts w:ascii="Arial" w:cs="Arial" w:eastAsia="Arial" w:hAnsi="Arial"/>
          <w:sz w:val="14"/>
          <w:szCs w:val="14"/>
          <w:b w:val="1"/>
          <w:bCs w:val="1"/>
          <w:color w:val="FFFFFF"/>
        </w:rPr>
        <w:t>Achievement</w:t>
      </w:r>
      <w:r>
        <w:rPr>
          <w:sz w:val="20"/>
          <w:szCs w:val="20"/>
          <w:color w:val="auto"/>
        </w:rPr>
        <w:tab/>
      </w:r>
      <w:r>
        <w:rPr>
          <w:rFonts w:ascii="Arial" w:cs="Arial" w:eastAsia="Arial" w:hAnsi="Arial"/>
          <w:sz w:val="14"/>
          <w:szCs w:val="14"/>
          <w:b w:val="1"/>
          <w:bCs w:val="1"/>
          <w:color w:val="FFFFFF"/>
        </w:rPr>
        <w:t>Factor**</w:t>
      </w:r>
    </w:p>
    <w:p>
      <w:pPr>
        <w:spacing w:after="0" w:line="1" w:lineRule="exact"/>
        <w:rPr>
          <w:sz w:val="20"/>
          <w:szCs w:val="20"/>
          <w:color w:val="auto"/>
        </w:rPr>
      </w:pPr>
    </w:p>
    <w:p>
      <w:pPr>
        <w:sectPr>
          <w:pgSz w:w="11900" w:h="16838" w:orient="portrait"/>
          <w:cols w:equalWidth="0" w:num="3">
            <w:col w:w="3140" w:space="720"/>
            <w:col w:w="3420" w:space="720"/>
            <w:col w:w="3060"/>
          </w:cols>
          <w:pgMar w:left="320" w:top="455" w:right="519" w:bottom="1440" w:gutter="0" w:footer="0" w:header="0"/>
          <w:type w:val="continuous"/>
        </w:sectPr>
      </w:pPr>
    </w:p>
    <w:tbl>
      <w:tblPr>
        <w:tblLayout w:type="fixed"/>
        <w:tblInd w:w="200" w:type="dxa"/>
        <w:tblCellMar>
          <w:top w:w="0" w:type="dxa"/>
          <w:left w:w="0" w:type="dxa"/>
          <w:bottom w:w="0" w:type="dxa"/>
          <w:right w:w="0" w:type="dxa"/>
        </w:tblCellMar>
      </w:tblPr>
      <w:tr>
        <w:trPr>
          <w:trHeight w:val="287"/>
        </w:trPr>
        <w:tc>
          <w:tcPr>
            <w:tcW w:w="1140" w:type="dxa"/>
            <w:vAlign w:val="bottom"/>
            <w:tcBorders>
              <w:right w:val="single" w:sz="8" w:color="007CBA"/>
            </w:tcBorders>
            <w:shd w:val="clear" w:color="auto" w:fill="E5F1F8"/>
          </w:tcPr>
          <w:p>
            <w:pPr>
              <w:jc w:val="right"/>
              <w:ind w:right="340"/>
              <w:spacing w:after="0" w:line="288" w:lineRule="exact"/>
              <w:rPr>
                <w:sz w:val="20"/>
                <w:szCs w:val="20"/>
                <w:color w:val="auto"/>
              </w:rPr>
            </w:pPr>
            <w:r>
              <w:rPr>
                <w:rFonts w:ascii="Arial" w:cs="Arial" w:eastAsia="Arial" w:hAnsi="Arial"/>
                <w:sz w:val="16"/>
                <w:szCs w:val="16"/>
                <w:color w:val="auto"/>
              </w:rPr>
              <w:t>³ 75</w:t>
            </w:r>
            <w:r>
              <w:rPr>
                <w:rFonts w:ascii="Arial" w:cs="Arial" w:eastAsia="Arial" w:hAnsi="Arial"/>
                <w:sz w:val="27"/>
                <w:szCs w:val="27"/>
                <w:color w:val="auto"/>
                <w:vertAlign w:val="superscript"/>
              </w:rPr>
              <w:t>th</w:t>
            </w:r>
          </w:p>
        </w:tc>
        <w:tc>
          <w:tcPr>
            <w:tcW w:w="1740" w:type="dxa"/>
            <w:vAlign w:val="bottom"/>
            <w:shd w:val="clear" w:color="auto" w:fill="E5F1F8"/>
          </w:tcPr>
          <w:p>
            <w:pPr>
              <w:jc w:val="center"/>
              <w:spacing w:after="0"/>
              <w:rPr>
                <w:sz w:val="20"/>
                <w:szCs w:val="20"/>
                <w:color w:val="auto"/>
              </w:rPr>
            </w:pPr>
            <w:r>
              <w:rPr>
                <w:rFonts w:ascii="Arial" w:cs="Arial" w:eastAsia="Arial" w:hAnsi="Arial"/>
                <w:sz w:val="16"/>
                <w:szCs w:val="16"/>
                <w:color w:val="auto"/>
              </w:rPr>
              <w:t>+20% (Maximum)</w:t>
            </w:r>
          </w:p>
        </w:tc>
      </w:tr>
      <w:tr>
        <w:trPr>
          <w:trHeight w:val="333"/>
        </w:trPr>
        <w:tc>
          <w:tcPr>
            <w:tcW w:w="1140" w:type="dxa"/>
            <w:vAlign w:val="bottom"/>
            <w:tcBorders>
              <w:right w:val="single" w:sz="8" w:color="007CBA"/>
            </w:tcBorders>
          </w:tcPr>
          <w:p>
            <w:pPr>
              <w:jc w:val="right"/>
              <w:ind w:right="320"/>
              <w:spacing w:after="0"/>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th</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0% adjustment (Target)</w:t>
            </w:r>
          </w:p>
        </w:tc>
      </w:tr>
      <w:tr>
        <w:trPr>
          <w:trHeight w:val="518"/>
        </w:trPr>
        <w:tc>
          <w:tcPr>
            <w:tcW w:w="1140" w:type="dxa"/>
            <w:vAlign w:val="bottom"/>
            <w:tcBorders>
              <w:right w:val="single" w:sz="8" w:color="007CBA"/>
            </w:tcBorders>
            <w:shd w:val="clear" w:color="auto" w:fill="E5F1F8"/>
          </w:tcPr>
          <w:p>
            <w:pPr>
              <w:jc w:val="right"/>
              <w:ind w:right="320"/>
              <w:spacing w:after="0"/>
              <w:rPr>
                <w:sz w:val="20"/>
                <w:szCs w:val="20"/>
                <w:color w:val="auto"/>
              </w:rPr>
            </w:pPr>
            <w:r>
              <w:rPr>
                <w:rFonts w:ascii="Arial" w:cs="Arial" w:eastAsia="Arial" w:hAnsi="Arial"/>
                <w:sz w:val="16"/>
                <w:szCs w:val="16"/>
                <w:color w:val="auto"/>
              </w:rPr>
              <w:t>£ 25</w:t>
            </w:r>
            <w:r>
              <w:rPr>
                <w:rFonts w:ascii="Arial" w:cs="Arial" w:eastAsia="Arial" w:hAnsi="Arial"/>
                <w:sz w:val="27"/>
                <w:szCs w:val="27"/>
                <w:color w:val="auto"/>
                <w:vertAlign w:val="superscript"/>
              </w:rPr>
              <w:t>th</w:t>
            </w:r>
          </w:p>
        </w:tc>
        <w:tc>
          <w:tcPr>
            <w:tcW w:w="1740" w:type="dxa"/>
            <w:vAlign w:val="bottom"/>
            <w:shd w:val="clear" w:color="auto" w:fill="E5F1F8"/>
          </w:tcPr>
          <w:p>
            <w:pPr>
              <w:jc w:val="center"/>
              <w:spacing w:after="0"/>
              <w:rPr>
                <w:sz w:val="20"/>
                <w:szCs w:val="20"/>
                <w:color w:val="auto"/>
              </w:rPr>
            </w:pPr>
            <w:r>
              <w:rPr>
                <w:rFonts w:ascii="Arial" w:cs="Arial" w:eastAsia="Arial" w:hAnsi="Arial"/>
                <w:sz w:val="16"/>
                <w:szCs w:val="16"/>
                <w:color w:val="auto"/>
                <w:w w:val="98"/>
              </w:rPr>
              <w:t>-20% (Threshold)</w:t>
            </w:r>
          </w:p>
        </w:tc>
      </w:tr>
      <w:tr>
        <w:trPr>
          <w:trHeight w:val="55"/>
        </w:trPr>
        <w:tc>
          <w:tcPr>
            <w:tcW w:w="1140" w:type="dxa"/>
            <w:vAlign w:val="bottom"/>
            <w:tcBorders>
              <w:right w:val="single" w:sz="8" w:color="007CBA"/>
            </w:tcBorders>
            <w:shd w:val="clear" w:color="auto" w:fill="E5F1F8"/>
          </w:tcPr>
          <w:p>
            <w:pPr>
              <w:spacing w:after="0"/>
              <w:rPr>
                <w:sz w:val="4"/>
                <w:szCs w:val="4"/>
                <w:color w:val="auto"/>
              </w:rPr>
            </w:pPr>
          </w:p>
        </w:tc>
        <w:tc>
          <w:tcPr>
            <w:tcW w:w="1740" w:type="dxa"/>
            <w:vAlign w:val="bottom"/>
            <w:shd w:val="clear" w:color="auto" w:fill="E5F1F8"/>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Plan + ³ $.36B</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Plan EBITDA</w:t>
      </w:r>
    </w:p>
    <w:p>
      <w:pPr>
        <w:spacing w:after="0" w:line="10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Plan - $.36B</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Plan - &lt; $.36B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 (Maximum)</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100% (Target)</w:t>
      </w:r>
    </w:p>
    <w:p>
      <w:pPr>
        <w:spacing w:after="0" w:line="109"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50% (Threshold)</w:t>
      </w:r>
    </w:p>
    <w:p>
      <w:pPr>
        <w:spacing w:after="0" w:line="9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0%</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Plan + ³ 4.5%</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Plan Growth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Plan - 1.5%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Plan - &lt; 1.5%</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 (Maximum)</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 (Target)</w:t>
      </w:r>
    </w:p>
    <w:p>
      <w:pPr>
        <w:spacing w:after="0" w:line="10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50% (Threshold)</w:t>
      </w:r>
    </w:p>
    <w:p>
      <w:pPr>
        <w:spacing w:after="0" w:line="9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0%</w:t>
      </w:r>
    </w:p>
    <w:p>
      <w:pPr>
        <w:spacing w:after="0" w:line="72" w:lineRule="exact"/>
        <w:rPr>
          <w:sz w:val="20"/>
          <w:szCs w:val="20"/>
          <w:color w:val="auto"/>
        </w:rPr>
      </w:pPr>
    </w:p>
    <w:p>
      <w:pPr>
        <w:sectPr>
          <w:pgSz w:w="11900" w:h="16838" w:orient="portrait"/>
          <w:cols w:equalWidth="0" w:num="5">
            <w:col w:w="3080" w:space="700"/>
            <w:col w:w="1120" w:space="720"/>
            <w:col w:w="1620" w:space="720"/>
            <w:col w:w="960" w:space="660"/>
            <w:col w:w="1480"/>
          </w:cols>
          <w:pgMar w:left="320" w:top="455" w:right="519" w:bottom="1440" w:gutter="0" w:footer="0" w:header="0"/>
          <w:type w:val="continuous"/>
        </w:sectPr>
      </w:pPr>
    </w:p>
    <w:p>
      <w:pPr>
        <w:jc w:val="both"/>
        <w:ind w:left="480" w:hanging="293"/>
        <w:spacing w:after="0" w:line="238" w:lineRule="auto"/>
        <w:tabs>
          <w:tab w:leader="none" w:pos="45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rTSR is calculated as (i) the average of our closing stock price over the final 20 trading days of the measurement period, minus the average of our closing stock price over the first 20 trading days of the measurement period, plus the value of reinvested dividends divided by (ii) the average of our closing stock price over the first 20 trading days of the measurement period, and is measured against each of the companies in the S&amp;P 500 index (excluding any Companies acquired during the measurement period.</w:t>
      </w:r>
    </w:p>
    <w:p>
      <w:pPr>
        <w:ind w:left="440" w:hanging="253"/>
        <w:spacing w:after="0"/>
        <w:tabs>
          <w:tab w:leader="none" w:pos="4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Threshold and maximum are a percentage of the target.</w:t>
      </w:r>
    </w:p>
    <w:p>
      <w:pPr>
        <w:ind w:left="480" w:hanging="293"/>
        <w:spacing w:after="0" w:line="252" w:lineRule="auto"/>
        <w:tabs>
          <w:tab w:leader="none" w:pos="43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EBITDA is calculated from Martin Marietta’s audited financial statements in the same manner as set forth in the reconciliations as provided in Appendix B, with the exception that adjustments are taken for certain nonrecurring items in accordance with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86995</wp:posOffset>
            </wp:positionV>
            <wp:extent cx="406400" cy="245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51" w:lineRule="exact"/>
        <w:rPr>
          <w:sz w:val="20"/>
          <w:szCs w:val="20"/>
          <w:color w:val="auto"/>
        </w:rPr>
      </w:pPr>
    </w:p>
    <w:p>
      <w:pPr>
        <w:ind w:left="620" w:hanging="433"/>
        <w:spacing w:after="0"/>
        <w:tabs>
          <w:tab w:leader="none" w:pos="620" w:val="left"/>
        </w:tabs>
        <w:numPr>
          <w:ilvl w:val="0"/>
          <w:numId w:val="115"/>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2017-2019 PSU Award Payouts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2017-2019 PSU Award Payouts</w:t>
      </w:r>
    </w:p>
    <w:p>
      <w:pPr>
        <w:sectPr>
          <w:pgSz w:w="11900" w:h="16838" w:orient="portrait"/>
          <w:cols w:equalWidth="0" w:num="1">
            <w:col w:w="11060"/>
          </w:cols>
          <w:pgMar w:left="320" w:top="455" w:right="519" w:bottom="1440" w:gutter="0" w:footer="0" w:header="0"/>
        </w:sectPr>
      </w:pPr>
    </w:p>
    <w:p>
      <w:pPr>
        <w:spacing w:after="0" w:line="209"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PSUs that were granted in 2017 vested on December 31, 2019, because the applicable performance criteria were satisfied. These PSUs were certified and paid out in February 2020. The PSU payouts for the three-year performance period ended December 31, 2019 were calculated by comparing actual corporate performance for each metric for the period January 1, 2017 through December 31, 2019, against a table of payment levels from 0% to 200% (with the 100% payout level being considered target) established at the beginning of the performance period.</w:t>
      </w:r>
    </w:p>
    <w:p>
      <w:pPr>
        <w:spacing w:after="0" w:line="177"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For the three-year performance period ended December 31, 2019, actual results were 186% of target. The results were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above targeted level for each metric. EBITDA (weighted 67%) was $3.43 billion compared to our pre-established target of $2.85 billion and generated a 134% payout factor and Sales Growth (weighted 33%) was 17.7% compared to our pre-established target of 4.5% and generated a 66% payout factor. The rTSR modifier, which provides for an adjustment up or down of up to 20%, resulted in a 93% adjustment as our TSR over the three year measurement period was at the 41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percentile of S&amp;P 500 companies over the same period. The awards are calculated pursuant to the provisions provided in the award agreements. The Committee cannot make any adjustments to the final payout factor beyond the adjustments specified in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227965</wp:posOffset>
            </wp:positionV>
            <wp:extent cx="6905625" cy="287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05625" cy="2876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Measure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EBITDA</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Sales Growth</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Performance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Target</w:t>
      </w:r>
    </w:p>
    <w:p>
      <w:pPr>
        <w:spacing w:after="0" w:line="48" w:lineRule="exact"/>
        <w:rPr>
          <w:sz w:val="20"/>
          <w:szCs w:val="20"/>
          <w:color w:val="auto"/>
        </w:rPr>
      </w:pPr>
    </w:p>
    <w:p>
      <w:pPr>
        <w:ind w:left="680" w:hanging="559"/>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2.85B</w:t>
      </w:r>
    </w:p>
    <w:p>
      <w:pPr>
        <w:spacing w:after="0" w:line="4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-271780</wp:posOffset>
            </wp:positionV>
            <wp:extent cx="6905625" cy="4654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05625" cy="4654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left="-79"/>
        <w:spacing w:after="0"/>
        <w:rPr>
          <w:sz w:val="20"/>
          <w:szCs w:val="20"/>
          <w:color w:val="auto"/>
        </w:rPr>
      </w:pPr>
      <w:r>
        <w:rPr>
          <w:rFonts w:ascii="Arial" w:cs="Arial" w:eastAsia="Arial" w:hAnsi="Arial"/>
          <w:sz w:val="16"/>
          <w:szCs w:val="16"/>
          <w:b w:val="1"/>
          <w:bCs w:val="1"/>
          <w:color w:val="FFFFFF"/>
        </w:rPr>
        <w:t>Performance</w:t>
      </w:r>
    </w:p>
    <w:p>
      <w:pPr>
        <w:spacing w:after="0" w:line="23" w:lineRule="exact"/>
        <w:rPr>
          <w:sz w:val="20"/>
          <w:szCs w:val="20"/>
          <w:color w:val="auto"/>
        </w:rPr>
      </w:pPr>
    </w:p>
    <w:p>
      <w:pPr>
        <w:jc w:val="center"/>
        <w:ind w:left="-79"/>
        <w:spacing w:after="0"/>
        <w:rPr>
          <w:sz w:val="20"/>
          <w:szCs w:val="20"/>
          <w:color w:val="auto"/>
        </w:rPr>
      </w:pPr>
      <w:r>
        <w:rPr>
          <w:rFonts w:ascii="Arial" w:cs="Arial" w:eastAsia="Arial" w:hAnsi="Arial"/>
          <w:sz w:val="16"/>
          <w:szCs w:val="16"/>
          <w:b w:val="1"/>
          <w:bCs w:val="1"/>
          <w:color w:val="FFFFFF"/>
        </w:rPr>
        <w:t>Result</w:t>
      </w:r>
    </w:p>
    <w:p>
      <w:pPr>
        <w:spacing w:after="0" w:line="48" w:lineRule="exact"/>
        <w:rPr>
          <w:sz w:val="20"/>
          <w:szCs w:val="20"/>
          <w:color w:val="auto"/>
        </w:rPr>
      </w:pPr>
    </w:p>
    <w:p>
      <w:pPr>
        <w:ind w:left="680" w:hanging="560"/>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3.43B</w:t>
      </w:r>
    </w:p>
    <w:p>
      <w:pPr>
        <w:spacing w:after="0" w:line="44"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6"/>
          <w:szCs w:val="16"/>
          <w:color w:val="auto"/>
        </w:rPr>
        <w:t>17.7%</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41</w:t>
      </w:r>
      <w:r>
        <w:rPr>
          <w:rFonts w:ascii="Arial" w:cs="Arial" w:eastAsia="Arial" w:hAnsi="Arial"/>
          <w:sz w:val="14"/>
          <w:szCs w:val="14"/>
          <w:color w:val="auto"/>
        </w:rPr>
        <w:t>st</w:t>
      </w:r>
      <w:r>
        <w:rPr>
          <w:rFonts w:ascii="Arial" w:cs="Arial" w:eastAsia="Arial" w:hAnsi="Arial"/>
          <w:sz w:val="17"/>
          <w:szCs w:val="17"/>
          <w:color w:val="auto"/>
        </w:rPr>
        <w:t xml:space="preserve"> percentile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FFFFFF"/>
        </w:rPr>
        <w:t>Weighting</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67%</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33%</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FFFFFF"/>
        </w:rPr>
        <w:t>Weighted</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FFFFFF"/>
        </w:rPr>
        <w:t>Payout Factor</w:t>
      </w:r>
    </w:p>
    <w:p>
      <w:pPr>
        <w:spacing w:after="0" w:line="48" w:lineRule="exact"/>
        <w:rPr>
          <w:sz w:val="20"/>
          <w:szCs w:val="20"/>
          <w:color w:val="auto"/>
        </w:rPr>
      </w:pPr>
    </w:p>
    <w:p>
      <w:pPr>
        <w:jc w:val="right"/>
        <w:ind w:right="180"/>
        <w:spacing w:after="0"/>
        <w:rPr>
          <w:sz w:val="20"/>
          <w:szCs w:val="20"/>
          <w:color w:val="auto"/>
        </w:rPr>
      </w:pPr>
      <w:r>
        <w:rPr>
          <w:rFonts w:ascii="Arial" w:cs="Arial" w:eastAsia="Arial" w:hAnsi="Arial"/>
          <w:sz w:val="17"/>
          <w:szCs w:val="17"/>
          <w:color w:val="auto"/>
        </w:rPr>
        <w:t>134%</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 of total award</w:t>
      </w:r>
    </w:p>
    <w:p>
      <w:pPr>
        <w:spacing w:after="0" w:line="163" w:lineRule="exact"/>
        <w:rPr>
          <w:sz w:val="20"/>
          <w:szCs w:val="20"/>
          <w:color w:val="auto"/>
        </w:rPr>
      </w:pPr>
    </w:p>
    <w:p>
      <w:pPr>
        <w:sectPr>
          <w:pgSz w:w="11900" w:h="16838" w:orient="portrait"/>
          <w:cols w:equalWidth="0" w:num="5">
            <w:col w:w="4220" w:space="720"/>
            <w:col w:w="1280" w:space="480"/>
            <w:col w:w="1280" w:space="500"/>
            <w:col w:w="820" w:space="360"/>
            <w:col w:w="1400"/>
          </w:cols>
          <w:pgMar w:left="320" w:top="455" w:right="51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 xml:space="preserve">Based on a weighted payout factor of </w:t>
      </w:r>
      <w:r>
        <w:rPr>
          <w:rFonts w:ascii="Arial" w:cs="Arial" w:eastAsia="Arial" w:hAnsi="Arial"/>
          <w:sz w:val="16"/>
          <w:szCs w:val="16"/>
          <w:b w:val="1"/>
          <w:bCs w:val="1"/>
          <w:color w:val="auto"/>
        </w:rPr>
        <w:t>186%</w:t>
      </w:r>
      <w:r>
        <w:rPr>
          <w:rFonts w:ascii="Arial" w:cs="Arial" w:eastAsia="Arial" w:hAnsi="Arial"/>
          <w:sz w:val="16"/>
          <w:szCs w:val="16"/>
          <w:color w:val="auto"/>
        </w:rPr>
        <w:t>, the following table shows the payouts under the 2017-2019 PSU made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165735</wp:posOffset>
            </wp:positionV>
            <wp:extent cx="6905625" cy="279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05625" cy="279400"/>
                    </a:xfrm>
                    <a:prstGeom prst="rect">
                      <a:avLst/>
                    </a:prstGeom>
                    <a:noFill/>
                  </pic:spPr>
                </pic:pic>
              </a:graphicData>
            </a:graphic>
          </wp:anchor>
        </w:drawing>
      </w: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FFFFFF"/>
        </w:rPr>
        <w:t>Payment Calculation for PSUs Granted in 2017</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FFFFFF"/>
        </w:rPr>
        <w:t>Certified on February 20, 2020</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7800" w:type="dxa"/>
            <w:vAlign w:val="bottom"/>
            <w:tcBorders>
              <w:right w:val="single" w:sz="8" w:color="007CBA"/>
            </w:tcBorders>
            <w:shd w:val="clear" w:color="auto" w:fill="007CBA"/>
          </w:tcPr>
          <w:p>
            <w:pPr>
              <w:spacing w:after="0"/>
              <w:rPr>
                <w:sz w:val="16"/>
                <w:szCs w:val="16"/>
                <w:color w:val="auto"/>
              </w:rPr>
            </w:pPr>
          </w:p>
        </w:tc>
        <w:tc>
          <w:tcPr>
            <w:tcW w:w="1640" w:type="dxa"/>
            <w:vAlign w:val="bottom"/>
            <w:tcBorders>
              <w:right w:val="single" w:sz="8" w:color="007CBA"/>
            </w:tcBorders>
            <w:shd w:val="clear" w:color="auto" w:fill="007CBA"/>
          </w:tcPr>
          <w:p>
            <w:pPr>
              <w:jc w:val="right"/>
              <w:spacing w:after="0"/>
              <w:rPr>
                <w:sz w:val="20"/>
                <w:szCs w:val="20"/>
                <w:color w:val="auto"/>
              </w:rPr>
            </w:pPr>
            <w:r>
              <w:rPr>
                <w:rFonts w:ascii="Arial" w:cs="Arial" w:eastAsia="Arial" w:hAnsi="Arial"/>
                <w:sz w:val="16"/>
                <w:szCs w:val="16"/>
                <w:b w:val="1"/>
                <w:bCs w:val="1"/>
                <w:color w:val="FFFFFF"/>
                <w:w w:val="99"/>
              </w:rPr>
              <w:t>Target Units Granted</w:t>
            </w:r>
          </w:p>
        </w:tc>
        <w:tc>
          <w:tcPr>
            <w:tcW w:w="1420" w:type="dxa"/>
            <w:vAlign w:val="bottom"/>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Payout</w:t>
            </w:r>
          </w:p>
        </w:tc>
      </w:tr>
      <w:tr>
        <w:trPr>
          <w:trHeight w:val="238"/>
        </w:trPr>
        <w:tc>
          <w:tcPr>
            <w:tcW w:w="780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NEO</w:t>
            </w:r>
          </w:p>
        </w:tc>
        <w:tc>
          <w:tcPr>
            <w:tcW w:w="1640" w:type="dxa"/>
            <w:vAlign w:val="bottom"/>
            <w:tcBorders>
              <w:bottom w:val="single" w:sz="8" w:color="007CBA"/>
              <w:right w:val="single" w:sz="8" w:color="007CBA"/>
            </w:tcBorders>
            <w:shd w:val="clear" w:color="auto" w:fill="007CBA"/>
          </w:tcPr>
          <w:p>
            <w:pPr>
              <w:jc w:val="right"/>
              <w:ind w:right="158"/>
              <w:spacing w:after="0"/>
              <w:rPr>
                <w:sz w:val="20"/>
                <w:szCs w:val="20"/>
                <w:color w:val="auto"/>
              </w:rPr>
            </w:pPr>
            <w:r>
              <w:rPr>
                <w:rFonts w:ascii="Arial" w:cs="Arial" w:eastAsia="Arial" w:hAnsi="Arial"/>
                <w:sz w:val="16"/>
                <w:szCs w:val="16"/>
                <w:b w:val="1"/>
                <w:bCs w:val="1"/>
                <w:color w:val="FFFFFF"/>
              </w:rPr>
              <w:t>in 2017 (shares)</w:t>
            </w:r>
          </w:p>
        </w:tc>
        <w:tc>
          <w:tcPr>
            <w:tcW w:w="1420" w:type="dxa"/>
            <w:vAlign w:val="bottom"/>
            <w:tcBorders>
              <w:bottom w:val="single" w:sz="8" w:color="007CBA"/>
            </w:tcBorders>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(shares)</w:t>
            </w:r>
          </w:p>
        </w:tc>
      </w:tr>
      <w:tr>
        <w:trPr>
          <w:trHeight w:val="260"/>
        </w:trPr>
        <w:tc>
          <w:tcPr>
            <w:tcW w:w="780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C. Howard Nye</w:t>
            </w:r>
          </w:p>
        </w:tc>
        <w:tc>
          <w:tcPr>
            <w:tcW w:w="1640" w:type="dxa"/>
            <w:vAlign w:val="bottom"/>
            <w:tcBorders>
              <w:bottom w:val="single" w:sz="8" w:color="E5F1F8"/>
              <w:right w:val="single" w:sz="8" w:color="007CBA"/>
            </w:tcBorders>
            <w:shd w:val="clear" w:color="auto" w:fill="E5F1F8"/>
          </w:tcPr>
          <w:p>
            <w:pPr>
              <w:jc w:val="right"/>
              <w:ind w:right="478"/>
              <w:spacing w:after="0"/>
              <w:rPr>
                <w:sz w:val="20"/>
                <w:szCs w:val="20"/>
                <w:color w:val="auto"/>
              </w:rPr>
            </w:pPr>
            <w:r>
              <w:rPr>
                <w:rFonts w:ascii="Arial" w:cs="Arial" w:eastAsia="Arial" w:hAnsi="Arial"/>
                <w:sz w:val="17"/>
                <w:szCs w:val="17"/>
                <w:color w:val="auto"/>
              </w:rPr>
              <w:t>11,355</w:t>
            </w:r>
          </w:p>
        </w:tc>
        <w:tc>
          <w:tcPr>
            <w:tcW w:w="1420" w:type="dxa"/>
            <w:vAlign w:val="bottom"/>
            <w:tcBorders>
              <w:bottom w:val="single" w:sz="8" w:color="E5F1F8"/>
            </w:tcBorders>
            <w:shd w:val="clear" w:color="auto" w:fill="E5F1F8"/>
          </w:tcPr>
          <w:p>
            <w:pPr>
              <w:jc w:val="right"/>
              <w:ind w:right="439"/>
              <w:spacing w:after="0"/>
              <w:rPr>
                <w:sz w:val="20"/>
                <w:szCs w:val="20"/>
                <w:color w:val="auto"/>
              </w:rPr>
            </w:pPr>
            <w:r>
              <w:rPr>
                <w:rFonts w:ascii="Arial" w:cs="Arial" w:eastAsia="Arial" w:hAnsi="Arial"/>
                <w:sz w:val="16"/>
                <w:szCs w:val="16"/>
                <w:color w:val="auto"/>
              </w:rPr>
              <w:t>21,112</w:t>
            </w:r>
          </w:p>
        </w:tc>
      </w:tr>
      <w:tr>
        <w:trPr>
          <w:trHeight w:val="237"/>
        </w:trPr>
        <w:tc>
          <w:tcPr>
            <w:tcW w:w="780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James A. J. Nickolas*</w:t>
            </w:r>
          </w:p>
        </w:tc>
        <w:tc>
          <w:tcPr>
            <w:tcW w:w="1640" w:type="dxa"/>
            <w:vAlign w:val="bottom"/>
            <w:tcBorders>
              <w:right w:val="single" w:sz="8" w:color="007CBA"/>
            </w:tcBorders>
          </w:tcPr>
          <w:p>
            <w:pPr>
              <w:spacing w:after="0"/>
              <w:rPr>
                <w:sz w:val="20"/>
                <w:szCs w:val="20"/>
                <w:color w:val="auto"/>
              </w:rPr>
            </w:pPr>
          </w:p>
        </w:tc>
        <w:tc>
          <w:tcPr>
            <w:tcW w:w="1420" w:type="dxa"/>
            <w:vAlign w:val="bottom"/>
          </w:tcPr>
          <w:p>
            <w:pPr>
              <w:spacing w:after="0"/>
              <w:rPr>
                <w:sz w:val="20"/>
                <w:szCs w:val="20"/>
                <w:color w:val="auto"/>
              </w:rPr>
            </w:pPr>
          </w:p>
        </w:tc>
      </w:tr>
      <w:tr>
        <w:trPr>
          <w:trHeight w:val="43"/>
        </w:trPr>
        <w:tc>
          <w:tcPr>
            <w:tcW w:w="7800" w:type="dxa"/>
            <w:vAlign w:val="bottom"/>
            <w:tcBorders>
              <w:right w:val="single" w:sz="8" w:color="007CBA"/>
            </w:tcBorders>
          </w:tcPr>
          <w:p>
            <w:pPr>
              <w:spacing w:after="0"/>
              <w:rPr>
                <w:sz w:val="3"/>
                <w:szCs w:val="3"/>
                <w:color w:val="auto"/>
              </w:rPr>
            </w:pPr>
          </w:p>
        </w:tc>
        <w:tc>
          <w:tcPr>
            <w:tcW w:w="1640" w:type="dxa"/>
            <w:vAlign w:val="bottom"/>
            <w:tcBorders>
              <w:right w:val="single" w:sz="8" w:color="007CBA"/>
            </w:tcBorders>
          </w:tcPr>
          <w:p>
            <w:pPr>
              <w:spacing w:after="0"/>
              <w:rPr>
                <w:sz w:val="3"/>
                <w:szCs w:val="3"/>
                <w:color w:val="auto"/>
              </w:rPr>
            </w:pPr>
          </w:p>
        </w:tc>
        <w:tc>
          <w:tcPr>
            <w:tcW w:w="1420" w:type="dxa"/>
            <w:vAlign w:val="bottom"/>
          </w:tcPr>
          <w:p>
            <w:pPr>
              <w:spacing w:after="0"/>
              <w:rPr>
                <w:sz w:val="3"/>
                <w:szCs w:val="3"/>
                <w:color w:val="auto"/>
              </w:rPr>
            </w:pPr>
          </w:p>
        </w:tc>
      </w:tr>
      <w:tr>
        <w:trPr>
          <w:trHeight w:val="260"/>
        </w:trPr>
        <w:tc>
          <w:tcPr>
            <w:tcW w:w="780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Roselyn R. Bar</w:t>
            </w:r>
          </w:p>
        </w:tc>
        <w:tc>
          <w:tcPr>
            <w:tcW w:w="1640" w:type="dxa"/>
            <w:vAlign w:val="bottom"/>
            <w:tcBorders>
              <w:bottom w:val="single" w:sz="8" w:color="E5F1F8"/>
              <w:right w:val="single" w:sz="8" w:color="007CBA"/>
            </w:tcBorders>
            <w:shd w:val="clear" w:color="auto" w:fill="E5F1F8"/>
          </w:tcPr>
          <w:p>
            <w:pPr>
              <w:jc w:val="right"/>
              <w:ind w:right="458"/>
              <w:spacing w:after="0"/>
              <w:rPr>
                <w:sz w:val="20"/>
                <w:szCs w:val="20"/>
                <w:color w:val="auto"/>
              </w:rPr>
            </w:pPr>
            <w:r>
              <w:rPr>
                <w:rFonts w:ascii="Arial" w:cs="Arial" w:eastAsia="Arial" w:hAnsi="Arial"/>
                <w:sz w:val="16"/>
                <w:szCs w:val="16"/>
                <w:color w:val="auto"/>
              </w:rPr>
              <w:t>3,267</w:t>
            </w:r>
          </w:p>
        </w:tc>
        <w:tc>
          <w:tcPr>
            <w:tcW w:w="1420" w:type="dxa"/>
            <w:vAlign w:val="bottom"/>
            <w:tcBorders>
              <w:bottom w:val="single" w:sz="8" w:color="E5F1F8"/>
            </w:tcBorders>
            <w:shd w:val="clear" w:color="auto" w:fill="E5F1F8"/>
          </w:tcPr>
          <w:p>
            <w:pPr>
              <w:jc w:val="right"/>
              <w:ind w:right="439"/>
              <w:spacing w:after="0"/>
              <w:rPr>
                <w:sz w:val="20"/>
                <w:szCs w:val="20"/>
                <w:color w:val="auto"/>
              </w:rPr>
            </w:pPr>
            <w:r>
              <w:rPr>
                <w:rFonts w:ascii="Arial" w:cs="Arial" w:eastAsia="Arial" w:hAnsi="Arial"/>
                <w:sz w:val="16"/>
                <w:szCs w:val="16"/>
                <w:color w:val="auto"/>
              </w:rPr>
              <w:t>6,075</w:t>
            </w:r>
          </w:p>
        </w:tc>
      </w:tr>
      <w:tr>
        <w:trPr>
          <w:trHeight w:val="237"/>
        </w:trPr>
        <w:tc>
          <w:tcPr>
            <w:tcW w:w="780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Craig M. LaTorre*</w:t>
            </w:r>
          </w:p>
        </w:tc>
        <w:tc>
          <w:tcPr>
            <w:tcW w:w="1640" w:type="dxa"/>
            <w:vAlign w:val="bottom"/>
            <w:tcBorders>
              <w:right w:val="single" w:sz="8" w:color="007CBA"/>
            </w:tcBorders>
          </w:tcPr>
          <w:p>
            <w:pPr>
              <w:spacing w:after="0"/>
              <w:rPr>
                <w:sz w:val="20"/>
                <w:szCs w:val="20"/>
                <w:color w:val="auto"/>
              </w:rPr>
            </w:pPr>
          </w:p>
        </w:tc>
        <w:tc>
          <w:tcPr>
            <w:tcW w:w="1420" w:type="dxa"/>
            <w:vAlign w:val="bottom"/>
          </w:tcPr>
          <w:p>
            <w:pPr>
              <w:spacing w:after="0"/>
              <w:rPr>
                <w:sz w:val="20"/>
                <w:szCs w:val="20"/>
                <w:color w:val="auto"/>
              </w:rPr>
            </w:pPr>
          </w:p>
        </w:tc>
      </w:tr>
      <w:tr>
        <w:trPr>
          <w:trHeight w:val="43"/>
        </w:trPr>
        <w:tc>
          <w:tcPr>
            <w:tcW w:w="7800" w:type="dxa"/>
            <w:vAlign w:val="bottom"/>
            <w:tcBorders>
              <w:right w:val="single" w:sz="8" w:color="007CBA"/>
            </w:tcBorders>
          </w:tcPr>
          <w:p>
            <w:pPr>
              <w:spacing w:after="0"/>
              <w:rPr>
                <w:sz w:val="3"/>
                <w:szCs w:val="3"/>
                <w:color w:val="auto"/>
              </w:rPr>
            </w:pPr>
          </w:p>
        </w:tc>
        <w:tc>
          <w:tcPr>
            <w:tcW w:w="1640" w:type="dxa"/>
            <w:vAlign w:val="bottom"/>
            <w:tcBorders>
              <w:right w:val="single" w:sz="8" w:color="007CBA"/>
            </w:tcBorders>
          </w:tcPr>
          <w:p>
            <w:pPr>
              <w:spacing w:after="0"/>
              <w:rPr>
                <w:sz w:val="3"/>
                <w:szCs w:val="3"/>
                <w:color w:val="auto"/>
              </w:rPr>
            </w:pPr>
          </w:p>
        </w:tc>
        <w:tc>
          <w:tcPr>
            <w:tcW w:w="1420" w:type="dxa"/>
            <w:vAlign w:val="bottom"/>
          </w:tcPr>
          <w:p>
            <w:pPr>
              <w:spacing w:after="0"/>
              <w:rPr>
                <w:sz w:val="3"/>
                <w:szCs w:val="3"/>
                <w:color w:val="auto"/>
              </w:rPr>
            </w:pPr>
          </w:p>
        </w:tc>
      </w:tr>
      <w:tr>
        <w:trPr>
          <w:trHeight w:val="260"/>
        </w:trPr>
        <w:tc>
          <w:tcPr>
            <w:tcW w:w="780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Daniel L. Grant</w:t>
            </w:r>
          </w:p>
        </w:tc>
        <w:tc>
          <w:tcPr>
            <w:tcW w:w="1640" w:type="dxa"/>
            <w:vAlign w:val="bottom"/>
            <w:tcBorders>
              <w:bottom w:val="single" w:sz="8" w:color="E5F1F8"/>
              <w:right w:val="single" w:sz="8" w:color="007CBA"/>
            </w:tcBorders>
            <w:shd w:val="clear" w:color="auto" w:fill="E5F1F8"/>
          </w:tcPr>
          <w:p>
            <w:pPr>
              <w:jc w:val="right"/>
              <w:ind w:right="478"/>
              <w:spacing w:after="0"/>
              <w:rPr>
                <w:sz w:val="20"/>
                <w:szCs w:val="20"/>
                <w:color w:val="auto"/>
              </w:rPr>
            </w:pPr>
            <w:r>
              <w:rPr>
                <w:rFonts w:ascii="Arial" w:cs="Arial" w:eastAsia="Arial" w:hAnsi="Arial"/>
                <w:sz w:val="17"/>
                <w:szCs w:val="17"/>
                <w:color w:val="auto"/>
              </w:rPr>
              <w:t>2,210</w:t>
            </w:r>
          </w:p>
        </w:tc>
        <w:tc>
          <w:tcPr>
            <w:tcW w:w="1420" w:type="dxa"/>
            <w:vAlign w:val="bottom"/>
            <w:tcBorders>
              <w:bottom w:val="single" w:sz="8" w:color="E5F1F8"/>
            </w:tcBorders>
            <w:shd w:val="clear" w:color="auto" w:fill="E5F1F8"/>
          </w:tcPr>
          <w:p>
            <w:pPr>
              <w:jc w:val="right"/>
              <w:ind w:right="459"/>
              <w:spacing w:after="0"/>
              <w:rPr>
                <w:sz w:val="20"/>
                <w:szCs w:val="20"/>
                <w:color w:val="auto"/>
              </w:rPr>
            </w:pPr>
            <w:r>
              <w:rPr>
                <w:rFonts w:ascii="Arial" w:cs="Arial" w:eastAsia="Arial" w:hAnsi="Arial"/>
                <w:sz w:val="17"/>
                <w:szCs w:val="17"/>
                <w:color w:val="auto"/>
              </w:rPr>
              <w:t>4,109</w:t>
            </w:r>
          </w:p>
        </w:tc>
      </w:tr>
      <w:tr>
        <w:trPr>
          <w:trHeight w:val="20"/>
        </w:trPr>
        <w:tc>
          <w:tcPr>
            <w:tcW w:w="7800" w:type="dxa"/>
            <w:vAlign w:val="bottom"/>
            <w:tcBorders>
              <w:right w:val="single" w:sz="8" w:color="007CBA"/>
            </w:tcBorders>
            <w:shd w:val="clear" w:color="auto" w:fill="007CBA"/>
          </w:tcPr>
          <w:p>
            <w:pPr>
              <w:spacing w:after="0" w:line="20" w:lineRule="exact"/>
              <w:rPr>
                <w:sz w:val="1"/>
                <w:szCs w:val="1"/>
                <w:color w:val="auto"/>
              </w:rPr>
            </w:pPr>
          </w:p>
        </w:tc>
        <w:tc>
          <w:tcPr>
            <w:tcW w:w="1640" w:type="dxa"/>
            <w:vAlign w:val="bottom"/>
            <w:tcBorders>
              <w:right w:val="single" w:sz="8" w:color="007CBA"/>
            </w:tcBorders>
            <w:shd w:val="clear" w:color="auto" w:fill="007CBA"/>
          </w:tcPr>
          <w:p>
            <w:pPr>
              <w:spacing w:after="0" w:line="20" w:lineRule="exact"/>
              <w:rPr>
                <w:sz w:val="1"/>
                <w:szCs w:val="1"/>
                <w:color w:val="auto"/>
              </w:rPr>
            </w:pPr>
          </w:p>
        </w:tc>
        <w:tc>
          <w:tcPr>
            <w:tcW w:w="1420" w:type="dxa"/>
            <w:vAlign w:val="bottom"/>
            <w:shd w:val="clear" w:color="auto" w:fill="007CBA"/>
          </w:tcPr>
          <w:p>
            <w:pPr>
              <w:spacing w:after="0" w:line="20" w:lineRule="exact"/>
              <w:rPr>
                <w:sz w:val="1"/>
                <w:szCs w:val="1"/>
                <w:color w:val="auto"/>
              </w:rPr>
            </w:pPr>
          </w:p>
        </w:tc>
      </w:tr>
    </w:tbl>
    <w:p>
      <w:pPr>
        <w:spacing w:after="0" w:line="125" w:lineRule="exact"/>
        <w:rPr>
          <w:sz w:val="20"/>
          <w:szCs w:val="20"/>
          <w:color w:val="auto"/>
        </w:rPr>
      </w:pPr>
    </w:p>
    <w:p>
      <w:pPr>
        <w:ind w:left="400" w:hanging="213"/>
        <w:spacing w:after="0"/>
        <w:tabs>
          <w:tab w:leader="none" w:pos="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Mr. Nickolas commenced employment with the Company in August 2017. Mr. LaTorre commenced employment in July 2018.</w:t>
      </w:r>
    </w:p>
    <w:p>
      <w:pPr>
        <w:sectPr>
          <w:pgSz w:w="11900" w:h="16838" w:orient="portrait"/>
          <w:cols w:equalWidth="0" w:num="1">
            <w:col w:w="11060"/>
          </w:cols>
          <w:pgMar w:left="320" w:top="455" w:right="519" w:bottom="1440" w:gutter="0" w:footer="0" w:header="0"/>
          <w:type w:val="continuous"/>
        </w:sect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Ongoing Corporate Governance Policies</w:t>
      </w:r>
    </w:p>
    <w:p>
      <w:pPr>
        <w:spacing w:after="0" w:line="143"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We endeavor to maintain good corporate governance standards relating to our executive compensation policies and practices, including the following that were in effect during 2019 that directly impacted compensation:</w:t>
      </w:r>
    </w:p>
    <w:p>
      <w:pPr>
        <w:spacing w:after="0" w:line="69" w:lineRule="exact"/>
        <w:rPr>
          <w:sz w:val="20"/>
          <w:szCs w:val="20"/>
          <w:color w:val="auto"/>
        </w:rPr>
      </w:pPr>
    </w:p>
    <w:p>
      <w:pPr>
        <w:jc w:val="both"/>
        <w:ind w:left="540" w:hanging="274"/>
        <w:spacing w:after="0" w:line="249" w:lineRule="auto"/>
        <w:tabs>
          <w:tab w:leader="none" w:pos="540" w:val="left"/>
        </w:tabs>
        <w:numPr>
          <w:ilvl w:val="0"/>
          <w:numId w:val="119"/>
        </w:numPr>
        <w:rPr>
          <w:rFonts w:ascii="Arial" w:cs="Arial" w:eastAsia="Arial" w:hAnsi="Arial"/>
          <w:sz w:val="16"/>
          <w:szCs w:val="16"/>
          <w:color w:val="007CBA"/>
        </w:rPr>
      </w:pPr>
      <w:r>
        <w:rPr>
          <w:rFonts w:ascii="Arial" w:cs="Arial" w:eastAsia="Arial" w:hAnsi="Arial"/>
          <w:sz w:val="16"/>
          <w:szCs w:val="16"/>
          <w:color w:val="auto"/>
        </w:rPr>
        <w:t>The Committee is comprised solely of independent Directors who regularly schedule and meet in executive sessions without management present.</w:t>
      </w:r>
    </w:p>
    <w:p>
      <w:pPr>
        <w:spacing w:after="0" w:line="67"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119"/>
        </w:numPr>
        <w:rPr>
          <w:rFonts w:ascii="Arial" w:cs="Arial" w:eastAsia="Arial" w:hAnsi="Arial"/>
          <w:sz w:val="16"/>
          <w:szCs w:val="16"/>
          <w:color w:val="007CBA"/>
        </w:rPr>
      </w:pPr>
      <w:r>
        <w:rPr>
          <w:rFonts w:ascii="Arial" w:cs="Arial" w:eastAsia="Arial" w:hAnsi="Arial"/>
          <w:sz w:val="16"/>
          <w:szCs w:val="16"/>
          <w:color w:val="auto"/>
        </w:rPr>
        <w:t>The Committee’s independent compensation consultant is retained directly by the Committee.</w:t>
      </w:r>
    </w:p>
    <w:p>
      <w:pPr>
        <w:spacing w:after="0" w:line="63" w:lineRule="exact"/>
        <w:rPr>
          <w:rFonts w:ascii="Arial" w:cs="Arial" w:eastAsia="Arial" w:hAnsi="Arial"/>
          <w:sz w:val="16"/>
          <w:szCs w:val="16"/>
          <w:color w:val="007CBA"/>
        </w:rPr>
      </w:pPr>
    </w:p>
    <w:p>
      <w:pPr>
        <w:jc w:val="both"/>
        <w:ind w:left="540" w:hanging="274"/>
        <w:spacing w:after="0" w:line="246" w:lineRule="auto"/>
        <w:tabs>
          <w:tab w:leader="none" w:pos="540" w:val="left"/>
        </w:tabs>
        <w:numPr>
          <w:ilvl w:val="0"/>
          <w:numId w:val="119"/>
        </w:numPr>
        <w:rPr>
          <w:rFonts w:ascii="Arial" w:cs="Arial" w:eastAsia="Arial" w:hAnsi="Arial"/>
          <w:sz w:val="16"/>
          <w:szCs w:val="16"/>
          <w:color w:val="007CBA"/>
        </w:rPr>
      </w:pPr>
      <w:r>
        <w:rPr>
          <w:rFonts w:ascii="Arial" w:cs="Arial" w:eastAsia="Arial" w:hAnsi="Arial"/>
          <w:sz w:val="16"/>
          <w:szCs w:val="16"/>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both"/>
        <w:ind w:left="360" w:right="20" w:hanging="288"/>
        <w:spacing w:after="0" w:line="249" w:lineRule="auto"/>
        <w:tabs>
          <w:tab w:leader="none" w:pos="360" w:val="left"/>
        </w:tabs>
        <w:numPr>
          <w:ilvl w:val="0"/>
          <w:numId w:val="120"/>
        </w:numPr>
        <w:rPr>
          <w:rFonts w:ascii="Arial" w:cs="Arial" w:eastAsia="Arial" w:hAnsi="Arial"/>
          <w:sz w:val="16"/>
          <w:szCs w:val="16"/>
          <w:color w:val="007CBA"/>
        </w:rPr>
      </w:pPr>
      <w:r>
        <w:rPr>
          <w:rFonts w:ascii="Arial" w:cs="Arial" w:eastAsia="Arial" w:hAnsi="Arial"/>
          <w:sz w:val="16"/>
          <w:szCs w:val="16"/>
          <w:color w:val="auto"/>
        </w:rPr>
        <w:t>We pay for performance, with approximately 87% of our CEO’s total target pay opportunity being performance-based “at-risk” compensation.</w:t>
      </w:r>
    </w:p>
    <w:p>
      <w:pPr>
        <w:spacing w:after="0" w:line="67"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0"/>
        </w:numPr>
        <w:rPr>
          <w:rFonts w:ascii="Arial" w:cs="Arial" w:eastAsia="Arial" w:hAnsi="Arial"/>
          <w:sz w:val="16"/>
          <w:szCs w:val="16"/>
          <w:color w:val="007CBA"/>
        </w:rPr>
      </w:pPr>
      <w:r>
        <w:rPr>
          <w:rFonts w:ascii="Arial" w:cs="Arial" w:eastAsia="Arial" w:hAnsi="Arial"/>
          <w:sz w:val="16"/>
          <w:szCs w:val="16"/>
          <w:color w:val="auto"/>
        </w:rPr>
        <w:t>We cap PSU payments at target if three-year TSR is negative, regardless of our ranking.</w:t>
      </w:r>
    </w:p>
    <w:p>
      <w:pPr>
        <w:spacing w:after="0" w:line="63" w:lineRule="exact"/>
        <w:rPr>
          <w:rFonts w:ascii="Arial" w:cs="Arial" w:eastAsia="Arial" w:hAnsi="Arial"/>
          <w:sz w:val="16"/>
          <w:szCs w:val="16"/>
          <w:color w:val="007CBA"/>
        </w:rPr>
      </w:pPr>
    </w:p>
    <w:p>
      <w:pPr>
        <w:ind w:left="360" w:hanging="288"/>
        <w:spacing w:after="0"/>
        <w:tabs>
          <w:tab w:leader="none" w:pos="360" w:val="left"/>
        </w:tabs>
        <w:numPr>
          <w:ilvl w:val="0"/>
          <w:numId w:val="120"/>
        </w:numPr>
        <w:rPr>
          <w:rFonts w:ascii="Arial" w:cs="Arial" w:eastAsia="Arial" w:hAnsi="Arial"/>
          <w:sz w:val="16"/>
          <w:szCs w:val="16"/>
          <w:color w:val="007CBA"/>
        </w:rPr>
      </w:pPr>
      <w:r>
        <w:rPr>
          <w:rFonts w:ascii="Arial" w:cs="Arial" w:eastAsia="Arial" w:hAnsi="Arial"/>
          <w:sz w:val="16"/>
          <w:szCs w:val="16"/>
          <w:color w:val="auto"/>
        </w:rPr>
        <w:t>We limit perquisites and other benefits.</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Compensation Decision Process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Management and the Committee</w:t>
      </w:r>
    </w:p>
    <w:p>
      <w:pPr>
        <w:spacing w:after="0" w:line="1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NYSE rules,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178435</wp:posOffset>
            </wp:positionV>
            <wp:extent cx="406400" cy="2451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01"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51</w:t>
            </w:r>
          </w:p>
        </w:tc>
      </w:tr>
    </w:tbl>
    <w:p>
      <w:pPr>
        <w:sectPr>
          <w:pgSz w:w="11900" w:h="16838" w:orient="portrait"/>
          <w:cols w:equalWidth="0" w:num="1">
            <w:col w:w="11060"/>
          </w:cols>
          <w:pgMar w:left="320" w:top="455" w:right="51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Compensation Decision Process</w:t>
      </w:r>
    </w:p>
    <w:p>
      <w:pPr>
        <w:spacing w:after="0" w:line="281"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 xml:space="preserve">operates pursuant to a written charter, a copy of which can be viewed on Martin Marietta’s website at </w:t>
      </w:r>
      <w:r>
        <w:rPr>
          <w:rFonts w:ascii="Arial" w:cs="Arial" w:eastAsia="Arial" w:hAnsi="Arial"/>
          <w:sz w:val="16"/>
          <w:szCs w:val="16"/>
          <w:i w:val="1"/>
          <w:iCs w:val="1"/>
          <w:color w:val="auto"/>
        </w:rPr>
        <w:t>ir.martinmarietta.com/corporate-governance</w:t>
      </w:r>
      <w:r>
        <w:rPr>
          <w:rFonts w:ascii="Arial" w:cs="Arial" w:eastAsia="Arial" w:hAnsi="Arial"/>
          <w:sz w:val="16"/>
          <w:szCs w:val="16"/>
          <w:color w:val="auto"/>
        </w:rPr>
        <w:t>.</w:t>
      </w:r>
    </w:p>
    <w:p>
      <w:pPr>
        <w:spacing w:after="0" w:line="170" w:lineRule="exact"/>
        <w:rPr>
          <w:sz w:val="20"/>
          <w:szCs w:val="20"/>
          <w:color w:val="auto"/>
        </w:rPr>
      </w:pPr>
    </w:p>
    <w:p>
      <w:pPr>
        <w:jc w:val="both"/>
        <w:ind w:left="200"/>
        <w:spacing w:after="0" w:line="261" w:lineRule="auto"/>
        <w:rPr>
          <w:sz w:val="20"/>
          <w:szCs w:val="20"/>
          <w:color w:val="auto"/>
        </w:rPr>
      </w:pPr>
      <w:r>
        <w:rPr>
          <w:rFonts w:ascii="Arial" w:cs="Arial" w:eastAsia="Arial" w:hAnsi="Arial"/>
          <w:sz w:val="15"/>
          <w:szCs w:val="15"/>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 and Chief Human Resources Officer,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19"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Committee retained Mercer, an independent compensation consultant, in accordance with the Committee’s charter. The consultant reports directly to the Committee. The Committee retains sole authority to hire or terminate the consultant, approve its compensation, determine the nature and scope of services, and evaluate performance. The compensation consultant attends Committee meetings, either in person or by telephone, as requested, and communicates with the Committee Chair between meetings. The Committee makes all final decisions.</w:t>
      </w:r>
    </w:p>
    <w:p>
      <w:pPr>
        <w:spacing w:after="0" w:line="163"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The compensation consultant’s specific roles include, but are not limited to, the following:</w:t>
      </w:r>
    </w:p>
    <w:p>
      <w:pPr>
        <w:spacing w:after="0" w:line="64" w:lineRule="exact"/>
        <w:rPr>
          <w:sz w:val="20"/>
          <w:szCs w:val="20"/>
          <w:color w:val="auto"/>
        </w:rPr>
      </w:pPr>
    </w:p>
    <w:p>
      <w:pPr>
        <w:jc w:val="both"/>
        <w:ind w:left="540" w:right="20" w:hanging="274"/>
        <w:spacing w:after="0" w:line="249" w:lineRule="auto"/>
        <w:tabs>
          <w:tab w:leader="none" w:pos="540" w:val="left"/>
        </w:tabs>
        <w:numPr>
          <w:ilvl w:val="0"/>
          <w:numId w:val="121"/>
        </w:numPr>
        <w:rPr>
          <w:rFonts w:ascii="Arial" w:cs="Arial" w:eastAsia="Arial" w:hAnsi="Arial"/>
          <w:sz w:val="16"/>
          <w:szCs w:val="16"/>
          <w:color w:val="007CBA"/>
        </w:rPr>
      </w:pPr>
      <w:r>
        <w:rPr>
          <w:rFonts w:ascii="Arial" w:cs="Arial" w:eastAsia="Arial" w:hAnsi="Arial"/>
          <w:sz w:val="16"/>
          <w:szCs w:val="16"/>
          <w:color w:val="auto"/>
        </w:rPr>
        <w:t>Advise the Committee on executive compensation trends and regulatory developments and other factors affecting executive officer compensation, as well as any other areas of concern or risk.</w:t>
      </w:r>
    </w:p>
    <w:p>
      <w:pPr>
        <w:spacing w:after="0" w:line="67" w:lineRule="exact"/>
        <w:rPr>
          <w:rFonts w:ascii="Arial" w:cs="Arial" w:eastAsia="Arial" w:hAnsi="Arial"/>
          <w:sz w:val="16"/>
          <w:szCs w:val="16"/>
          <w:color w:val="007CBA"/>
        </w:rPr>
      </w:pPr>
    </w:p>
    <w:p>
      <w:pPr>
        <w:ind w:left="540" w:right="20" w:hanging="274"/>
        <w:spacing w:after="0" w:line="254" w:lineRule="auto"/>
        <w:tabs>
          <w:tab w:leader="none" w:pos="540" w:val="left"/>
        </w:tabs>
        <w:numPr>
          <w:ilvl w:val="0"/>
          <w:numId w:val="121"/>
        </w:numPr>
        <w:rPr>
          <w:rFonts w:ascii="Arial" w:cs="Arial" w:eastAsia="Arial" w:hAnsi="Arial"/>
          <w:sz w:val="16"/>
          <w:szCs w:val="16"/>
          <w:color w:val="007CBA"/>
        </w:rPr>
      </w:pPr>
      <w:r>
        <w:rPr>
          <w:rFonts w:ascii="Arial" w:cs="Arial" w:eastAsia="Arial" w:hAnsi="Arial"/>
          <w:sz w:val="16"/>
          <w:szCs w:val="16"/>
          <w:color w:val="auto"/>
        </w:rPr>
        <w:t>Provide a total compensation assessment for executives compared to peer companies and recommendations for executive pay.</w:t>
      </w:r>
    </w:p>
    <w:p>
      <w:pPr>
        <w:spacing w:after="0" w:line="63"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121"/>
        </w:numPr>
        <w:rPr>
          <w:rFonts w:ascii="Arial" w:cs="Arial" w:eastAsia="Arial" w:hAnsi="Arial"/>
          <w:sz w:val="16"/>
          <w:szCs w:val="16"/>
          <w:color w:val="007CBA"/>
        </w:rPr>
      </w:pPr>
      <w:r>
        <w:rPr>
          <w:rFonts w:ascii="Arial" w:cs="Arial" w:eastAsia="Arial" w:hAnsi="Arial"/>
          <w:sz w:val="16"/>
          <w:szCs w:val="16"/>
          <w:color w:val="auto"/>
        </w:rPr>
        <w:t>Serve as a resource to the Committee Chair for meeting agendas and supporting materials in advance of each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hanging="288"/>
        <w:spacing w:after="0"/>
        <w:tabs>
          <w:tab w:leader="none" w:pos="360" w:val="left"/>
        </w:tabs>
        <w:numPr>
          <w:ilvl w:val="0"/>
          <w:numId w:val="122"/>
        </w:numPr>
        <w:rPr>
          <w:rFonts w:ascii="Arial" w:cs="Arial" w:eastAsia="Arial" w:hAnsi="Arial"/>
          <w:sz w:val="16"/>
          <w:szCs w:val="16"/>
          <w:color w:val="007CBA"/>
        </w:rPr>
      </w:pPr>
      <w:r>
        <w:rPr>
          <w:rFonts w:ascii="Arial" w:cs="Arial" w:eastAsia="Arial" w:hAnsi="Arial"/>
          <w:sz w:val="16"/>
          <w:szCs w:val="16"/>
          <w:color w:val="auto"/>
        </w:rPr>
        <w:t>Review and comment on proxy disclosure items, including this CD&amp;A.</w:t>
      </w:r>
    </w:p>
    <w:p>
      <w:pPr>
        <w:spacing w:after="0" w:line="82" w:lineRule="exact"/>
        <w:rPr>
          <w:rFonts w:ascii="Arial" w:cs="Arial" w:eastAsia="Arial" w:hAnsi="Arial"/>
          <w:sz w:val="16"/>
          <w:szCs w:val="16"/>
          <w:color w:val="007CBA"/>
        </w:rPr>
      </w:pPr>
    </w:p>
    <w:p>
      <w:pPr>
        <w:ind w:left="360" w:hanging="288"/>
        <w:spacing w:after="0"/>
        <w:tabs>
          <w:tab w:leader="none" w:pos="360" w:val="left"/>
        </w:tabs>
        <w:numPr>
          <w:ilvl w:val="0"/>
          <w:numId w:val="122"/>
        </w:numPr>
        <w:rPr>
          <w:rFonts w:ascii="Arial" w:cs="Arial" w:eastAsia="Arial" w:hAnsi="Arial"/>
          <w:sz w:val="16"/>
          <w:szCs w:val="16"/>
          <w:color w:val="007CBA"/>
        </w:rPr>
      </w:pPr>
      <w:r>
        <w:rPr>
          <w:rFonts w:ascii="Arial" w:cs="Arial" w:eastAsia="Arial" w:hAnsi="Arial"/>
          <w:sz w:val="16"/>
          <w:szCs w:val="16"/>
          <w:color w:val="auto"/>
        </w:rPr>
        <w:t>Advise the Committee on management’s pay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-1132840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69"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Peer Companies and Competitive Market Data</w:t>
      </w:r>
    </w:p>
    <w:p>
      <w:pPr>
        <w:spacing w:after="0" w:line="19"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 xml:space="preserve">The Committee considered peer groups for two elements of the executive compensation program in 2019: the </w:t>
      </w:r>
      <w:r>
        <w:rPr>
          <w:rFonts w:ascii="Arial" w:cs="Arial" w:eastAsia="Arial" w:hAnsi="Arial"/>
          <w:sz w:val="16"/>
          <w:szCs w:val="16"/>
          <w:i w:val="1"/>
          <w:iCs w:val="1"/>
          <w:color w:val="auto"/>
        </w:rPr>
        <w:t>Compensation Peer Group</w:t>
      </w:r>
      <w:r>
        <w:rPr>
          <w:rFonts w:ascii="Arial" w:cs="Arial" w:eastAsia="Arial" w:hAnsi="Arial"/>
          <w:sz w:val="16"/>
          <w:szCs w:val="16"/>
          <w:color w:val="auto"/>
        </w:rPr>
        <w:t xml:space="preserve">, consisting of 15 companies that the Committee believes compete with us for talent, and the </w:t>
      </w:r>
      <w:r>
        <w:rPr>
          <w:rFonts w:ascii="Arial" w:cs="Arial" w:eastAsia="Arial" w:hAnsi="Arial"/>
          <w:sz w:val="16"/>
          <w:szCs w:val="16"/>
          <w:i w:val="1"/>
          <w:iCs w:val="1"/>
          <w:color w:val="auto"/>
        </w:rPr>
        <w:t>TSR Peer Group</w:t>
      </w:r>
      <w:r>
        <w:rPr>
          <w:rFonts w:ascii="Arial" w:cs="Arial" w:eastAsia="Arial" w:hAnsi="Arial"/>
          <w:sz w:val="16"/>
          <w:szCs w:val="16"/>
          <w:color w:val="auto"/>
        </w:rPr>
        <w:t>, consisting of the S&amp;P 500, which the Committee believes compete with us for investors and is used to assess the achievement of rTSR measured for the PSU awards.</w:t>
      </w:r>
    </w:p>
    <w:p>
      <w:pPr>
        <w:spacing w:after="0" w:line="166"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70" w:lineRule="exact"/>
        <w:rPr>
          <w:sz w:val="20"/>
          <w:szCs w:val="20"/>
          <w:color w:val="auto"/>
        </w:rPr>
      </w:pPr>
    </w:p>
    <w:p>
      <w:pPr>
        <w:ind w:left="360" w:right="40" w:hanging="288"/>
        <w:spacing w:after="0" w:line="254" w:lineRule="auto"/>
        <w:tabs>
          <w:tab w:leader="none" w:pos="36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Company size (approximately 0.4 times to 2.5 times Martin Marietta’s annual revenues);</w:t>
      </w:r>
    </w:p>
    <w:p>
      <w:pPr>
        <w:spacing w:after="0" w:line="63" w:lineRule="exact"/>
        <w:rPr>
          <w:rFonts w:ascii="Arial" w:cs="Arial" w:eastAsia="Arial" w:hAnsi="Arial"/>
          <w:sz w:val="16"/>
          <w:szCs w:val="16"/>
          <w:color w:val="007CBA"/>
        </w:rPr>
      </w:pPr>
    </w:p>
    <w:p>
      <w:pPr>
        <w:ind w:left="360" w:hanging="288"/>
        <w:spacing w:after="0"/>
        <w:tabs>
          <w:tab w:leader="none" w:pos="36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Company market cap;</w:t>
      </w:r>
    </w:p>
    <w:p>
      <w:pPr>
        <w:spacing w:after="0" w:line="82" w:lineRule="exact"/>
        <w:rPr>
          <w:rFonts w:ascii="Arial" w:cs="Arial" w:eastAsia="Arial" w:hAnsi="Arial"/>
          <w:sz w:val="16"/>
          <w:szCs w:val="16"/>
          <w:color w:val="007CBA"/>
        </w:rPr>
      </w:pPr>
    </w:p>
    <w:p>
      <w:pPr>
        <w:ind w:left="360" w:hanging="288"/>
        <w:spacing w:after="0"/>
        <w:tabs>
          <w:tab w:leader="none" w:pos="36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Companies in similar industries based on GICS code classifications;</w:t>
      </w:r>
    </w:p>
    <w:p>
      <w:pPr>
        <w:spacing w:after="0" w:line="82" w:lineRule="exact"/>
        <w:rPr>
          <w:rFonts w:ascii="Arial" w:cs="Arial" w:eastAsia="Arial" w:hAnsi="Arial"/>
          <w:sz w:val="16"/>
          <w:szCs w:val="16"/>
          <w:color w:val="007CBA"/>
        </w:rPr>
      </w:pPr>
    </w:p>
    <w:p>
      <w:pPr>
        <w:ind w:left="360" w:right="40" w:hanging="288"/>
        <w:spacing w:after="0" w:line="254" w:lineRule="auto"/>
        <w:tabs>
          <w:tab w:leader="none" w:pos="36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Direct competitors for business and management talent that are publicly-traded in the United States;</w:t>
      </w:r>
    </w:p>
    <w:p>
      <w:pPr>
        <w:spacing w:after="0" w:line="63" w:lineRule="exact"/>
        <w:rPr>
          <w:rFonts w:ascii="Arial" w:cs="Arial" w:eastAsia="Arial" w:hAnsi="Arial"/>
          <w:sz w:val="16"/>
          <w:szCs w:val="16"/>
          <w:color w:val="007CBA"/>
        </w:rPr>
      </w:pPr>
    </w:p>
    <w:p>
      <w:pPr>
        <w:ind w:left="360" w:right="40" w:hanging="288"/>
        <w:spacing w:after="0" w:line="254" w:lineRule="auto"/>
        <w:tabs>
          <w:tab w:leader="none" w:pos="36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Companies covered by the investment analysts that track Martin Marietta; and</w:t>
      </w:r>
    </w:p>
    <w:p>
      <w:pPr>
        <w:spacing w:after="0" w:line="63" w:lineRule="exact"/>
        <w:rPr>
          <w:rFonts w:ascii="Arial" w:cs="Arial" w:eastAsia="Arial" w:hAnsi="Arial"/>
          <w:sz w:val="16"/>
          <w:szCs w:val="16"/>
          <w:color w:val="007CBA"/>
        </w:rPr>
      </w:pPr>
    </w:p>
    <w:p>
      <w:pPr>
        <w:ind w:left="360" w:right="40" w:hanging="288"/>
        <w:spacing w:after="0" w:line="254" w:lineRule="auto"/>
        <w:tabs>
          <w:tab w:leader="none" w:pos="36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Companies that include Martin Marietta in their compensation peer group.</w:t>
      </w:r>
    </w:p>
    <w:p>
      <w:pPr>
        <w:spacing w:after="0" w:line="200" w:lineRule="exact"/>
        <w:rPr>
          <w:sz w:val="20"/>
          <w:szCs w:val="20"/>
          <w:color w:val="auto"/>
        </w:rPr>
      </w:pPr>
    </w:p>
    <w:p>
      <w:pPr>
        <w:sectPr>
          <w:pgSz w:w="11900" w:h="16838" w:orient="portrait"/>
          <w:cols w:equalWidth="0" w:num="2">
            <w:col w:w="5400" w:space="340"/>
            <w:col w:w="5340"/>
          </w:cols>
          <w:pgMar w:left="320" w:top="455" w:right="499" w:bottom="1440" w:gutter="0" w:footer="0" w:header="0"/>
        </w:sectPr>
      </w:pPr>
    </w:p>
    <w:p>
      <w:pPr>
        <w:spacing w:after="0" w:line="1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companies comprised our Compensation Peer Group for 2019 base salary and long-term incentive pay decisions:</w:t>
      </w:r>
    </w:p>
    <w:p>
      <w:pPr>
        <w:spacing w:after="0" w:line="194" w:lineRule="exact"/>
        <w:rPr>
          <w:sz w:val="20"/>
          <w:szCs w:val="20"/>
          <w:color w:val="auto"/>
        </w:rPr>
      </w:pPr>
    </w:p>
    <w:tbl>
      <w:tblPr>
        <w:tblLayout w:type="fixed"/>
        <w:tblInd w:w="210" w:type="dxa"/>
        <w:tblCellMar>
          <w:top w:w="0" w:type="dxa"/>
          <w:left w:w="0" w:type="dxa"/>
          <w:bottom w:w="0" w:type="dxa"/>
          <w:right w:w="0" w:type="dxa"/>
        </w:tblCellMar>
      </w:tblPr>
      <w:tr>
        <w:trPr>
          <w:trHeight w:val="338"/>
        </w:trPr>
        <w:tc>
          <w:tcPr>
            <w:tcW w:w="2720" w:type="dxa"/>
            <w:vAlign w:val="bottom"/>
            <w:tcBorders>
              <w:top w:val="single" w:sz="8" w:color="007CBA"/>
              <w:left w:val="single" w:sz="8" w:color="007CBA"/>
            </w:tcBorders>
          </w:tcPr>
          <w:p>
            <w:pPr>
              <w:ind w:left="220"/>
              <w:spacing w:after="0"/>
              <w:rPr>
                <w:sz w:val="20"/>
                <w:szCs w:val="20"/>
                <w:color w:val="auto"/>
              </w:rPr>
            </w:pPr>
            <w:r>
              <w:rPr>
                <w:rFonts w:ascii="Arial" w:cs="Arial" w:eastAsia="Arial" w:hAnsi="Arial"/>
                <w:sz w:val="14"/>
                <w:szCs w:val="14"/>
                <w:color w:val="auto"/>
              </w:rPr>
              <w:t>Albemarle Corporation</w:t>
            </w:r>
          </w:p>
        </w:tc>
        <w:tc>
          <w:tcPr>
            <w:tcW w:w="2880" w:type="dxa"/>
            <w:vAlign w:val="bottom"/>
            <w:tcBorders>
              <w:top w:val="single" w:sz="8" w:color="007CBA"/>
            </w:tcBorders>
          </w:tcPr>
          <w:p>
            <w:pPr>
              <w:ind w:left="420"/>
              <w:spacing w:after="0"/>
              <w:rPr>
                <w:sz w:val="20"/>
                <w:szCs w:val="20"/>
                <w:color w:val="auto"/>
              </w:rPr>
            </w:pPr>
            <w:r>
              <w:rPr>
                <w:rFonts w:ascii="Arial" w:cs="Arial" w:eastAsia="Arial" w:hAnsi="Arial"/>
                <w:sz w:val="14"/>
                <w:szCs w:val="14"/>
                <w:color w:val="auto"/>
              </w:rPr>
              <w:t>Louisiana-Pacific Corporation</w:t>
            </w:r>
          </w:p>
        </w:tc>
        <w:tc>
          <w:tcPr>
            <w:tcW w:w="2680" w:type="dxa"/>
            <w:vAlign w:val="bottom"/>
            <w:tcBorders>
              <w:top w:val="single" w:sz="8" w:color="007CBA"/>
            </w:tcBorders>
          </w:tcPr>
          <w:p>
            <w:pPr>
              <w:ind w:left="600"/>
              <w:spacing w:after="0"/>
              <w:rPr>
                <w:sz w:val="20"/>
                <w:szCs w:val="20"/>
                <w:color w:val="auto"/>
              </w:rPr>
            </w:pPr>
            <w:r>
              <w:rPr>
                <w:rFonts w:ascii="Arial" w:cs="Arial" w:eastAsia="Arial" w:hAnsi="Arial"/>
                <w:sz w:val="14"/>
                <w:szCs w:val="14"/>
                <w:color w:val="auto"/>
              </w:rPr>
              <w:t>Owens Corning</w:t>
            </w:r>
          </w:p>
        </w:tc>
        <w:tc>
          <w:tcPr>
            <w:tcW w:w="2600" w:type="dxa"/>
            <w:vAlign w:val="bottom"/>
            <w:tcBorders>
              <w:top w:val="single" w:sz="8" w:color="007CBA"/>
              <w:right w:val="single" w:sz="8" w:color="007CBA"/>
            </w:tcBorders>
          </w:tcPr>
          <w:p>
            <w:pPr>
              <w:ind w:left="300"/>
              <w:spacing w:after="0"/>
              <w:rPr>
                <w:sz w:val="20"/>
                <w:szCs w:val="20"/>
                <w:color w:val="auto"/>
              </w:rPr>
            </w:pPr>
            <w:r>
              <w:rPr>
                <w:rFonts w:ascii="Arial" w:cs="Arial" w:eastAsia="Arial" w:hAnsi="Arial"/>
                <w:sz w:val="14"/>
                <w:szCs w:val="14"/>
                <w:color w:val="auto"/>
              </w:rPr>
              <w:t>Vulcan Materials Company</w:t>
            </w:r>
          </w:p>
        </w:tc>
      </w:tr>
      <w:tr>
        <w:trPr>
          <w:trHeight w:val="160"/>
        </w:trPr>
        <w:tc>
          <w:tcPr>
            <w:tcW w:w="2720" w:type="dxa"/>
            <w:vAlign w:val="bottom"/>
            <w:tcBorders>
              <w:left w:val="single" w:sz="8" w:color="007CBA"/>
            </w:tcBorders>
          </w:tcPr>
          <w:p>
            <w:pPr>
              <w:ind w:left="220"/>
              <w:spacing w:after="0" w:line="160" w:lineRule="exact"/>
              <w:rPr>
                <w:sz w:val="20"/>
                <w:szCs w:val="20"/>
                <w:color w:val="auto"/>
              </w:rPr>
            </w:pPr>
            <w:r>
              <w:rPr>
                <w:rFonts w:ascii="Arial" w:cs="Arial" w:eastAsia="Arial" w:hAnsi="Arial"/>
                <w:sz w:val="14"/>
                <w:szCs w:val="14"/>
                <w:color w:val="auto"/>
              </w:rPr>
              <w:t>Eagle Materials, Inc.</w:t>
            </w:r>
          </w:p>
        </w:tc>
        <w:tc>
          <w:tcPr>
            <w:tcW w:w="2880" w:type="dxa"/>
            <w:vAlign w:val="bottom"/>
          </w:tcPr>
          <w:p>
            <w:pPr>
              <w:ind w:left="420"/>
              <w:spacing w:after="0" w:line="160" w:lineRule="exact"/>
              <w:rPr>
                <w:sz w:val="20"/>
                <w:szCs w:val="20"/>
                <w:color w:val="auto"/>
              </w:rPr>
            </w:pPr>
            <w:r>
              <w:rPr>
                <w:rFonts w:ascii="Arial" w:cs="Arial" w:eastAsia="Arial" w:hAnsi="Arial"/>
                <w:sz w:val="14"/>
                <w:szCs w:val="14"/>
                <w:color w:val="auto"/>
              </w:rPr>
              <w:t>Masco Corporation</w:t>
            </w:r>
          </w:p>
        </w:tc>
        <w:tc>
          <w:tcPr>
            <w:tcW w:w="2680" w:type="dxa"/>
            <w:vAlign w:val="bottom"/>
          </w:tcPr>
          <w:p>
            <w:pPr>
              <w:ind w:left="600"/>
              <w:spacing w:after="0" w:line="160" w:lineRule="exact"/>
              <w:rPr>
                <w:sz w:val="20"/>
                <w:szCs w:val="20"/>
                <w:color w:val="auto"/>
              </w:rPr>
            </w:pPr>
            <w:r>
              <w:rPr>
                <w:rFonts w:ascii="Arial" w:cs="Arial" w:eastAsia="Arial" w:hAnsi="Arial"/>
                <w:sz w:val="14"/>
                <w:szCs w:val="14"/>
                <w:color w:val="auto"/>
              </w:rPr>
              <w:t>Stanley Black &amp; Decker, Inc.</w:t>
            </w:r>
          </w:p>
        </w:tc>
        <w:tc>
          <w:tcPr>
            <w:tcW w:w="2600" w:type="dxa"/>
            <w:vAlign w:val="bottom"/>
            <w:tcBorders>
              <w:right w:val="single" w:sz="8" w:color="007CBA"/>
            </w:tcBorders>
          </w:tcPr>
          <w:p>
            <w:pPr>
              <w:ind w:left="300"/>
              <w:spacing w:after="0" w:line="160" w:lineRule="exact"/>
              <w:rPr>
                <w:sz w:val="20"/>
                <w:szCs w:val="20"/>
                <w:color w:val="auto"/>
              </w:rPr>
            </w:pPr>
            <w:r>
              <w:rPr>
                <w:rFonts w:ascii="Arial" w:cs="Arial" w:eastAsia="Arial" w:hAnsi="Arial"/>
                <w:sz w:val="14"/>
                <w:szCs w:val="14"/>
                <w:color w:val="auto"/>
              </w:rPr>
              <w:t>Westlake Chemical Corporation</w:t>
            </w:r>
          </w:p>
        </w:tc>
      </w:tr>
      <w:tr>
        <w:trPr>
          <w:trHeight w:val="171"/>
        </w:trPr>
        <w:tc>
          <w:tcPr>
            <w:tcW w:w="2720" w:type="dxa"/>
            <w:vAlign w:val="bottom"/>
            <w:tcBorders>
              <w:left w:val="single" w:sz="8" w:color="007CBA"/>
            </w:tcBorders>
          </w:tcPr>
          <w:p>
            <w:pPr>
              <w:ind w:left="220"/>
              <w:spacing w:after="0"/>
              <w:rPr>
                <w:sz w:val="20"/>
                <w:szCs w:val="20"/>
                <w:color w:val="auto"/>
              </w:rPr>
            </w:pPr>
            <w:r>
              <w:rPr>
                <w:rFonts w:ascii="Arial" w:cs="Arial" w:eastAsia="Arial" w:hAnsi="Arial"/>
                <w:sz w:val="14"/>
                <w:szCs w:val="14"/>
                <w:color w:val="auto"/>
              </w:rPr>
              <w:t>FMC Corporation</w:t>
            </w:r>
          </w:p>
        </w:tc>
        <w:tc>
          <w:tcPr>
            <w:tcW w:w="2880" w:type="dxa"/>
            <w:vAlign w:val="bottom"/>
          </w:tcPr>
          <w:p>
            <w:pPr>
              <w:ind w:left="420"/>
              <w:spacing w:after="0"/>
              <w:rPr>
                <w:sz w:val="20"/>
                <w:szCs w:val="20"/>
                <w:color w:val="auto"/>
              </w:rPr>
            </w:pPr>
            <w:r>
              <w:rPr>
                <w:rFonts w:ascii="Arial" w:cs="Arial" w:eastAsia="Arial" w:hAnsi="Arial"/>
                <w:sz w:val="14"/>
                <w:szCs w:val="14"/>
                <w:color w:val="auto"/>
              </w:rPr>
              <w:t>The Mosaic Company</w:t>
            </w:r>
          </w:p>
        </w:tc>
        <w:tc>
          <w:tcPr>
            <w:tcW w:w="2680" w:type="dxa"/>
            <w:vAlign w:val="bottom"/>
          </w:tcPr>
          <w:p>
            <w:pPr>
              <w:ind w:left="600"/>
              <w:spacing w:after="0"/>
              <w:rPr>
                <w:sz w:val="20"/>
                <w:szCs w:val="20"/>
                <w:color w:val="auto"/>
              </w:rPr>
            </w:pPr>
            <w:r>
              <w:rPr>
                <w:rFonts w:ascii="Arial" w:cs="Arial" w:eastAsia="Arial" w:hAnsi="Arial"/>
                <w:sz w:val="14"/>
                <w:szCs w:val="14"/>
                <w:color w:val="auto"/>
              </w:rPr>
              <w:t>Summit Materials, Inc.</w:t>
            </w:r>
          </w:p>
        </w:tc>
        <w:tc>
          <w:tcPr>
            <w:tcW w:w="2600" w:type="dxa"/>
            <w:vAlign w:val="bottom"/>
            <w:tcBorders>
              <w:right w:val="single" w:sz="8" w:color="007CBA"/>
            </w:tcBorders>
          </w:tcPr>
          <w:p>
            <w:pPr>
              <w:ind w:left="300"/>
              <w:spacing w:after="0"/>
              <w:rPr>
                <w:sz w:val="20"/>
                <w:szCs w:val="20"/>
                <w:color w:val="auto"/>
              </w:rPr>
            </w:pPr>
            <w:r>
              <w:rPr>
                <w:rFonts w:ascii="Arial" w:cs="Arial" w:eastAsia="Arial" w:hAnsi="Arial"/>
                <w:sz w:val="14"/>
                <w:szCs w:val="14"/>
                <w:color w:val="auto"/>
              </w:rPr>
              <w:t>Weyerhauser</w:t>
            </w:r>
          </w:p>
        </w:tc>
      </w:tr>
      <w:tr>
        <w:trPr>
          <w:trHeight w:val="173"/>
        </w:trPr>
        <w:tc>
          <w:tcPr>
            <w:tcW w:w="2720" w:type="dxa"/>
            <w:vAlign w:val="bottom"/>
            <w:tcBorders>
              <w:left w:val="single" w:sz="8" w:color="007CBA"/>
            </w:tcBorders>
          </w:tcPr>
          <w:p>
            <w:pPr>
              <w:ind w:left="220"/>
              <w:spacing w:after="0"/>
              <w:rPr>
                <w:sz w:val="20"/>
                <w:szCs w:val="20"/>
                <w:color w:val="auto"/>
              </w:rPr>
            </w:pPr>
            <w:r>
              <w:rPr>
                <w:rFonts w:ascii="Arial" w:cs="Arial" w:eastAsia="Arial" w:hAnsi="Arial"/>
                <w:sz w:val="14"/>
                <w:szCs w:val="14"/>
                <w:color w:val="auto"/>
              </w:rPr>
              <w:t>Fortune Brands Home &amp; Security</w:t>
            </w:r>
          </w:p>
        </w:tc>
        <w:tc>
          <w:tcPr>
            <w:tcW w:w="2880" w:type="dxa"/>
            <w:vAlign w:val="bottom"/>
          </w:tcPr>
          <w:p>
            <w:pPr>
              <w:ind w:left="420"/>
              <w:spacing w:after="0"/>
              <w:rPr>
                <w:sz w:val="20"/>
                <w:szCs w:val="20"/>
                <w:color w:val="auto"/>
              </w:rPr>
            </w:pPr>
            <w:r>
              <w:rPr>
                <w:rFonts w:ascii="Arial" w:cs="Arial" w:eastAsia="Arial" w:hAnsi="Arial"/>
                <w:sz w:val="14"/>
                <w:szCs w:val="14"/>
                <w:color w:val="auto"/>
              </w:rPr>
              <w:t>Nucor Corporation</w:t>
            </w:r>
          </w:p>
        </w:tc>
        <w:tc>
          <w:tcPr>
            <w:tcW w:w="2680" w:type="dxa"/>
            <w:vAlign w:val="bottom"/>
          </w:tcPr>
          <w:p>
            <w:pPr>
              <w:ind w:left="600"/>
              <w:spacing w:after="0"/>
              <w:rPr>
                <w:sz w:val="20"/>
                <w:szCs w:val="20"/>
                <w:color w:val="auto"/>
              </w:rPr>
            </w:pPr>
            <w:r>
              <w:rPr>
                <w:rFonts w:ascii="Arial" w:cs="Arial" w:eastAsia="Arial" w:hAnsi="Arial"/>
                <w:sz w:val="14"/>
                <w:szCs w:val="14"/>
                <w:color w:val="auto"/>
              </w:rPr>
              <w:t>USG Corp.</w:t>
            </w:r>
          </w:p>
        </w:tc>
        <w:tc>
          <w:tcPr>
            <w:tcW w:w="2600" w:type="dxa"/>
            <w:vAlign w:val="bottom"/>
            <w:tcBorders>
              <w:right w:val="single" w:sz="8" w:color="007CBA"/>
            </w:tcBorders>
          </w:tcPr>
          <w:p>
            <w:pPr>
              <w:spacing w:after="0"/>
              <w:rPr>
                <w:sz w:val="15"/>
                <w:szCs w:val="15"/>
                <w:color w:val="auto"/>
              </w:rPr>
            </w:pPr>
          </w:p>
        </w:tc>
      </w:tr>
      <w:tr>
        <w:trPr>
          <w:trHeight w:val="145"/>
        </w:trPr>
        <w:tc>
          <w:tcPr>
            <w:tcW w:w="2720" w:type="dxa"/>
            <w:vAlign w:val="bottom"/>
            <w:tcBorders>
              <w:left w:val="single" w:sz="8" w:color="007CBA"/>
              <w:bottom w:val="single" w:sz="8" w:color="007CBA"/>
            </w:tcBorders>
          </w:tcPr>
          <w:p>
            <w:pPr>
              <w:spacing w:after="0"/>
              <w:rPr>
                <w:sz w:val="12"/>
                <w:szCs w:val="12"/>
                <w:color w:val="auto"/>
              </w:rPr>
            </w:pPr>
          </w:p>
        </w:tc>
        <w:tc>
          <w:tcPr>
            <w:tcW w:w="2880" w:type="dxa"/>
            <w:vAlign w:val="bottom"/>
            <w:tcBorders>
              <w:bottom w:val="single" w:sz="8" w:color="007CBA"/>
            </w:tcBorders>
          </w:tcPr>
          <w:p>
            <w:pPr>
              <w:spacing w:after="0"/>
              <w:rPr>
                <w:sz w:val="12"/>
                <w:szCs w:val="12"/>
                <w:color w:val="auto"/>
              </w:rPr>
            </w:pPr>
          </w:p>
        </w:tc>
        <w:tc>
          <w:tcPr>
            <w:tcW w:w="2680" w:type="dxa"/>
            <w:vAlign w:val="bottom"/>
            <w:tcBorders>
              <w:bottom w:val="single" w:sz="8" w:color="007CBA"/>
            </w:tcBorders>
          </w:tcPr>
          <w:p>
            <w:pPr>
              <w:spacing w:after="0"/>
              <w:rPr>
                <w:sz w:val="12"/>
                <w:szCs w:val="12"/>
                <w:color w:val="auto"/>
              </w:rPr>
            </w:pPr>
          </w:p>
        </w:tc>
        <w:tc>
          <w:tcPr>
            <w:tcW w:w="2600" w:type="dxa"/>
            <w:vAlign w:val="bottom"/>
            <w:tcBorders>
              <w:bottom w:val="single" w:sz="8" w:color="007CBA"/>
              <w:right w:val="single" w:sz="8" w:color="007CBA"/>
            </w:tcBorders>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080"/>
          </w:cols>
          <w:pgMar w:left="320" w:top="455" w:right="499" w:bottom="1440" w:gutter="0" w:footer="0" w:header="0"/>
          <w:type w:val="continuous"/>
        </w:sectPr>
      </w:pPr>
    </w:p>
    <w:p>
      <w:pPr>
        <w:spacing w:after="0" w:line="68"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The Committee studies competitive total compensation data from various sources, including proxy statements of the peer group. Since proxy statements do not provide precise comparisons by position to our executive officers, in 2019 the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Committee also took into consideration published independent compensation surveys of companies with revenue in the range of $2.5 billion to $8.0 billion as to median levels for each executive officer as well as private compensation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177800</wp:posOffset>
            </wp:positionV>
            <wp:extent cx="406400" cy="2451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5" w:right="499" w:bottom="1440" w:gutter="0" w:footer="0" w:header="0"/>
          <w:type w:val="continuous"/>
        </w:sectPr>
      </w:pPr>
    </w:p>
    <w:p>
      <w:pPr>
        <w:spacing w:after="0" w:line="114" w:lineRule="exact"/>
        <w:rPr>
          <w:sz w:val="20"/>
          <w:szCs w:val="20"/>
          <w:color w:val="auto"/>
        </w:rPr>
      </w:pPr>
    </w:p>
    <w:p>
      <w:pPr>
        <w:ind w:left="620" w:hanging="433"/>
        <w:spacing w:after="0"/>
        <w:tabs>
          <w:tab w:leader="none" w:pos="620" w:val="left"/>
        </w:tabs>
        <w:numPr>
          <w:ilvl w:val="0"/>
          <w:numId w:val="124"/>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80"/>
          </w:cols>
          <w:pgMar w:left="320" w:top="455" w:right="49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data. Where available, size-adjusted market values were developed using regression analysis. This statistical technique accounts for revenue size differences within the peer group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w:t>
      </w:r>
    </w:p>
    <w:p>
      <w:pPr>
        <w:spacing w:after="0" w:line="177" w:lineRule="exact"/>
        <w:rPr>
          <w:sz w:val="20"/>
          <w:szCs w:val="20"/>
          <w:color w:val="auto"/>
        </w:rPr>
      </w:pPr>
    </w:p>
    <w:p>
      <w:pPr>
        <w:jc w:val="both"/>
        <w:ind w:left="200"/>
        <w:spacing w:after="0" w:line="261" w:lineRule="auto"/>
        <w:rPr>
          <w:sz w:val="20"/>
          <w:szCs w:val="20"/>
          <w:color w:val="auto"/>
        </w:rPr>
      </w:pPr>
      <w:r>
        <w:rPr>
          <w:rFonts w:ascii="Arial" w:cs="Arial" w:eastAsia="Arial" w:hAnsi="Arial"/>
          <w:sz w:val="15"/>
          <w:szCs w:val="15"/>
          <w:color w:val="auto"/>
        </w:rPr>
        <w:t>Although the Committee uses the size-adjusted 50th percentile as its starting point in setting compensation levels, the compensation packages for executive officers may vary materially from it based on several factors. Market data, position, tenure, individual and organization performance, retention needs and internal pay equity have been the primary factors considered in decisions to increase or decrease compensation opportunities. Specifically, the Committee typically sets compensation levels below the size-adjusted 50th percentile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size-adjusted 50th percentile.</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Compensation Program Risk Assessment</w:t>
      </w:r>
    </w:p>
    <w:p>
      <w:pPr>
        <w:spacing w:after="0" w:line="14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perform a thorough annual review of our compensation program structure and all compensation programs, which are also reviewed in detail with the Committee. We believe our executive pay is appropriate and provides necessary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76" w:lineRule="exact"/>
        <w:rPr>
          <w:sz w:val="20"/>
          <w:szCs w:val="20"/>
          <w:color w:val="auto"/>
        </w:rPr>
      </w:pPr>
    </w:p>
    <w:p>
      <w:pPr>
        <w:jc w:val="both"/>
        <w:ind w:left="540" w:hanging="274"/>
        <w:spacing w:after="0" w:line="249" w:lineRule="auto"/>
        <w:tabs>
          <w:tab w:leader="none" w:pos="54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Our annual incentive compensation plan does not provide payment for poor individual or corporate performance, regardless of whether the failure to achieve target was outside management’s control.</w:t>
      </w:r>
    </w:p>
    <w:p>
      <w:pPr>
        <w:spacing w:after="0" w:line="67" w:lineRule="exact"/>
        <w:rPr>
          <w:rFonts w:ascii="Arial" w:cs="Arial" w:eastAsia="Arial" w:hAnsi="Arial"/>
          <w:sz w:val="16"/>
          <w:szCs w:val="16"/>
          <w:color w:val="007CBA"/>
        </w:rPr>
      </w:pPr>
    </w:p>
    <w:p>
      <w:pPr>
        <w:ind w:left="540" w:right="20" w:hanging="274"/>
        <w:spacing w:after="0" w:line="254" w:lineRule="auto"/>
        <w:tabs>
          <w:tab w:leader="none" w:pos="54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There are caps on the long-term equity awards, even if the required performance-related criteria are exceeded.</w:t>
      </w:r>
    </w:p>
    <w:p>
      <w:pPr>
        <w:spacing w:after="0" w:line="63" w:lineRule="exact"/>
        <w:rPr>
          <w:rFonts w:ascii="Arial" w:cs="Arial" w:eastAsia="Arial" w:hAnsi="Arial"/>
          <w:sz w:val="16"/>
          <w:szCs w:val="16"/>
          <w:color w:val="007CBA"/>
        </w:rPr>
      </w:pPr>
    </w:p>
    <w:p>
      <w:pPr>
        <w:ind w:left="540" w:right="20" w:hanging="274"/>
        <w:spacing w:after="0" w:line="254" w:lineRule="auto"/>
        <w:tabs>
          <w:tab w:leader="none" w:pos="54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A majority of the NEOs’ compensation is long-term, with equity grants vesting over three to five years, depending on the award.</w:t>
      </w:r>
    </w:p>
    <w:p>
      <w:pPr>
        <w:spacing w:after="0" w:line="63" w:lineRule="exact"/>
        <w:rPr>
          <w:rFonts w:ascii="Arial" w:cs="Arial" w:eastAsia="Arial" w:hAnsi="Arial"/>
          <w:sz w:val="16"/>
          <w:szCs w:val="16"/>
          <w:color w:val="007CBA"/>
        </w:rPr>
      </w:pPr>
    </w:p>
    <w:p>
      <w:pPr>
        <w:jc w:val="both"/>
        <w:ind w:left="540" w:hanging="274"/>
        <w:spacing w:after="0" w:line="249" w:lineRule="auto"/>
        <w:tabs>
          <w:tab w:leader="none" w:pos="54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Our compensation is not based on highly-leveraged short-term incentives that encourage high risk investments at the expense of long-term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Compensation Decision Process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-668020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61" w:lineRule="exact"/>
        <w:rPr>
          <w:sz w:val="20"/>
          <w:szCs w:val="20"/>
          <w:color w:val="auto"/>
        </w:rPr>
      </w:pPr>
    </w:p>
    <w:p>
      <w:pPr>
        <w:ind w:left="360" w:right="20" w:hanging="288"/>
        <w:spacing w:after="0" w:line="254" w:lineRule="auto"/>
        <w:tabs>
          <w:tab w:leader="none" w:pos="36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63" w:lineRule="exact"/>
        <w:rPr>
          <w:rFonts w:ascii="Arial" w:cs="Arial" w:eastAsia="Arial" w:hAnsi="Arial"/>
          <w:sz w:val="16"/>
          <w:szCs w:val="16"/>
          <w:color w:val="007CBA"/>
        </w:rPr>
      </w:pPr>
    </w:p>
    <w:p>
      <w:pPr>
        <w:jc w:val="both"/>
        <w:ind w:left="360" w:right="20" w:hanging="288"/>
        <w:spacing w:after="0" w:line="247" w:lineRule="auto"/>
        <w:tabs>
          <w:tab w:leader="none" w:pos="36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The Committee uses benchmarking data and the advice of its independent compensation consultant to keep compensation in line with typical market practices and appropriate to Martin Marietta’s needs.</w:t>
      </w:r>
    </w:p>
    <w:p>
      <w:pPr>
        <w:spacing w:after="0" w:line="68" w:lineRule="exact"/>
        <w:rPr>
          <w:rFonts w:ascii="Arial" w:cs="Arial" w:eastAsia="Arial" w:hAnsi="Arial"/>
          <w:sz w:val="16"/>
          <w:szCs w:val="16"/>
          <w:color w:val="007CBA"/>
        </w:rPr>
      </w:pPr>
    </w:p>
    <w:p>
      <w:pPr>
        <w:ind w:left="360" w:hanging="288"/>
        <w:spacing w:after="0"/>
        <w:tabs>
          <w:tab w:leader="none" w:pos="36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We use a balanced portfolio of long-term incentive programs.</w:t>
      </w:r>
    </w:p>
    <w:p>
      <w:pPr>
        <w:spacing w:after="0" w:line="82"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The Committee’s governance process requires review and approval of all compensation over a certain amount.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Stock-Based Awards Generally</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All of Martin Marietta’s active equity-based award plans have been approved by shareholders. Our Stock Plan requires a minimum vesting period of 12 months for restricted stock or RSUs and a minimum vesting period of 36 months for stock options or stock appreciation rights (SARs). The Company has not issued SARs and has not issued options since 2015.</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Stock Ownership Requirements</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2018, the Board adopted robust formal Stock Ownership Guidelines for executive officers and members of the Board of Directors. These require the following ownership levels as a multiple of base salary or annual cash retainer, as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Borders>
              <w:right w:val="single" w:sz="8" w:color="007CBA"/>
            </w:tcBorders>
            <w:shd w:val="clear" w:color="auto" w:fill="007CBA"/>
          </w:tcPr>
          <w:p>
            <w:pPr>
              <w:spacing w:after="0"/>
              <w:rPr>
                <w:sz w:val="15"/>
                <w:szCs w:val="15"/>
                <w:color w:val="auto"/>
              </w:rPr>
            </w:pPr>
          </w:p>
        </w:tc>
        <w:tc>
          <w:tcPr>
            <w:tcW w:w="12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Annual Base</w:t>
            </w:r>
          </w:p>
        </w:tc>
      </w:tr>
      <w:tr>
        <w:trPr>
          <w:trHeight w:val="207"/>
        </w:trPr>
        <w:tc>
          <w:tcPr>
            <w:tcW w:w="412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Title</w:t>
            </w:r>
          </w:p>
        </w:tc>
        <w:tc>
          <w:tcPr>
            <w:tcW w:w="120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Salary Multiple</w:t>
            </w:r>
          </w:p>
        </w:tc>
      </w:tr>
      <w:tr>
        <w:trPr>
          <w:trHeight w:val="273"/>
        </w:trPr>
        <w:tc>
          <w:tcPr>
            <w:tcW w:w="41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Chairman, President and CEO</w:t>
            </w:r>
          </w:p>
        </w:tc>
        <w:tc>
          <w:tcPr>
            <w:tcW w:w="1200" w:type="dxa"/>
            <w:vAlign w:val="bottom"/>
            <w:tcBorders>
              <w:bottom w:val="single" w:sz="8" w:color="E5F1F8"/>
            </w:tcBorders>
            <w:shd w:val="clear" w:color="auto" w:fill="E5F1F8"/>
          </w:tcPr>
          <w:p>
            <w:pPr>
              <w:ind w:left="320"/>
              <w:spacing w:after="0"/>
              <w:rPr>
                <w:sz w:val="20"/>
                <w:szCs w:val="20"/>
                <w:color w:val="auto"/>
              </w:rPr>
            </w:pPr>
            <w:r>
              <w:rPr>
                <w:rFonts w:ascii="Arial" w:cs="Arial" w:eastAsia="Arial" w:hAnsi="Arial"/>
                <w:sz w:val="14"/>
                <w:szCs w:val="14"/>
                <w:color w:val="auto"/>
              </w:rPr>
              <w:t>7 times</w:t>
            </w:r>
          </w:p>
        </w:tc>
      </w:tr>
      <w:tr>
        <w:trPr>
          <w:trHeight w:val="242"/>
        </w:trPr>
        <w:tc>
          <w:tcPr>
            <w:tcW w:w="41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Other Executive Officers</w:t>
            </w:r>
          </w:p>
        </w:tc>
        <w:tc>
          <w:tcPr>
            <w:tcW w:w="1200" w:type="dxa"/>
            <w:vAlign w:val="bottom"/>
          </w:tcPr>
          <w:p>
            <w:pPr>
              <w:ind w:left="320"/>
              <w:spacing w:after="0"/>
              <w:rPr>
                <w:sz w:val="20"/>
                <w:szCs w:val="20"/>
                <w:color w:val="auto"/>
              </w:rPr>
            </w:pPr>
            <w:r>
              <w:rPr>
                <w:rFonts w:ascii="Arial" w:cs="Arial" w:eastAsia="Arial" w:hAnsi="Arial"/>
                <w:sz w:val="14"/>
                <w:szCs w:val="14"/>
                <w:color w:val="auto"/>
              </w:rPr>
              <w:t>5 times</w:t>
            </w:r>
          </w:p>
        </w:tc>
      </w:tr>
      <w:tr>
        <w:trPr>
          <w:trHeight w:val="51"/>
        </w:trPr>
        <w:tc>
          <w:tcPr>
            <w:tcW w:w="4120" w:type="dxa"/>
            <w:vAlign w:val="bottom"/>
            <w:tcBorders>
              <w:right w:val="single" w:sz="8" w:color="007CBA"/>
            </w:tcBorders>
          </w:tcPr>
          <w:p>
            <w:pPr>
              <w:spacing w:after="0"/>
              <w:rPr>
                <w:sz w:val="4"/>
                <w:szCs w:val="4"/>
                <w:color w:val="auto"/>
              </w:rPr>
            </w:pPr>
          </w:p>
        </w:tc>
        <w:tc>
          <w:tcPr>
            <w:tcW w:w="1200" w:type="dxa"/>
            <w:vAlign w:val="bottom"/>
          </w:tcPr>
          <w:p>
            <w:pPr>
              <w:spacing w:after="0"/>
              <w:rPr>
                <w:sz w:val="4"/>
                <w:szCs w:val="4"/>
                <w:color w:val="auto"/>
              </w:rPr>
            </w:pPr>
          </w:p>
        </w:tc>
      </w:tr>
      <w:tr>
        <w:trPr>
          <w:trHeight w:val="273"/>
        </w:trPr>
        <w:tc>
          <w:tcPr>
            <w:tcW w:w="412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Other Members of the Board of Directors</w:t>
            </w:r>
          </w:p>
        </w:tc>
        <w:tc>
          <w:tcPr>
            <w:tcW w:w="1200" w:type="dxa"/>
            <w:vAlign w:val="bottom"/>
            <w:tcBorders>
              <w:bottom w:val="single" w:sz="8" w:color="E5F1F8"/>
            </w:tcBorders>
            <w:shd w:val="clear" w:color="auto" w:fill="E5F1F8"/>
          </w:tcPr>
          <w:p>
            <w:pPr>
              <w:ind w:left="320"/>
              <w:spacing w:after="0"/>
              <w:rPr>
                <w:sz w:val="20"/>
                <w:szCs w:val="20"/>
                <w:color w:val="auto"/>
              </w:rPr>
            </w:pPr>
            <w:r>
              <w:rPr>
                <w:rFonts w:ascii="Arial" w:cs="Arial" w:eastAsia="Arial" w:hAnsi="Arial"/>
                <w:sz w:val="14"/>
                <w:szCs w:val="14"/>
                <w:color w:val="auto"/>
              </w:rPr>
              <w:t>5 times</w:t>
            </w:r>
          </w:p>
        </w:tc>
      </w:tr>
      <w:tr>
        <w:trPr>
          <w:trHeight w:val="20"/>
        </w:trPr>
        <w:tc>
          <w:tcPr>
            <w:tcW w:w="4120" w:type="dxa"/>
            <w:vAlign w:val="bottom"/>
            <w:tcBorders>
              <w:right w:val="single" w:sz="8" w:color="007CBA"/>
            </w:tcBorders>
            <w:shd w:val="clear" w:color="auto" w:fill="007CBA"/>
          </w:tcPr>
          <w:p>
            <w:pPr>
              <w:spacing w:after="0" w:line="20" w:lineRule="exact"/>
              <w:rPr>
                <w:sz w:val="1"/>
                <w:szCs w:val="1"/>
                <w:color w:val="auto"/>
              </w:rPr>
            </w:pPr>
          </w:p>
        </w:tc>
        <w:tc>
          <w:tcPr>
            <w:tcW w:w="1200" w:type="dxa"/>
            <w:vAlign w:val="bottom"/>
            <w:shd w:val="clear" w:color="auto" w:fill="007CBA"/>
          </w:tcPr>
          <w:p>
            <w:pPr>
              <w:spacing w:after="0" w:line="20" w:lineRule="exact"/>
              <w:rPr>
                <w:sz w:val="1"/>
                <w:szCs w:val="1"/>
                <w:color w:val="auto"/>
              </w:rPr>
            </w:pPr>
          </w:p>
        </w:tc>
      </w:tr>
    </w:tbl>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types of equity instruments count in determining stock ownership for purposes of these guidelines:</w:t>
      </w:r>
    </w:p>
    <w:p>
      <w:pPr>
        <w:spacing w:after="0" w:line="64" w:lineRule="exact"/>
        <w:rPr>
          <w:sz w:val="20"/>
          <w:szCs w:val="20"/>
          <w:color w:val="auto"/>
        </w:rPr>
      </w:pPr>
    </w:p>
    <w:p>
      <w:pPr>
        <w:jc w:val="both"/>
        <w:ind w:left="360" w:right="20" w:hanging="288"/>
        <w:spacing w:after="0" w:line="249" w:lineRule="auto"/>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Shares owned separately by the covered person or owned either jointly with, or separately by, his or her immediate family members residing in the same household;</w:t>
      </w:r>
    </w:p>
    <w:p>
      <w:pPr>
        <w:spacing w:after="0" w:line="67"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Shares held in trust for the benefit of the covered person or his or her immediate family members;</w:t>
      </w:r>
    </w:p>
    <w:p>
      <w:pPr>
        <w:spacing w:after="0" w:line="63" w:lineRule="exact"/>
        <w:rPr>
          <w:rFonts w:ascii="Arial" w:cs="Arial" w:eastAsia="Arial" w:hAnsi="Arial"/>
          <w:sz w:val="16"/>
          <w:szCs w:val="16"/>
          <w:color w:val="007CBA"/>
        </w:rPr>
      </w:pPr>
    </w:p>
    <w:p>
      <w:pPr>
        <w:ind w:left="360" w:hanging="288"/>
        <w:spacing w:after="0"/>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Shares purchased on the open market;</w:t>
      </w:r>
    </w:p>
    <w:p>
      <w:pPr>
        <w:spacing w:after="0" w:line="82"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Shares obtained through stock option exercise (and not thereafter sold);</w:t>
      </w:r>
    </w:p>
    <w:p>
      <w:pPr>
        <w:spacing w:after="0" w:line="63" w:lineRule="exact"/>
        <w:rPr>
          <w:rFonts w:ascii="Arial" w:cs="Arial" w:eastAsia="Arial" w:hAnsi="Arial"/>
          <w:sz w:val="16"/>
          <w:szCs w:val="16"/>
          <w:color w:val="007CBA"/>
        </w:rPr>
      </w:pPr>
    </w:p>
    <w:p>
      <w:pPr>
        <w:ind w:left="360" w:hanging="288"/>
        <w:spacing w:after="0"/>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Vested shares pursuant to RSUs;</w:t>
      </w:r>
    </w:p>
    <w:p>
      <w:pPr>
        <w:spacing w:after="0" w:line="82" w:lineRule="exact"/>
        <w:rPr>
          <w:rFonts w:ascii="Arial" w:cs="Arial" w:eastAsia="Arial" w:hAnsi="Arial"/>
          <w:sz w:val="16"/>
          <w:szCs w:val="16"/>
          <w:color w:val="007CBA"/>
        </w:rPr>
      </w:pPr>
    </w:p>
    <w:p>
      <w:pPr>
        <w:ind w:left="360" w:hanging="288"/>
        <w:spacing w:after="0"/>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Unvested RSUs;</w:t>
      </w:r>
    </w:p>
    <w:p>
      <w:pPr>
        <w:spacing w:after="0" w:line="82"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Shares held pursuant to deferred stock unit plans for Directors or executive officers; and</w:t>
      </w:r>
    </w:p>
    <w:p>
      <w:pPr>
        <w:spacing w:after="0" w:line="63"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7"/>
        </w:numPr>
        <w:rPr>
          <w:rFonts w:ascii="Arial" w:cs="Arial" w:eastAsia="Arial" w:hAnsi="Arial"/>
          <w:sz w:val="16"/>
          <w:szCs w:val="16"/>
          <w:color w:val="007CBA"/>
        </w:rPr>
      </w:pPr>
      <w:r>
        <w:rPr>
          <w:rFonts w:ascii="Arial" w:cs="Arial" w:eastAsia="Arial" w:hAnsi="Arial"/>
          <w:sz w:val="16"/>
          <w:szCs w:val="16"/>
          <w:color w:val="auto"/>
        </w:rPr>
        <w:t>Shares acquired under the Company’s Savings and Investment Plan and similar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166370</wp:posOffset>
            </wp:positionV>
            <wp:extent cx="406400" cy="2451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62"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53</w:t>
            </w:r>
          </w:p>
        </w:tc>
      </w:tr>
    </w:tbl>
    <w:p>
      <w:pPr>
        <w:sectPr>
          <w:pgSz w:w="11900" w:h="16838" w:orient="portrait"/>
          <w:cols w:equalWidth="0" w:num="2">
            <w:col w:w="5400" w:space="340"/>
            <w:col w:w="5320"/>
          </w:cols>
          <w:pgMar w:left="320" w:top="455"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Stock Ownership Requirements</w:t>
      </w:r>
    </w:p>
    <w:p>
      <w:pPr>
        <w:spacing w:after="0" w:line="28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Covered persons who are employees are expected to meet these requirements within five years of the later of becoming a covered person and the date of adoption of the policy. Until such time as such covered person has met these requirements, he or she is expected to retain 50% of any shares of common stock received upon vesting of RSUs, deferred stock unit awards, PSUs, the exercise of stock options, and other similar equity awards, net of amounts withheld to pay taxes and the exercise price of stock options until the applicable </w:t>
      </w:r>
      <w:r>
        <w:rPr>
          <w:rFonts w:ascii="Arial" w:cs="Arial" w:eastAsia="Arial" w:hAnsi="Arial"/>
          <w:sz w:val="16"/>
          <w:szCs w:val="16"/>
          <w:i w:val="1"/>
          <w:iCs w:val="1"/>
          <w:color w:val="auto"/>
        </w:rPr>
        <w:t>Guideline</w:t>
      </w:r>
      <w:r>
        <w:rPr>
          <w:rFonts w:ascii="Arial" w:cs="Arial" w:eastAsia="Arial" w:hAnsi="Arial"/>
          <w:sz w:val="16"/>
          <w:szCs w:val="16"/>
          <w:color w:val="auto"/>
        </w:rPr>
        <w:t xml:space="preserve"> level is met.</w:t>
      </w:r>
    </w:p>
    <w:p>
      <w:pPr>
        <w:spacing w:after="0" w:line="177"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Stock ownership does not include vested or unvested stock options, unvested PSUs and vested or unvested stock appreciation rights.</w:t>
      </w:r>
    </w:p>
    <w:p>
      <w:pPr>
        <w:spacing w:after="0" w:line="157"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All of the Company’s executive officers and members of the Board of Directors are in compliance with the Stock Ownership Guidelines.</w:t>
      </w:r>
    </w:p>
    <w:p>
      <w:pPr>
        <w:spacing w:after="0" w:line="15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We also require a holding period of annual cash incentive compensation converted to Martin Marietta share equivalents as described below, with vesting generally in three years. There is no additional holding period beyond the vesting date, however a significant portion of the executive compensation program is in the form of equity awards that vest over three years generally.</w:t>
      </w:r>
    </w:p>
    <w:p>
      <w:pPr>
        <w:spacing w:after="0" w:line="179"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 common stock unit payment in lieu of a risk-free cash payment. In 2019, Mr. Nye deferred the maximum of 50% of his cash bonus in common stock units.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Anti-Hedging and Pledging Policy</w:t>
      </w:r>
    </w:p>
    <w:p>
      <w:pPr>
        <w:spacing w:after="0" w:line="14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Our policies prohibit hedging and pledging of Martin Marietta stock by all directors and executive officers. Under our policies, directors and executive officers may not engage in any hedging or monetization transactions, such as puts, calls, options, other derivative securities, prepaid variable forward contracts, equity swaps, collars, exchange funds and short sales with respect to Company stock, the purpose of which is to hedge or offset any decrease in the market value of such stock. This policy also prohibits directors and executive officers from purchasing Company stock on margin, borrowing against Company stock on margin, or pledging Company stock as collateral for any loan.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Clawback Policy</w:t>
      </w:r>
    </w:p>
    <w:p>
      <w:pPr>
        <w:spacing w:after="0" w:line="143"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We also have a clawback policy. If the Board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w:t>
      </w:r>
    </w:p>
    <w:p>
      <w:pPr>
        <w:spacing w:after="0" w:line="371" w:lineRule="exact"/>
        <w:rPr>
          <w:sz w:val="20"/>
          <w:szCs w:val="20"/>
          <w:color w:val="auto"/>
        </w:rPr>
      </w:pPr>
    </w:p>
    <w:p>
      <w:pPr>
        <w:ind w:left="620" w:hanging="433"/>
        <w:spacing w:after="0"/>
        <w:tabs>
          <w:tab w:leader="none" w:pos="620" w:val="left"/>
        </w:tabs>
        <w:numPr>
          <w:ilvl w:val="0"/>
          <w:numId w:val="128"/>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adversely impacted our financial position or reputation, then the Board shall take such action as it deems in the best interest of the Corporation and necessary to remedy the misconduct and prevent its recurrence. Among other actions, the Board may seek to recover or require reimbursement of any amount awarded to the officer in the form of an annual incentive bonus or LTI award. There were no events requiring Board consideration of a clawback action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-1681480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94" w:lineRule="exact"/>
        <w:rPr>
          <w:sz w:val="20"/>
          <w:szCs w:val="20"/>
          <w:color w:val="auto"/>
        </w:rPr>
      </w:pPr>
    </w:p>
    <w:p>
      <w:pPr>
        <w:ind w:right="720"/>
        <w:spacing w:after="0" w:line="279" w:lineRule="auto"/>
        <w:rPr>
          <w:sz w:val="20"/>
          <w:szCs w:val="20"/>
          <w:color w:val="auto"/>
        </w:rPr>
      </w:pPr>
      <w:r>
        <w:rPr>
          <w:rFonts w:ascii="Arial" w:cs="Arial" w:eastAsia="Arial" w:hAnsi="Arial"/>
          <w:sz w:val="25"/>
          <w:szCs w:val="25"/>
          <w:b w:val="1"/>
          <w:bCs w:val="1"/>
          <w:color w:val="007CBA"/>
        </w:rPr>
        <w:t>Our Use of Independent Compensation Consultants</w:t>
      </w:r>
    </w:p>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independent compensation consultant provides important information about market practices, the types and amounts of compensation offered to executives generally and the role of corporate governance considerations in making compensation decisions. The Committee’s charter authorizes it to retain outside advisors that it believes are appropriate to assist in evaluating executive compensation.</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2019, the Committee continued to retain Mercer as an independent compensation consultant. In connection with its retention of Mercer, the Committee considered the following factors in assessing Mercer’s independence:</w:t>
      </w:r>
    </w:p>
    <w:p>
      <w:pPr>
        <w:spacing w:after="0" w:line="69" w:lineRule="exact"/>
        <w:rPr>
          <w:sz w:val="20"/>
          <w:szCs w:val="20"/>
          <w:color w:val="auto"/>
        </w:rPr>
      </w:pPr>
    </w:p>
    <w:p>
      <w:pPr>
        <w:ind w:left="360" w:right="20" w:hanging="288"/>
        <w:spacing w:after="0" w:line="254" w:lineRule="auto"/>
        <w:tabs>
          <w:tab w:leader="none" w:pos="3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The provision of services provided by Mercer to Martin Marietta in addition to compensation advisory services.</w:t>
      </w:r>
    </w:p>
    <w:p>
      <w:pPr>
        <w:spacing w:after="0" w:line="63"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The compensation paid to Mercer is less than 1% of Mercer’s revenues.</w:t>
      </w:r>
    </w:p>
    <w:p>
      <w:pPr>
        <w:spacing w:after="0" w:line="63"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Mercer has business ethics and insider trading and stock ownership policies, which are designed to avoid conflicts of interest.</w:t>
      </w:r>
    </w:p>
    <w:p>
      <w:pPr>
        <w:spacing w:after="0" w:line="63"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Mercer employees supporting the engagement do not own Martin Marietta securities.</w:t>
      </w:r>
    </w:p>
    <w:p>
      <w:pPr>
        <w:spacing w:after="0" w:line="63" w:lineRule="exact"/>
        <w:rPr>
          <w:rFonts w:ascii="Arial" w:cs="Arial" w:eastAsia="Arial" w:hAnsi="Arial"/>
          <w:sz w:val="16"/>
          <w:szCs w:val="16"/>
          <w:color w:val="007CBA"/>
        </w:rPr>
      </w:pPr>
    </w:p>
    <w:p>
      <w:pPr>
        <w:jc w:val="both"/>
        <w:ind w:left="360" w:right="20" w:hanging="288"/>
        <w:spacing w:after="0" w:line="249" w:lineRule="auto"/>
        <w:tabs>
          <w:tab w:leader="none" w:pos="360" w:val="left"/>
        </w:tabs>
        <w:numPr>
          <w:ilvl w:val="0"/>
          <w:numId w:val="129"/>
        </w:numPr>
        <w:rPr>
          <w:rFonts w:ascii="Arial" w:cs="Arial" w:eastAsia="Arial" w:hAnsi="Arial"/>
          <w:sz w:val="16"/>
          <w:szCs w:val="16"/>
          <w:color w:val="007CBA"/>
        </w:rPr>
      </w:pPr>
      <w:r>
        <w:rPr>
          <w:rFonts w:ascii="Arial" w:cs="Arial" w:eastAsia="Arial" w:hAnsi="Arial"/>
          <w:sz w:val="16"/>
          <w:szCs w:val="16"/>
          <w:color w:val="auto"/>
        </w:rPr>
        <w:t>Mercer employees supporting the engagement have no business or personal relationships with members of the Compensation Committee or with any Martin Marietta executive officer.</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 its February 2019 meeting, the Committee renewed the engagement of Mercer. At that time, Mercer confirmed the continuing validity of each of the factors described above.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nature and scope of Mercer’s engagement was determined by the Committee and not limited in any way by management. Mercer was paid $141,978 for its compensation advisory services in 2019. During 2019, Mercer and its Marsh &amp; McLennan affiliates were also retained by management to provide services unrelated to executive compensation, including property/casualty insurance brokerage services and administration of a risk management information system. The aggregate fees paid for those other services for 2019 were $355,230. These represent less than .003% of Marsh &amp; McLennan’s global revenue. The Committee and the Board did not review or approve the other services provided to us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181610</wp:posOffset>
            </wp:positionV>
            <wp:extent cx="406400" cy="2451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40"/>
            <w:col w:w="5320"/>
          </w:cols>
          <w:pgMar w:left="320" w:top="455"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Our Use of Independent Compensation Consultants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ectPr>
          <w:pgSz w:w="11900" w:h="16838" w:orient="portrait"/>
          <w:cols w:equalWidth="0" w:num="1">
            <w:col w:w="11060"/>
          </w:cols>
          <w:pgMar w:left="320" w:top="455" w:right="519" w:bottom="1440" w:gutter="0" w:footer="0" w:header="0"/>
        </w:sectPr>
      </w:pPr>
    </w:p>
    <w:p>
      <w:pPr>
        <w:spacing w:after="0" w:line="281"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Mercer and its Marsh &amp; McLennan affiliates as those services are approved by management in the normal course of business.</w:t>
      </w:r>
    </w:p>
    <w:p>
      <w:pPr>
        <w:spacing w:after="0" w:line="170"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have been advised by Mercer that the reporting relationship and compensation of the individual Mercer consultants who perform executive compensation consulting services for our Committee is separate from, and is not determined by reference to, Mercer’s or Marsh &amp; McLennan’s other lines of business or their other work for us. The Committee considered these separate reporting relationships and compensation structures, the provision of other services to the Company by Mercer and Marsh &amp; McLennan, and the absence of any business or personal relationship between our officers and Directors and the specific Mercer consultants advising the Company (other than the consulting relationship with the Committee). The Committee also considered Mercer’s Global Business Standards intended to address potential conflicts of interests with respect to their executive compensation consulting services and the other factors required to be considered by applicable SEC and NYSE rules in approving the Committee’s engagement of Mercer for 2019. Based on this review, the Committee did not identify that Mercer had any conflicts of interest that would prevent Mercer from independently advising the Committee.</w:t>
      </w:r>
    </w:p>
    <w:p>
      <w:pPr>
        <w:spacing w:after="0" w:line="165"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The Committee has considered and assessed all relevant factors, including but not limited to those set forth in Rule 10C-1(b)(4)(i) through</w:t>
      </w:r>
    </w:p>
    <w:p>
      <w:pPr>
        <w:spacing w:after="0" w:line="1" w:lineRule="exact"/>
        <w:rPr>
          <w:sz w:val="20"/>
          <w:szCs w:val="20"/>
          <w:color w:val="auto"/>
        </w:rPr>
      </w:pPr>
    </w:p>
    <w:p>
      <w:pPr>
        <w:jc w:val="both"/>
        <w:ind w:left="200" w:hanging="7"/>
        <w:spacing w:after="0" w:line="246" w:lineRule="auto"/>
        <w:tabs>
          <w:tab w:leader="none" w:pos="47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under the Securities Exchange Act of 1934, that could give rise to a potential conflict of interest with respect to the individual independent compensation consultants that provided services in 2019. Based on this review, there are no conflicts of interest raised by the work performed by Mercer.</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Practice Regarding Timing of Equity Grants</w:t>
      </w:r>
    </w:p>
    <w:p>
      <w:pPr>
        <w:spacing w:after="0" w:line="14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stock purchase awards under our Incentive Stock Plan and the PSUs and RSUs awarded under our LTI program, each as described above, were granted in 2019 at the Committee’s regularly scheduled meetings in February following the availability of financial results for the prior year. Newly hired executive officers may, subject to the discretion of the Committee, receive an award of RSUs as of the date of their hire. The number of such RSUs is based on the NYSE closing price of Martin Marietta’s common stock on the date of the grant or the first date of employment, whichever is later. The Committee’s schedule is determined several months in advance and the proximity of any awards to earnings announcements or other market events is coincidental.</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practice with regard to the timing of equity grants is:</w:t>
      </w:r>
    </w:p>
    <w:p>
      <w:pPr>
        <w:spacing w:after="0" w:line="83" w:lineRule="exact"/>
        <w:rPr>
          <w:sz w:val="20"/>
          <w:szCs w:val="20"/>
          <w:color w:val="auto"/>
        </w:rPr>
      </w:pPr>
    </w:p>
    <w:p>
      <w:pPr>
        <w:jc w:val="both"/>
        <w:ind w:left="540" w:hanging="274"/>
        <w:spacing w:after="0" w:line="249" w:lineRule="auto"/>
        <w:tabs>
          <w:tab w:leader="none" w:pos="540" w:val="left"/>
        </w:tabs>
        <w:numPr>
          <w:ilvl w:val="0"/>
          <w:numId w:val="131"/>
        </w:numPr>
        <w:rPr>
          <w:rFonts w:ascii="Arial" w:cs="Arial" w:eastAsia="Arial" w:hAnsi="Arial"/>
          <w:sz w:val="16"/>
          <w:szCs w:val="16"/>
          <w:color w:val="007CBA"/>
        </w:rPr>
      </w:pPr>
      <w:r>
        <w:rPr>
          <w:rFonts w:ascii="Arial" w:cs="Arial" w:eastAsia="Arial" w:hAnsi="Arial"/>
          <w:sz w:val="16"/>
          <w:szCs w:val="16"/>
          <w:color w:val="auto"/>
        </w:rPr>
        <w:t>No equity award may be backdated. A future date may be used if, among other reasons, the Committee’s action occurs in connection with a new employee who has not yet commenced employment.</w:t>
      </w:r>
    </w:p>
    <w:p>
      <w:pPr>
        <w:spacing w:after="0" w:line="67" w:lineRule="exact"/>
        <w:rPr>
          <w:rFonts w:ascii="Arial" w:cs="Arial" w:eastAsia="Arial" w:hAnsi="Arial"/>
          <w:sz w:val="16"/>
          <w:szCs w:val="16"/>
          <w:color w:val="007CBA"/>
        </w:rPr>
      </w:pPr>
    </w:p>
    <w:p>
      <w:pPr>
        <w:ind w:left="540" w:hanging="274"/>
        <w:spacing w:after="0" w:line="254" w:lineRule="auto"/>
        <w:tabs>
          <w:tab w:leader="none" w:pos="540" w:val="left"/>
        </w:tabs>
        <w:numPr>
          <w:ilvl w:val="0"/>
          <w:numId w:val="131"/>
        </w:numPr>
        <w:rPr>
          <w:rFonts w:ascii="Arial" w:cs="Arial" w:eastAsia="Arial" w:hAnsi="Arial"/>
          <w:sz w:val="16"/>
          <w:szCs w:val="16"/>
          <w:color w:val="007CBA"/>
        </w:rPr>
      </w:pPr>
      <w:r>
        <w:rPr>
          <w:rFonts w:ascii="Arial" w:cs="Arial" w:eastAsia="Arial" w:hAnsi="Arial"/>
          <w:sz w:val="16"/>
          <w:szCs w:val="16"/>
          <w:color w:val="auto"/>
        </w:rPr>
        <w:t>Proposed equity awards are presented to the Committee in February of each year. Off-cycle awards may be considered</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360" w:right="20"/>
        <w:spacing w:after="0" w:line="254" w:lineRule="auto"/>
        <w:rPr>
          <w:sz w:val="20"/>
          <w:szCs w:val="20"/>
          <w:color w:val="auto"/>
        </w:rPr>
      </w:pPr>
      <w:r>
        <w:rPr>
          <w:rFonts w:ascii="Arial" w:cs="Arial" w:eastAsia="Arial" w:hAnsi="Arial"/>
          <w:sz w:val="16"/>
          <w:szCs w:val="16"/>
          <w:color w:val="auto"/>
        </w:rPr>
        <w:t>in the Committee’s discretion in special circumstances, which may include hiring, retention or acquisition transactions.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our existing stock award plan prohibits repricing of stock options or paying cash for underwater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Perquisites</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determined in accordance with SEC rules, is included in the annual compensation set forth in the Summary Compensation Table.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2019, we provided personal use of leased automobiles to NEOs. We pay for the insurance, maintenance and fuel for such vehicles, and the value of personal mileage and use is charged to the NEO as imputed income. We make the company-owned aircraft available to the CEO and other senior executives for business travel. If the NEO is accompanied by his or her spouse on such trips, that use is included in the NEO’s taxable income for the year and the incremental cost, if any, is included as “All Other Compensation” in the Summary Compensation Table required to be included in our proxy statement for that year.</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Martin Marietta also provides to executive officers, as well as most other salaried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 or other employees.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Retirement and Other Benefits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NEOs and other employees, including:</w:t>
      </w:r>
    </w:p>
    <w:p>
      <w:pPr>
        <w:spacing w:after="0" w:line="64" w:lineRule="exact"/>
        <w:rPr>
          <w:sz w:val="20"/>
          <w:szCs w:val="20"/>
          <w:color w:val="auto"/>
        </w:rPr>
      </w:pPr>
    </w:p>
    <w:p>
      <w:pPr>
        <w:ind w:left="360" w:hanging="288"/>
        <w:spacing w:after="0"/>
        <w:tabs>
          <w:tab w:leader="none" w:pos="36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Medical and dental benefits</w:t>
      </w:r>
    </w:p>
    <w:p>
      <w:pPr>
        <w:spacing w:after="0" w:line="82" w:lineRule="exact"/>
        <w:rPr>
          <w:rFonts w:ascii="Arial" w:cs="Arial" w:eastAsia="Arial" w:hAnsi="Arial"/>
          <w:sz w:val="16"/>
          <w:szCs w:val="16"/>
          <w:color w:val="007CBA"/>
        </w:rPr>
      </w:pPr>
    </w:p>
    <w:p>
      <w:pPr>
        <w:ind w:left="360" w:hanging="288"/>
        <w:spacing w:after="0"/>
        <w:tabs>
          <w:tab w:leader="none" w:pos="36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Life, accidental death and disability insurance</w:t>
      </w:r>
    </w:p>
    <w:p>
      <w:pPr>
        <w:spacing w:after="0" w:line="82" w:lineRule="exact"/>
        <w:rPr>
          <w:rFonts w:ascii="Arial" w:cs="Arial" w:eastAsia="Arial" w:hAnsi="Arial"/>
          <w:sz w:val="16"/>
          <w:szCs w:val="16"/>
          <w:color w:val="007CBA"/>
        </w:rPr>
      </w:pPr>
    </w:p>
    <w:p>
      <w:pPr>
        <w:ind w:left="360" w:hanging="288"/>
        <w:spacing w:after="0"/>
        <w:tabs>
          <w:tab w:leader="none" w:pos="36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Pension and savings plans</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benefits under the defined benefit pension plan are more valuable for employees who remain with Martin Marietta for 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178435</wp:posOffset>
            </wp:positionV>
            <wp:extent cx="406400" cy="2451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01"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55</w:t>
            </w:r>
          </w:p>
        </w:tc>
      </w:tr>
    </w:tbl>
    <w:p>
      <w:pPr>
        <w:sectPr>
          <w:pgSz w:w="11900" w:h="16838" w:orient="portrait"/>
          <w:cols w:equalWidth="0" w:num="1">
            <w:col w:w="11060"/>
          </w:cols>
          <w:pgMar w:left="320" w:top="455" w:right="51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Potential Payments upon Termination or Change of Control</w:t>
      </w:r>
    </w:p>
    <w:p>
      <w:pPr>
        <w:sectPr>
          <w:pgSz w:w="11900" w:h="16838" w:orient="portrait"/>
          <w:cols w:equalWidth="0" w:num="1">
            <w:col w:w="11060"/>
          </w:cols>
          <w:pgMar w:left="320" w:top="455" w:right="519" w:bottom="1440" w:gutter="0" w:footer="0" w:header="0"/>
        </w:sectPr>
      </w:pPr>
    </w:p>
    <w:p>
      <w:pPr>
        <w:spacing w:after="0" w:line="281"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Additional information regarding these benefits is under the heading Pension Benefits Table on page 63 and the accompanying narrative.</w:t>
      </w:r>
    </w:p>
    <w:p>
      <w:pPr>
        <w:spacing w:after="0" w:line="207" w:lineRule="exact"/>
        <w:rPr>
          <w:sz w:val="20"/>
          <w:szCs w:val="20"/>
          <w:color w:val="auto"/>
        </w:rPr>
      </w:pPr>
    </w:p>
    <w:p>
      <w:pPr>
        <w:ind w:left="200" w:right="460"/>
        <w:spacing w:after="0" w:line="279" w:lineRule="auto"/>
        <w:rPr>
          <w:sz w:val="20"/>
          <w:szCs w:val="20"/>
          <w:color w:val="auto"/>
        </w:rPr>
      </w:pPr>
      <w:r>
        <w:rPr>
          <w:rFonts w:ascii="Arial" w:cs="Arial" w:eastAsia="Arial" w:hAnsi="Arial"/>
          <w:sz w:val="25"/>
          <w:szCs w:val="25"/>
          <w:b w:val="1"/>
          <w:bCs w:val="1"/>
          <w:color w:val="007CBA"/>
        </w:rPr>
        <w:t>Potential Payments upon Termination or Change of Control</w:t>
      </w:r>
    </w:p>
    <w:p>
      <w:pPr>
        <w:spacing w:after="0" w:line="55"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do not have written employment agreements with executives. Instead, each of our NEOs has a change of control severance agreement (an Employment Protection Agreement) that provides for retention and continuity in order to minimize disruptions during a pending or anticipated change of control. The agreements are triggered only by a qualifying termination of employment in connection with a change of control. Martin Marietta’s equity-based award plans and retirement plans also provide for certain post-termination payments and benefits, as well as, for equity awards granted prior to 2019, the acceleration of time periods for purposes of vesting in, or realizing gain from, such equity award in the event of a change of control. The Committee believes these payments and benefits are also important to align the interests of the executive officers with the interests of the shareholders because the agreements will reduce or eliminate the reluctance to pursue potential</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change of control transactions that may ultimately lead to termination of their employment but would otherwise be in the best interests of our shareholders. The Employment Protection Agreements are described on pages 64 and 65 of this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Tax and Accounting Implications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administering the compensation program for NEOs, for awards made in 2019 the Committee considered tax consequences, including the limit on deductibility on compensation in excess of $1 million to certain executive officers under Section 162(m) of the Internal Revenue Code and the consequences under financial accounting standards.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While the Committee considers the tax deductibility as one factor in determining executive compensation, the Committee also looks at other factors in making its decisions, as noted above, and retains the flexibility to award compensation that it determines to be consistent with the goals of our executive compensation program to attract talent, promote retention, or recognize and reward desired performance even if the awards are not deductible for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255905</wp:posOffset>
            </wp:positionV>
            <wp:extent cx="406400" cy="2451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317"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19" w:lineRule="exact"/>
        <w:rPr>
          <w:sz w:val="20"/>
          <w:szCs w:val="20"/>
          <w:color w:val="auto"/>
        </w:rPr>
      </w:pPr>
    </w:p>
    <w:p>
      <w:pPr>
        <w:ind w:left="620" w:hanging="433"/>
        <w:spacing w:after="0"/>
        <w:tabs>
          <w:tab w:leader="none" w:pos="620" w:val="left"/>
        </w:tabs>
        <w:numPr>
          <w:ilvl w:val="0"/>
          <w:numId w:val="133"/>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260"/>
        <w:spacing w:after="0"/>
        <w:rPr>
          <w:sz w:val="20"/>
          <w:szCs w:val="20"/>
          <w:color w:val="auto"/>
        </w:rPr>
      </w:pPr>
      <w:r>
        <w:rPr>
          <w:rFonts w:ascii="Arial" w:cs="Arial" w:eastAsia="Arial" w:hAnsi="Arial"/>
          <w:sz w:val="43"/>
          <w:szCs w:val="43"/>
          <w:color w:val="auto"/>
        </w:rPr>
        <w:t>Executive Compensation</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Executive Officer Compensation</w:t>
      </w:r>
    </w:p>
    <w:p>
      <w:pPr>
        <w:spacing w:after="0" w:line="143" w:lineRule="exact"/>
        <w:rPr>
          <w:sz w:val="20"/>
          <w:szCs w:val="20"/>
          <w:color w:val="auto"/>
        </w:rPr>
      </w:pPr>
    </w:p>
    <w:p>
      <w:pPr>
        <w:jc w:val="both"/>
        <w:ind w:left="180"/>
        <w:spacing w:after="0" w:line="246" w:lineRule="auto"/>
        <w:rPr>
          <w:sz w:val="20"/>
          <w:szCs w:val="20"/>
          <w:color w:val="auto"/>
        </w:rPr>
      </w:pPr>
      <w:r>
        <w:rPr>
          <w:rFonts w:ascii="Arial" w:cs="Arial" w:eastAsia="Arial" w:hAnsi="Arial"/>
          <w:sz w:val="16"/>
          <w:szCs w:val="16"/>
          <w:color w:val="auto"/>
        </w:rPr>
        <w:t xml:space="preserve">The following tables show annual and long-term compensation, for services in all capacities to Martin Marietta, earned by the Chief Executive Officer, the Chief Financial Officer, and the three other most highly compensated executive officers in 2019, which we refer to collectively in this section of this proxy statement as the “named executive officers” or “NEOs.” These tables and the accompanying narratives should be read in conjunction with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section of this proxy statement, which provides a detailed overview of the methods used by Martin Marietta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its officers, including the named executive officers.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Summary Compensation Table</w:t>
      </w:r>
    </w:p>
    <w:p>
      <w:pPr>
        <w:spacing w:after="0" w:line="143"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The table below summarizes the total compensation paid to or earned by each of the named executive officers for the fiscal years set forth below. Martin Marietta has not entered into any employment agreements with any of the named executive officers.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SUMMARY COMPENSATION TABLE</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880" w:type="dxa"/>
            <w:vAlign w:val="bottom"/>
            <w:tcBorders>
              <w:right w:val="single" w:sz="8" w:color="007CBA"/>
            </w:tcBorders>
            <w:shd w:val="clear" w:color="auto" w:fill="007CBA"/>
          </w:tcPr>
          <w:p>
            <w:pPr>
              <w:spacing w:after="0"/>
              <w:rPr>
                <w:sz w:val="15"/>
                <w:szCs w:val="15"/>
                <w:color w:val="auto"/>
              </w:rPr>
            </w:pPr>
          </w:p>
        </w:tc>
        <w:tc>
          <w:tcPr>
            <w:tcW w:w="160" w:type="dxa"/>
            <w:vAlign w:val="bottom"/>
            <w:shd w:val="clear" w:color="auto" w:fill="007CBA"/>
          </w:tcPr>
          <w:p>
            <w:pPr>
              <w:spacing w:after="0"/>
              <w:rPr>
                <w:sz w:val="15"/>
                <w:szCs w:val="15"/>
                <w:color w:val="auto"/>
              </w:rPr>
            </w:pPr>
          </w:p>
        </w:tc>
        <w:tc>
          <w:tcPr>
            <w:tcW w:w="560" w:type="dxa"/>
            <w:vAlign w:val="bottom"/>
            <w:tcBorders>
              <w:right w:val="single" w:sz="8" w:color="007CBA"/>
            </w:tcBorders>
            <w:shd w:val="clear" w:color="auto" w:fill="007CBA"/>
          </w:tcPr>
          <w:p>
            <w:pPr>
              <w:spacing w:after="0"/>
              <w:rPr>
                <w:sz w:val="15"/>
                <w:szCs w:val="15"/>
                <w:color w:val="auto"/>
              </w:rPr>
            </w:pPr>
          </w:p>
        </w:tc>
        <w:tc>
          <w:tcPr>
            <w:tcW w:w="1040" w:type="dxa"/>
            <w:vAlign w:val="bottom"/>
            <w:tcBorders>
              <w:right w:val="single" w:sz="8" w:color="007CBA"/>
            </w:tcBorders>
            <w:shd w:val="clear" w:color="auto" w:fill="007CBA"/>
          </w:tcPr>
          <w:p>
            <w:pPr>
              <w:spacing w:after="0"/>
              <w:rPr>
                <w:sz w:val="15"/>
                <w:szCs w:val="15"/>
                <w:color w:val="auto"/>
              </w:rPr>
            </w:pPr>
          </w:p>
        </w:tc>
        <w:tc>
          <w:tcPr>
            <w:tcW w:w="460" w:type="dxa"/>
            <w:vAlign w:val="bottom"/>
            <w:tcBorders>
              <w:right w:val="single" w:sz="8" w:color="007CBA"/>
            </w:tcBorders>
            <w:shd w:val="clear" w:color="auto" w:fill="007CBA"/>
          </w:tcPr>
          <w:p>
            <w:pPr>
              <w:spacing w:after="0"/>
              <w:rPr>
                <w:sz w:val="15"/>
                <w:szCs w:val="15"/>
                <w:color w:val="auto"/>
              </w:rPr>
            </w:pPr>
          </w:p>
        </w:tc>
        <w:tc>
          <w:tcPr>
            <w:tcW w:w="1040" w:type="dxa"/>
            <w:vAlign w:val="bottom"/>
            <w:tcBorders>
              <w:right w:val="single" w:sz="8" w:color="007CBA"/>
            </w:tcBorders>
            <w:shd w:val="clear" w:color="auto" w:fill="007CBA"/>
          </w:tcPr>
          <w:p>
            <w:pPr>
              <w:spacing w:after="0"/>
              <w:rPr>
                <w:sz w:val="15"/>
                <w:szCs w:val="15"/>
                <w:color w:val="auto"/>
              </w:rPr>
            </w:pPr>
          </w:p>
        </w:tc>
        <w:tc>
          <w:tcPr>
            <w:tcW w:w="540" w:type="dxa"/>
            <w:vAlign w:val="bottom"/>
            <w:tcBorders>
              <w:right w:val="single" w:sz="8" w:color="007CBA"/>
            </w:tcBorders>
            <w:shd w:val="clear" w:color="auto" w:fill="007CBA"/>
          </w:tcPr>
          <w:p>
            <w:pPr>
              <w:spacing w:after="0"/>
              <w:rPr>
                <w:sz w:val="15"/>
                <w:szCs w:val="15"/>
                <w:color w:val="auto"/>
              </w:rPr>
            </w:pPr>
          </w:p>
        </w:tc>
        <w:tc>
          <w:tcPr>
            <w:tcW w:w="1040" w:type="dxa"/>
            <w:vAlign w:val="bottom"/>
            <w:tcBorders>
              <w:right w:val="single" w:sz="8" w:color="007CBA"/>
            </w:tcBorders>
            <w:shd w:val="clear" w:color="auto" w:fill="007CBA"/>
          </w:tcPr>
          <w:p>
            <w:pPr>
              <w:spacing w:after="0"/>
              <w:rPr>
                <w:sz w:val="15"/>
                <w:szCs w:val="15"/>
                <w:color w:val="auto"/>
              </w:rPr>
            </w:pP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Change in</w:t>
            </w:r>
          </w:p>
        </w:tc>
        <w:tc>
          <w:tcPr>
            <w:tcW w:w="1000" w:type="dxa"/>
            <w:vAlign w:val="bottom"/>
            <w:tcBorders>
              <w:right w:val="single" w:sz="8" w:color="007CBA"/>
            </w:tcBorders>
            <w:shd w:val="clear" w:color="auto" w:fill="007CBA"/>
          </w:tcPr>
          <w:p>
            <w:pPr>
              <w:spacing w:after="0"/>
              <w:rPr>
                <w:sz w:val="15"/>
                <w:szCs w:val="15"/>
                <w:color w:val="auto"/>
              </w:rPr>
            </w:pPr>
          </w:p>
        </w:tc>
        <w:tc>
          <w:tcPr>
            <w:tcW w:w="1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007CBA"/>
          </w:tcPr>
          <w:p>
            <w:pPr>
              <w:spacing w:after="0"/>
              <w:rPr>
                <w:sz w:val="13"/>
                <w:szCs w:val="13"/>
                <w:color w:val="auto"/>
              </w:rPr>
            </w:pPr>
          </w:p>
        </w:tc>
        <w:tc>
          <w:tcPr>
            <w:tcW w:w="16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4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Pension Value</w:t>
            </w:r>
          </w:p>
        </w:tc>
        <w:tc>
          <w:tcPr>
            <w:tcW w:w="100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007CBA"/>
          </w:tcPr>
          <w:p>
            <w:pPr>
              <w:spacing w:after="0"/>
              <w:rPr>
                <w:sz w:val="13"/>
                <w:szCs w:val="13"/>
                <w:color w:val="auto"/>
              </w:rPr>
            </w:pPr>
          </w:p>
        </w:tc>
        <w:tc>
          <w:tcPr>
            <w:tcW w:w="16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4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and Non-</w:t>
            </w:r>
          </w:p>
        </w:tc>
        <w:tc>
          <w:tcPr>
            <w:tcW w:w="100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007CBA"/>
          </w:tcPr>
          <w:p>
            <w:pPr>
              <w:spacing w:after="0"/>
              <w:rPr>
                <w:sz w:val="13"/>
                <w:szCs w:val="13"/>
                <w:color w:val="auto"/>
              </w:rPr>
            </w:pPr>
          </w:p>
        </w:tc>
        <w:tc>
          <w:tcPr>
            <w:tcW w:w="16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4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Qualified</w:t>
            </w:r>
          </w:p>
        </w:tc>
        <w:tc>
          <w:tcPr>
            <w:tcW w:w="100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007CBA"/>
          </w:tcPr>
          <w:p>
            <w:pPr>
              <w:spacing w:after="0"/>
              <w:rPr>
                <w:sz w:val="13"/>
                <w:szCs w:val="13"/>
                <w:color w:val="auto"/>
              </w:rPr>
            </w:pPr>
          </w:p>
        </w:tc>
        <w:tc>
          <w:tcPr>
            <w:tcW w:w="16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4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Non-Equity</w:t>
            </w:r>
          </w:p>
        </w:tc>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Deferred</w:t>
            </w:r>
          </w:p>
        </w:tc>
        <w:tc>
          <w:tcPr>
            <w:tcW w:w="100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007CBA"/>
          </w:tcPr>
          <w:p>
            <w:pPr>
              <w:spacing w:after="0"/>
              <w:rPr>
                <w:sz w:val="13"/>
                <w:szCs w:val="13"/>
                <w:color w:val="auto"/>
              </w:rPr>
            </w:pPr>
          </w:p>
        </w:tc>
        <w:tc>
          <w:tcPr>
            <w:tcW w:w="16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4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w w:val="99"/>
              </w:rPr>
              <w:t>Stock</w:t>
            </w:r>
          </w:p>
        </w:tc>
        <w:tc>
          <w:tcPr>
            <w:tcW w:w="2620" w:type="dxa"/>
            <w:vAlign w:val="bottom"/>
            <w:tcBorders>
              <w:right w:val="single" w:sz="8" w:color="007CBA"/>
            </w:tcBorders>
            <w:gridSpan w:val="3"/>
            <w:shd w:val="clear" w:color="auto" w:fill="007CBA"/>
          </w:tcPr>
          <w:p>
            <w:pPr>
              <w:jc w:val="right"/>
              <w:spacing w:after="0" w:line="160" w:lineRule="exact"/>
              <w:rPr>
                <w:sz w:val="20"/>
                <w:szCs w:val="20"/>
                <w:color w:val="auto"/>
              </w:rPr>
            </w:pPr>
            <w:r>
              <w:rPr>
                <w:rFonts w:ascii="Arial" w:cs="Arial" w:eastAsia="Arial" w:hAnsi="Arial"/>
                <w:sz w:val="14"/>
                <w:szCs w:val="14"/>
                <w:b w:val="1"/>
                <w:bCs w:val="1"/>
                <w:color w:val="FFFFFF"/>
              </w:rPr>
              <w:t>Option Incentive Plan Compensation</w:t>
            </w:r>
          </w:p>
        </w:tc>
        <w:tc>
          <w:tcPr>
            <w:tcW w:w="100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All Other</w:t>
            </w:r>
          </w:p>
        </w:tc>
        <w:tc>
          <w:tcPr>
            <w:tcW w:w="1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8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Name and</w:t>
            </w:r>
          </w:p>
        </w:tc>
        <w:tc>
          <w:tcPr>
            <w:tcW w:w="16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Salary</w:t>
            </w:r>
          </w:p>
        </w:tc>
        <w:tc>
          <w:tcPr>
            <w:tcW w:w="46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Bonus</w:t>
            </w:r>
          </w:p>
        </w:tc>
        <w:tc>
          <w:tcPr>
            <w:tcW w:w="104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Awards</w:t>
            </w:r>
          </w:p>
        </w:tc>
        <w:tc>
          <w:tcPr>
            <w:tcW w:w="1580" w:type="dxa"/>
            <w:vAlign w:val="bottom"/>
            <w:tcBorders>
              <w:right w:val="single" w:sz="8" w:color="007CBA"/>
            </w:tcBorders>
            <w:gridSpan w:val="2"/>
            <w:shd w:val="clear" w:color="auto" w:fill="007CBA"/>
          </w:tcPr>
          <w:p>
            <w:pPr>
              <w:jc w:val="right"/>
              <w:spacing w:after="0" w:line="157" w:lineRule="exact"/>
              <w:rPr>
                <w:sz w:val="20"/>
                <w:szCs w:val="20"/>
                <w:color w:val="auto"/>
              </w:rPr>
            </w:pPr>
            <w:r>
              <w:rPr>
                <w:rFonts w:ascii="Arial" w:cs="Arial" w:eastAsia="Arial" w:hAnsi="Arial"/>
                <w:sz w:val="14"/>
                <w:szCs w:val="14"/>
                <w:b w:val="1"/>
                <w:bCs w:val="1"/>
                <w:color w:val="FFFFFF"/>
                <w:w w:val="98"/>
              </w:rPr>
              <w:t>Awards Compensation</w:t>
            </w:r>
          </w:p>
        </w:tc>
        <w:tc>
          <w:tcPr>
            <w:tcW w:w="104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Earnings</w:t>
            </w:r>
          </w:p>
        </w:tc>
        <w:tc>
          <w:tcPr>
            <w:tcW w:w="100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3"/>
        </w:trPr>
        <w:tc>
          <w:tcPr>
            <w:tcW w:w="2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Principal Position</w:t>
            </w:r>
          </w:p>
        </w:tc>
        <w:tc>
          <w:tcPr>
            <w:tcW w:w="160" w:type="dxa"/>
            <w:vAlign w:val="bottom"/>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ind w:left="20"/>
              <w:spacing w:after="0"/>
              <w:rPr>
                <w:sz w:val="20"/>
                <w:szCs w:val="20"/>
                <w:color w:val="auto"/>
              </w:rPr>
            </w:pPr>
            <w:r>
              <w:rPr>
                <w:rFonts w:ascii="Arial" w:cs="Arial" w:eastAsia="Arial" w:hAnsi="Arial"/>
                <w:sz w:val="14"/>
                <w:szCs w:val="14"/>
                <w:b w:val="1"/>
                <w:bCs w:val="1"/>
                <w:color w:val="FFFFFF"/>
              </w:rPr>
              <w:t>Year</w:t>
            </w:r>
          </w:p>
        </w:tc>
        <w:tc>
          <w:tcPr>
            <w:tcW w:w="1040" w:type="dxa"/>
            <w:vAlign w:val="bottom"/>
            <w:tcBorders>
              <w:right w:val="single" w:sz="8" w:color="007CBA"/>
            </w:tcBorders>
            <w:shd w:val="clear" w:color="auto" w:fill="007CBA"/>
          </w:tcPr>
          <w:p>
            <w:pPr>
              <w:jc w:val="center"/>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1</w:t>
            </w:r>
          </w:p>
        </w:tc>
        <w:tc>
          <w:tcPr>
            <w:tcW w:w="4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right w:val="single" w:sz="8" w:color="007CBA"/>
            </w:tcBorders>
            <w:shd w:val="clear" w:color="auto" w:fill="007CBA"/>
          </w:tcPr>
          <w:p>
            <w:pPr>
              <w:jc w:val="center"/>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2</w:t>
            </w:r>
          </w:p>
        </w:tc>
        <w:tc>
          <w:tcPr>
            <w:tcW w:w="540" w:type="dxa"/>
            <w:vAlign w:val="bottom"/>
            <w:tcBorders>
              <w:right w:val="single" w:sz="8" w:color="007CBA"/>
            </w:tcBorders>
            <w:shd w:val="clear" w:color="auto" w:fill="007CBA"/>
          </w:tcPr>
          <w:p>
            <w:pPr>
              <w:jc w:val="center"/>
              <w:ind w:right="73"/>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3</w:t>
            </w:r>
          </w:p>
        </w:tc>
        <w:tc>
          <w:tcPr>
            <w:tcW w:w="1040" w:type="dxa"/>
            <w:vAlign w:val="bottom"/>
            <w:tcBorders>
              <w:right w:val="single" w:sz="8" w:color="007CBA"/>
            </w:tcBorders>
            <w:shd w:val="clear" w:color="auto" w:fill="007CBA"/>
          </w:tcPr>
          <w:p>
            <w:pPr>
              <w:jc w:val="center"/>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4</w:t>
            </w:r>
          </w:p>
        </w:tc>
        <w:tc>
          <w:tcPr>
            <w:tcW w:w="1040" w:type="dxa"/>
            <w:vAlign w:val="bottom"/>
            <w:tcBorders>
              <w:right w:val="single" w:sz="8" w:color="007CBA"/>
            </w:tcBorders>
            <w:shd w:val="clear" w:color="auto" w:fill="007CBA"/>
          </w:tcPr>
          <w:p>
            <w:pPr>
              <w:jc w:val="center"/>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5</w:t>
            </w:r>
          </w:p>
        </w:tc>
        <w:tc>
          <w:tcPr>
            <w:tcW w:w="1000" w:type="dxa"/>
            <w:vAlign w:val="bottom"/>
            <w:tcBorders>
              <w:right w:val="single" w:sz="8" w:color="007CBA"/>
            </w:tcBorders>
            <w:shd w:val="clear" w:color="auto" w:fill="007CBA"/>
          </w:tcPr>
          <w:p>
            <w:pPr>
              <w:jc w:val="center"/>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6</w:t>
            </w:r>
          </w:p>
        </w:tc>
        <w:tc>
          <w:tcPr>
            <w:tcW w:w="11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7"/>
        </w:trPr>
        <w:tc>
          <w:tcPr>
            <w:tcW w:w="2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(a)</w:t>
            </w:r>
          </w:p>
        </w:tc>
        <w:tc>
          <w:tcPr>
            <w:tcW w:w="160" w:type="dxa"/>
            <w:vAlign w:val="bottom"/>
            <w:shd w:val="clear" w:color="auto" w:fill="007CBA"/>
          </w:tcPr>
          <w:p>
            <w:pPr>
              <w:spacing w:after="0"/>
              <w:rPr>
                <w:sz w:val="16"/>
                <w:szCs w:val="16"/>
                <w:color w:val="auto"/>
              </w:rPr>
            </w:pPr>
          </w:p>
        </w:tc>
        <w:tc>
          <w:tcPr>
            <w:tcW w:w="5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(b)</w:t>
            </w: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(c)</w:t>
            </w:r>
          </w:p>
        </w:tc>
        <w:tc>
          <w:tcPr>
            <w:tcW w:w="4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c>
          <w:tcPr>
            <w:tcW w:w="5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(f)</w:t>
            </w: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(g)</w:t>
            </w:r>
          </w:p>
        </w:tc>
        <w:tc>
          <w:tcPr>
            <w:tcW w:w="10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0"/>
              </w:rPr>
              <w:t>(i)</w:t>
            </w:r>
          </w:p>
        </w:tc>
        <w:tc>
          <w:tcPr>
            <w:tcW w:w="11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205"/>
        </w:trPr>
        <w:tc>
          <w:tcPr>
            <w:tcW w:w="28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720" w:type="dxa"/>
            <w:vAlign w:val="bottom"/>
            <w:tcBorders>
              <w:right w:val="single" w:sz="8" w:color="007CBA"/>
            </w:tcBorders>
            <w:gridSpan w:val="2"/>
            <w:shd w:val="clear" w:color="auto" w:fill="E5F1F8"/>
          </w:tcPr>
          <w:p>
            <w:pPr>
              <w:ind w:left="200"/>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1,141,667</w:t>
            </w:r>
          </w:p>
        </w:tc>
        <w:tc>
          <w:tcPr>
            <w:tcW w:w="460" w:type="dxa"/>
            <w:vAlign w:val="bottom"/>
            <w:tcBorders>
              <w:right w:val="single" w:sz="8" w:color="007CBA"/>
            </w:tcBorders>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6,294,708</w:t>
            </w:r>
          </w:p>
        </w:tc>
        <w:tc>
          <w:tcPr>
            <w:tcW w:w="540" w:type="dxa"/>
            <w:vAlign w:val="bottom"/>
            <w:tcBorders>
              <w:right w:val="single" w:sz="8" w:color="007CBA"/>
            </w:tcBorders>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1,450,000</w:t>
            </w: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3,073,183</w:t>
            </w:r>
          </w:p>
        </w:tc>
        <w:tc>
          <w:tcPr>
            <w:tcW w:w="10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238,800</w:t>
            </w:r>
          </w:p>
        </w:tc>
        <w:tc>
          <w:tcPr>
            <w:tcW w:w="110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12,198,358</w:t>
            </w: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E5F1F8"/>
          </w:tcPr>
          <w:p>
            <w:pPr>
              <w:ind w:left="60"/>
              <w:spacing w:after="0" w:line="160" w:lineRule="exact"/>
              <w:rPr>
                <w:sz w:val="20"/>
                <w:szCs w:val="20"/>
                <w:color w:val="auto"/>
              </w:rPr>
            </w:pPr>
            <w:r>
              <w:rPr>
                <w:rFonts w:ascii="Arial" w:cs="Arial" w:eastAsia="Arial" w:hAnsi="Arial"/>
                <w:sz w:val="14"/>
                <w:szCs w:val="14"/>
                <w:color w:val="auto"/>
              </w:rPr>
              <w:t>Chairman, President</w:t>
            </w:r>
          </w:p>
        </w:tc>
        <w:tc>
          <w:tcPr>
            <w:tcW w:w="160" w:type="dxa"/>
            <w:vAlign w:val="bottom"/>
            <w:shd w:val="clear" w:color="auto" w:fill="E5F1F8"/>
          </w:tcPr>
          <w:p>
            <w:pPr>
              <w:spacing w:after="0"/>
              <w:rPr>
                <w:sz w:val="13"/>
                <w:szCs w:val="13"/>
                <w:color w:val="auto"/>
              </w:rPr>
            </w:pPr>
          </w:p>
        </w:tc>
        <w:tc>
          <w:tcPr>
            <w:tcW w:w="560" w:type="dxa"/>
            <w:vAlign w:val="bottom"/>
            <w:tcBorders>
              <w:right w:val="single" w:sz="8" w:color="007CBA"/>
            </w:tcBorders>
            <w:vMerge w:val="restart"/>
            <w:shd w:val="clear" w:color="auto" w:fill="E5F1F8"/>
          </w:tcPr>
          <w:p>
            <w:pPr>
              <w:ind w:left="40"/>
              <w:spacing w:after="0"/>
              <w:rPr>
                <w:sz w:val="20"/>
                <w:szCs w:val="20"/>
                <w:color w:val="auto"/>
              </w:rPr>
            </w:pPr>
            <w:r>
              <w:rPr>
                <w:rFonts w:ascii="Arial" w:cs="Arial" w:eastAsia="Arial" w:hAnsi="Arial"/>
                <w:sz w:val="14"/>
                <w:szCs w:val="14"/>
                <w:color w:val="auto"/>
              </w:rPr>
              <w:t>2018</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1,090,833</w:t>
            </w:r>
          </w:p>
        </w:tc>
        <w:tc>
          <w:tcPr>
            <w:tcW w:w="460" w:type="dxa"/>
            <w:vAlign w:val="bottom"/>
            <w:tcBorders>
              <w:right w:val="single" w:sz="8" w:color="007CBA"/>
            </w:tcBorders>
            <w:shd w:val="clear" w:color="auto" w:fill="E5F1F8"/>
          </w:tcPr>
          <w:p>
            <w:pPr>
              <w:spacing w:after="0"/>
              <w:rPr>
                <w:sz w:val="13"/>
                <w:szCs w:val="13"/>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5,046,900</w:t>
            </w:r>
          </w:p>
        </w:tc>
        <w:tc>
          <w:tcPr>
            <w:tcW w:w="540" w:type="dxa"/>
            <w:vAlign w:val="bottom"/>
            <w:tcBorders>
              <w:right w:val="single" w:sz="8" w:color="007CBA"/>
            </w:tcBorders>
            <w:shd w:val="clear" w:color="auto" w:fill="E5F1F8"/>
          </w:tcPr>
          <w:p>
            <w:pPr>
              <w:spacing w:after="0"/>
              <w:rPr>
                <w:sz w:val="13"/>
                <w:szCs w:val="13"/>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1,050,000</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1,235,634</w:t>
            </w:r>
          </w:p>
        </w:tc>
        <w:tc>
          <w:tcPr>
            <w:tcW w:w="100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110,091</w:t>
            </w:r>
          </w:p>
        </w:tc>
        <w:tc>
          <w:tcPr>
            <w:tcW w:w="1100" w:type="dxa"/>
            <w:vAlign w:val="bottom"/>
            <w:vMerge w:val="restart"/>
            <w:shd w:val="clear" w:color="auto" w:fill="E5F1F8"/>
          </w:tcPr>
          <w:p>
            <w:pPr>
              <w:jc w:val="right"/>
              <w:ind w:right="109"/>
              <w:spacing w:after="0"/>
              <w:rPr>
                <w:sz w:val="20"/>
                <w:szCs w:val="20"/>
                <w:color w:val="auto"/>
              </w:rPr>
            </w:pPr>
            <w:r>
              <w:rPr>
                <w:rFonts w:ascii="Arial" w:cs="Arial" w:eastAsia="Arial" w:hAnsi="Arial"/>
                <w:sz w:val="14"/>
                <w:szCs w:val="14"/>
                <w:color w:val="auto"/>
              </w:rPr>
              <w:t>8,533,458</w:t>
            </w:r>
          </w:p>
        </w:tc>
        <w:tc>
          <w:tcPr>
            <w:tcW w:w="0" w:type="dxa"/>
            <w:vAlign w:val="bottom"/>
          </w:tcPr>
          <w:p>
            <w:pPr>
              <w:spacing w:after="0"/>
              <w:rPr>
                <w:sz w:val="1"/>
                <w:szCs w:val="1"/>
                <w:color w:val="auto"/>
              </w:rPr>
            </w:pPr>
          </w:p>
        </w:tc>
      </w:tr>
      <w:tr>
        <w:trPr>
          <w:trHeight w:val="91"/>
        </w:trPr>
        <w:tc>
          <w:tcPr>
            <w:tcW w:w="2880" w:type="dxa"/>
            <w:vAlign w:val="bottom"/>
            <w:tcBorders>
              <w:right w:val="single" w:sz="8" w:color="007CBA"/>
            </w:tcBorders>
            <w:vMerge w:val="restart"/>
            <w:shd w:val="clear" w:color="auto" w:fill="E5F1F8"/>
          </w:tcPr>
          <w:p>
            <w:pPr>
              <w:ind w:left="60"/>
              <w:spacing w:after="0" w:line="142" w:lineRule="exact"/>
              <w:rPr>
                <w:sz w:val="20"/>
                <w:szCs w:val="20"/>
                <w:color w:val="auto"/>
              </w:rPr>
            </w:pPr>
            <w:r>
              <w:rPr>
                <w:rFonts w:ascii="Arial" w:cs="Arial" w:eastAsia="Arial" w:hAnsi="Arial"/>
                <w:sz w:val="14"/>
                <w:szCs w:val="14"/>
                <w:color w:val="auto"/>
              </w:rPr>
              <w:t>and CEO</w:t>
            </w:r>
          </w:p>
        </w:tc>
        <w:tc>
          <w:tcPr>
            <w:tcW w:w="160" w:type="dxa"/>
            <w:vAlign w:val="bottom"/>
            <w:shd w:val="clear" w:color="auto" w:fill="E5F1F8"/>
          </w:tcPr>
          <w:p>
            <w:pPr>
              <w:spacing w:after="0"/>
              <w:rPr>
                <w:sz w:val="7"/>
                <w:szCs w:val="7"/>
                <w:color w:val="auto"/>
              </w:rPr>
            </w:pPr>
          </w:p>
        </w:tc>
        <w:tc>
          <w:tcPr>
            <w:tcW w:w="560" w:type="dxa"/>
            <w:vAlign w:val="bottom"/>
            <w:tcBorders>
              <w:right w:val="single" w:sz="8" w:color="007CBA"/>
            </w:tcBorders>
            <w:vMerge w:val="continue"/>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460" w:type="dxa"/>
            <w:vAlign w:val="bottom"/>
            <w:tcBorders>
              <w:right w:val="single" w:sz="8" w:color="007CBA"/>
            </w:tcBorders>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540" w:type="dxa"/>
            <w:vAlign w:val="bottom"/>
            <w:tcBorders>
              <w:right w:val="single" w:sz="8" w:color="007CBA"/>
            </w:tcBorders>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1000" w:type="dxa"/>
            <w:vAlign w:val="bottom"/>
            <w:tcBorders>
              <w:right w:val="single" w:sz="8" w:color="007CBA"/>
            </w:tcBorders>
            <w:vMerge w:val="continue"/>
            <w:shd w:val="clear" w:color="auto" w:fill="E5F1F8"/>
          </w:tcPr>
          <w:p>
            <w:pPr>
              <w:spacing w:after="0"/>
              <w:rPr>
                <w:sz w:val="7"/>
                <w:szCs w:val="7"/>
                <w:color w:val="auto"/>
              </w:rPr>
            </w:pPr>
          </w:p>
        </w:tc>
        <w:tc>
          <w:tcPr>
            <w:tcW w:w="1100" w:type="dxa"/>
            <w:vAlign w:val="bottom"/>
            <w:vMerge w:val="continue"/>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880" w:type="dxa"/>
            <w:vAlign w:val="bottom"/>
            <w:tcBorders>
              <w:right w:val="single" w:sz="8" w:color="007CBA"/>
            </w:tcBorders>
            <w:vMerge w:val="continue"/>
            <w:shd w:val="clear" w:color="auto" w:fill="E5F1F8"/>
          </w:tcPr>
          <w:p>
            <w:pPr>
              <w:spacing w:after="0"/>
              <w:rPr>
                <w:sz w:val="4"/>
                <w:szCs w:val="4"/>
                <w:color w:val="auto"/>
              </w:rPr>
            </w:pPr>
          </w:p>
        </w:tc>
        <w:tc>
          <w:tcPr>
            <w:tcW w:w="160" w:type="dxa"/>
            <w:vAlign w:val="bottom"/>
            <w:shd w:val="clear" w:color="auto" w:fill="E5F1F8"/>
          </w:tcPr>
          <w:p>
            <w:pPr>
              <w:spacing w:after="0"/>
              <w:rPr>
                <w:sz w:val="4"/>
                <w:szCs w:val="4"/>
                <w:color w:val="auto"/>
              </w:rPr>
            </w:pPr>
          </w:p>
        </w:tc>
        <w:tc>
          <w:tcPr>
            <w:tcW w:w="560" w:type="dxa"/>
            <w:vAlign w:val="bottom"/>
            <w:tcBorders>
              <w:right w:val="single" w:sz="8" w:color="007CBA"/>
            </w:tcBorders>
            <w:vMerge w:val="restart"/>
            <w:shd w:val="clear" w:color="auto" w:fill="E5F1F8"/>
          </w:tcPr>
          <w:p>
            <w:pPr>
              <w:ind w:left="40"/>
              <w:spacing w:after="0"/>
              <w:rPr>
                <w:sz w:val="20"/>
                <w:szCs w:val="20"/>
                <w:color w:val="auto"/>
              </w:rPr>
            </w:pPr>
            <w:r>
              <w:rPr>
                <w:rFonts w:ascii="Arial" w:cs="Arial" w:eastAsia="Arial" w:hAnsi="Arial"/>
                <w:sz w:val="14"/>
                <w:szCs w:val="14"/>
                <w:color w:val="auto"/>
              </w:rPr>
              <w:t>2017</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1,039,167</w:t>
            </w:r>
          </w:p>
        </w:tc>
        <w:tc>
          <w:tcPr>
            <w:tcW w:w="46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5,431,412</w:t>
            </w:r>
          </w:p>
        </w:tc>
        <w:tc>
          <w:tcPr>
            <w:tcW w:w="54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1,000,000</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1,414,782</w:t>
            </w:r>
          </w:p>
        </w:tc>
        <w:tc>
          <w:tcPr>
            <w:tcW w:w="100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103,804</w:t>
            </w:r>
          </w:p>
        </w:tc>
        <w:tc>
          <w:tcPr>
            <w:tcW w:w="1100" w:type="dxa"/>
            <w:vAlign w:val="bottom"/>
            <w:vMerge w:val="restart"/>
            <w:shd w:val="clear" w:color="auto" w:fill="E5F1F8"/>
          </w:tcPr>
          <w:p>
            <w:pPr>
              <w:jc w:val="right"/>
              <w:ind w:right="109"/>
              <w:spacing w:after="0"/>
              <w:rPr>
                <w:sz w:val="20"/>
                <w:szCs w:val="20"/>
                <w:color w:val="auto"/>
              </w:rPr>
            </w:pPr>
            <w:r>
              <w:rPr>
                <w:rFonts w:ascii="Arial" w:cs="Arial" w:eastAsia="Arial" w:hAnsi="Arial"/>
                <w:sz w:val="14"/>
                <w:szCs w:val="14"/>
                <w:color w:val="auto"/>
              </w:rPr>
              <w:t>8,989,165</w:t>
            </w:r>
          </w:p>
        </w:tc>
        <w:tc>
          <w:tcPr>
            <w:tcW w:w="0" w:type="dxa"/>
            <w:vAlign w:val="bottom"/>
          </w:tcPr>
          <w:p>
            <w:pPr>
              <w:spacing w:after="0"/>
              <w:rPr>
                <w:sz w:val="1"/>
                <w:szCs w:val="1"/>
                <w:color w:val="auto"/>
              </w:rPr>
            </w:pPr>
          </w:p>
        </w:tc>
      </w:tr>
      <w:tr>
        <w:trPr>
          <w:trHeight w:val="207"/>
        </w:trPr>
        <w:tc>
          <w:tcPr>
            <w:tcW w:w="2880" w:type="dxa"/>
            <w:vAlign w:val="bottom"/>
            <w:tcBorders>
              <w:bottom w:val="single" w:sz="8" w:color="E5F1F8"/>
              <w:right w:val="single" w:sz="8" w:color="007CBA"/>
            </w:tcBorders>
            <w:shd w:val="clear" w:color="auto" w:fill="E5F1F8"/>
          </w:tcPr>
          <w:p>
            <w:pPr>
              <w:spacing w:after="0"/>
              <w:rPr>
                <w:sz w:val="17"/>
                <w:szCs w:val="17"/>
                <w:color w:val="auto"/>
              </w:rPr>
            </w:pPr>
          </w:p>
        </w:tc>
        <w:tc>
          <w:tcPr>
            <w:tcW w:w="160" w:type="dxa"/>
            <w:vAlign w:val="bottom"/>
            <w:tcBorders>
              <w:bottom w:val="single" w:sz="8" w:color="E5F1F8"/>
            </w:tcBorders>
            <w:shd w:val="clear" w:color="auto" w:fill="E5F1F8"/>
          </w:tcPr>
          <w:p>
            <w:pPr>
              <w:spacing w:after="0"/>
              <w:rPr>
                <w:sz w:val="17"/>
                <w:szCs w:val="17"/>
                <w:color w:val="auto"/>
              </w:rPr>
            </w:pPr>
          </w:p>
        </w:tc>
        <w:tc>
          <w:tcPr>
            <w:tcW w:w="56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460" w:type="dxa"/>
            <w:vAlign w:val="bottom"/>
            <w:tcBorders>
              <w:bottom w:val="single" w:sz="8" w:color="E5F1F8"/>
              <w:right w:val="single" w:sz="8" w:color="007CBA"/>
            </w:tcBorders>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540" w:type="dxa"/>
            <w:vAlign w:val="bottom"/>
            <w:tcBorders>
              <w:bottom w:val="single" w:sz="8" w:color="E5F1F8"/>
              <w:right w:val="single" w:sz="8" w:color="007CBA"/>
            </w:tcBorders>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00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100" w:type="dxa"/>
            <w:vAlign w:val="bottom"/>
            <w:tcBorders>
              <w:bottom w:val="single" w:sz="8" w:color="E5F1F8"/>
            </w:tcBorders>
            <w:vMerge w:val="continue"/>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720" w:type="dxa"/>
            <w:vAlign w:val="bottom"/>
            <w:tcBorders>
              <w:right w:val="single" w:sz="8" w:color="007CBA"/>
            </w:tcBorders>
            <w:gridSpan w:val="2"/>
          </w:tcPr>
          <w:p>
            <w:pPr>
              <w:ind w:left="200"/>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518,967</w:t>
            </w:r>
          </w:p>
        </w:tc>
        <w:tc>
          <w:tcPr>
            <w:tcW w:w="460" w:type="dxa"/>
            <w:vAlign w:val="bottom"/>
            <w:tcBorders>
              <w:right w:val="single" w:sz="8" w:color="007CBA"/>
            </w:tcBorders>
          </w:tcPr>
          <w:p>
            <w:pPr>
              <w:spacing w:after="0"/>
              <w:rPr>
                <w:sz w:val="17"/>
                <w:szCs w:val="17"/>
                <w:color w:val="auto"/>
              </w:rPr>
            </w:pP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1,100,171</w:t>
            </w:r>
          </w:p>
        </w:tc>
        <w:tc>
          <w:tcPr>
            <w:tcW w:w="540" w:type="dxa"/>
            <w:vAlign w:val="bottom"/>
            <w:tcBorders>
              <w:right w:val="single" w:sz="8" w:color="007CBA"/>
            </w:tcBorders>
          </w:tcPr>
          <w:p>
            <w:pPr>
              <w:spacing w:after="0"/>
              <w:rPr>
                <w:sz w:val="17"/>
                <w:szCs w:val="17"/>
                <w:color w:val="auto"/>
              </w:rPr>
            </w:pP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529,346</w:t>
            </w: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240,591</w:t>
            </w:r>
          </w:p>
        </w:tc>
        <w:tc>
          <w:tcPr>
            <w:tcW w:w="100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32,587</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2,421,662</w:t>
            </w: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tcPr>
          <w:p>
            <w:pPr>
              <w:ind w:left="60"/>
              <w:spacing w:after="0" w:line="160" w:lineRule="exact"/>
              <w:rPr>
                <w:sz w:val="20"/>
                <w:szCs w:val="20"/>
                <w:color w:val="auto"/>
              </w:rPr>
            </w:pPr>
            <w:r>
              <w:rPr>
                <w:rFonts w:ascii="Arial" w:cs="Arial" w:eastAsia="Arial" w:hAnsi="Arial"/>
                <w:sz w:val="14"/>
                <w:szCs w:val="14"/>
                <w:color w:val="auto"/>
              </w:rPr>
              <w:t>Senior Vice</w:t>
            </w:r>
          </w:p>
        </w:tc>
        <w:tc>
          <w:tcPr>
            <w:tcW w:w="720" w:type="dxa"/>
            <w:vAlign w:val="bottom"/>
            <w:tcBorders>
              <w:right w:val="single" w:sz="8" w:color="007CBA"/>
            </w:tcBorders>
            <w:gridSpan w:val="2"/>
            <w:vMerge w:val="restart"/>
          </w:tcPr>
          <w:p>
            <w:pPr>
              <w:ind w:left="200"/>
              <w:spacing w:after="0"/>
              <w:rPr>
                <w:sz w:val="20"/>
                <w:szCs w:val="20"/>
                <w:color w:val="auto"/>
              </w:rPr>
            </w:pPr>
            <w:r>
              <w:rPr>
                <w:rFonts w:ascii="Arial" w:cs="Arial" w:eastAsia="Arial" w:hAnsi="Arial"/>
                <w:sz w:val="14"/>
                <w:szCs w:val="14"/>
                <w:color w:val="auto"/>
              </w:rPr>
              <w:t>2018</w:t>
            </w: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485,667</w:t>
            </w:r>
          </w:p>
        </w:tc>
        <w:tc>
          <w:tcPr>
            <w:tcW w:w="46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899,577</w:t>
            </w:r>
          </w:p>
        </w:tc>
        <w:tc>
          <w:tcPr>
            <w:tcW w:w="54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451,670</w:t>
            </w: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91,960</w:t>
            </w:r>
          </w:p>
        </w:tc>
        <w:tc>
          <w:tcPr>
            <w:tcW w:w="100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84,393</w:t>
            </w:r>
          </w:p>
        </w:tc>
        <w:tc>
          <w:tcPr>
            <w:tcW w:w="1100" w:type="dxa"/>
            <w:vAlign w:val="bottom"/>
            <w:vMerge w:val="restart"/>
          </w:tcPr>
          <w:p>
            <w:pPr>
              <w:jc w:val="right"/>
              <w:ind w:right="109"/>
              <w:spacing w:after="0"/>
              <w:rPr>
                <w:sz w:val="20"/>
                <w:szCs w:val="20"/>
                <w:color w:val="auto"/>
              </w:rPr>
            </w:pPr>
            <w:r>
              <w:rPr>
                <w:rFonts w:ascii="Arial" w:cs="Arial" w:eastAsia="Arial" w:hAnsi="Arial"/>
                <w:sz w:val="14"/>
                <w:szCs w:val="14"/>
                <w:color w:val="auto"/>
              </w:rPr>
              <w:t>2,013,267</w:t>
            </w:r>
          </w:p>
        </w:tc>
        <w:tc>
          <w:tcPr>
            <w:tcW w:w="0" w:type="dxa"/>
            <w:vAlign w:val="bottom"/>
          </w:tcPr>
          <w:p>
            <w:pPr>
              <w:spacing w:after="0"/>
              <w:rPr>
                <w:sz w:val="1"/>
                <w:szCs w:val="1"/>
                <w:color w:val="auto"/>
              </w:rPr>
            </w:pPr>
          </w:p>
        </w:tc>
      </w:tr>
      <w:tr>
        <w:trPr>
          <w:trHeight w:val="91"/>
        </w:trPr>
        <w:tc>
          <w:tcPr>
            <w:tcW w:w="2880" w:type="dxa"/>
            <w:vAlign w:val="bottom"/>
            <w:tcBorders>
              <w:right w:val="single" w:sz="8" w:color="007CBA"/>
            </w:tcBorders>
            <w:vMerge w:val="restart"/>
          </w:tcPr>
          <w:p>
            <w:pPr>
              <w:ind w:left="60"/>
              <w:spacing w:after="0"/>
              <w:rPr>
                <w:sz w:val="20"/>
                <w:szCs w:val="20"/>
                <w:color w:val="auto"/>
              </w:rPr>
            </w:pPr>
            <w:r>
              <w:rPr>
                <w:rFonts w:ascii="Arial" w:cs="Arial" w:eastAsia="Arial" w:hAnsi="Arial"/>
                <w:sz w:val="14"/>
                <w:szCs w:val="14"/>
                <w:color w:val="auto"/>
              </w:rPr>
              <w:t>President and CFO</w:t>
            </w:r>
          </w:p>
        </w:tc>
        <w:tc>
          <w:tcPr>
            <w:tcW w:w="720" w:type="dxa"/>
            <w:vAlign w:val="bottom"/>
            <w:tcBorders>
              <w:right w:val="single" w:sz="8" w:color="007CBA"/>
            </w:tcBorders>
            <w:gridSpan w:val="2"/>
            <w:vMerge w:val="continue"/>
          </w:tcPr>
          <w:p>
            <w:pPr>
              <w:spacing w:after="0"/>
              <w:rPr>
                <w:sz w:val="7"/>
                <w:szCs w:val="7"/>
                <w:color w:val="auto"/>
              </w:rPr>
            </w:pPr>
          </w:p>
        </w:tc>
        <w:tc>
          <w:tcPr>
            <w:tcW w:w="1040" w:type="dxa"/>
            <w:vAlign w:val="bottom"/>
            <w:tcBorders>
              <w:right w:val="single" w:sz="8" w:color="007CBA"/>
            </w:tcBorders>
            <w:vMerge w:val="continue"/>
          </w:tcPr>
          <w:p>
            <w:pPr>
              <w:spacing w:after="0"/>
              <w:rPr>
                <w:sz w:val="7"/>
                <w:szCs w:val="7"/>
                <w:color w:val="auto"/>
              </w:rPr>
            </w:pPr>
          </w:p>
        </w:tc>
        <w:tc>
          <w:tcPr>
            <w:tcW w:w="460" w:type="dxa"/>
            <w:vAlign w:val="bottom"/>
            <w:tcBorders>
              <w:right w:val="single" w:sz="8" w:color="007CBA"/>
            </w:tcBorders>
          </w:tcPr>
          <w:p>
            <w:pPr>
              <w:spacing w:after="0"/>
              <w:rPr>
                <w:sz w:val="7"/>
                <w:szCs w:val="7"/>
                <w:color w:val="auto"/>
              </w:rPr>
            </w:pPr>
          </w:p>
        </w:tc>
        <w:tc>
          <w:tcPr>
            <w:tcW w:w="1040" w:type="dxa"/>
            <w:vAlign w:val="bottom"/>
            <w:tcBorders>
              <w:right w:val="single" w:sz="8" w:color="007CBA"/>
            </w:tcBorders>
            <w:vMerge w:val="continue"/>
          </w:tcPr>
          <w:p>
            <w:pPr>
              <w:spacing w:after="0"/>
              <w:rPr>
                <w:sz w:val="7"/>
                <w:szCs w:val="7"/>
                <w:color w:val="auto"/>
              </w:rPr>
            </w:pPr>
          </w:p>
        </w:tc>
        <w:tc>
          <w:tcPr>
            <w:tcW w:w="540" w:type="dxa"/>
            <w:vAlign w:val="bottom"/>
            <w:tcBorders>
              <w:right w:val="single" w:sz="8" w:color="007CBA"/>
            </w:tcBorders>
          </w:tcPr>
          <w:p>
            <w:pPr>
              <w:spacing w:after="0"/>
              <w:rPr>
                <w:sz w:val="7"/>
                <w:szCs w:val="7"/>
                <w:color w:val="auto"/>
              </w:rPr>
            </w:pPr>
          </w:p>
        </w:tc>
        <w:tc>
          <w:tcPr>
            <w:tcW w:w="1040" w:type="dxa"/>
            <w:vAlign w:val="bottom"/>
            <w:tcBorders>
              <w:right w:val="single" w:sz="8" w:color="007CBA"/>
            </w:tcBorders>
            <w:vMerge w:val="continue"/>
          </w:tcPr>
          <w:p>
            <w:pPr>
              <w:spacing w:after="0"/>
              <w:rPr>
                <w:sz w:val="7"/>
                <w:szCs w:val="7"/>
                <w:color w:val="auto"/>
              </w:rPr>
            </w:pPr>
          </w:p>
        </w:tc>
        <w:tc>
          <w:tcPr>
            <w:tcW w:w="1040" w:type="dxa"/>
            <w:vAlign w:val="bottom"/>
            <w:tcBorders>
              <w:right w:val="single" w:sz="8" w:color="007CBA"/>
            </w:tcBorders>
            <w:vMerge w:val="continue"/>
          </w:tcPr>
          <w:p>
            <w:pPr>
              <w:spacing w:after="0"/>
              <w:rPr>
                <w:sz w:val="7"/>
                <w:szCs w:val="7"/>
                <w:color w:val="auto"/>
              </w:rPr>
            </w:pPr>
          </w:p>
        </w:tc>
        <w:tc>
          <w:tcPr>
            <w:tcW w:w="1000" w:type="dxa"/>
            <w:vAlign w:val="bottom"/>
            <w:tcBorders>
              <w:right w:val="single" w:sz="8" w:color="007CBA"/>
            </w:tcBorders>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880" w:type="dxa"/>
            <w:vAlign w:val="bottom"/>
            <w:tcBorders>
              <w:right w:val="single" w:sz="8" w:color="007CBA"/>
            </w:tcBorders>
            <w:vMerge w:val="continue"/>
          </w:tcPr>
          <w:p>
            <w:pPr>
              <w:spacing w:after="0"/>
              <w:rPr>
                <w:sz w:val="6"/>
                <w:szCs w:val="6"/>
                <w:color w:val="auto"/>
              </w:rPr>
            </w:pPr>
          </w:p>
        </w:tc>
        <w:tc>
          <w:tcPr>
            <w:tcW w:w="720" w:type="dxa"/>
            <w:vAlign w:val="bottom"/>
            <w:tcBorders>
              <w:right w:val="single" w:sz="8" w:color="007CBA"/>
            </w:tcBorders>
            <w:gridSpan w:val="2"/>
            <w:vMerge w:val="restart"/>
          </w:tcPr>
          <w:p>
            <w:pPr>
              <w:ind w:left="200"/>
              <w:spacing w:after="0"/>
              <w:rPr>
                <w:sz w:val="20"/>
                <w:szCs w:val="20"/>
                <w:color w:val="auto"/>
              </w:rPr>
            </w:pPr>
            <w:r>
              <w:rPr>
                <w:rFonts w:ascii="Arial" w:cs="Arial" w:eastAsia="Arial" w:hAnsi="Arial"/>
                <w:sz w:val="14"/>
                <w:szCs w:val="14"/>
                <w:color w:val="auto"/>
              </w:rPr>
              <w:t>2017</w:t>
            </w: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172,936</w:t>
            </w:r>
          </w:p>
        </w:tc>
        <w:tc>
          <w:tcPr>
            <w:tcW w:w="460" w:type="dxa"/>
            <w:vAlign w:val="bottom"/>
            <w:tcBorders>
              <w:right w:val="single" w:sz="8" w:color="007CBA"/>
            </w:tcBorders>
          </w:tcPr>
          <w:p>
            <w:pPr>
              <w:spacing w:after="0"/>
              <w:rPr>
                <w:sz w:val="6"/>
                <w:szCs w:val="6"/>
                <w:color w:val="auto"/>
              </w:rPr>
            </w:pP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1,320,232</w:t>
            </w:r>
          </w:p>
        </w:tc>
        <w:tc>
          <w:tcPr>
            <w:tcW w:w="540" w:type="dxa"/>
            <w:vAlign w:val="bottom"/>
            <w:tcBorders>
              <w:right w:val="single" w:sz="8" w:color="007CBA"/>
            </w:tcBorders>
          </w:tcPr>
          <w:p>
            <w:pPr>
              <w:spacing w:after="0"/>
              <w:rPr>
                <w:sz w:val="6"/>
                <w:szCs w:val="6"/>
                <w:color w:val="auto"/>
              </w:rPr>
            </w:pP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162,127</w:t>
            </w:r>
          </w:p>
        </w:tc>
        <w:tc>
          <w:tcPr>
            <w:tcW w:w="104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25,995</w:t>
            </w:r>
          </w:p>
        </w:tc>
        <w:tc>
          <w:tcPr>
            <w:tcW w:w="1000" w:type="dxa"/>
            <w:vAlign w:val="bottom"/>
            <w:tcBorders>
              <w:right w:val="single" w:sz="8" w:color="007CBA"/>
            </w:tcBorders>
            <w:vMerge w:val="restart"/>
          </w:tcPr>
          <w:p>
            <w:pPr>
              <w:jc w:val="right"/>
              <w:ind w:right="130"/>
              <w:spacing w:after="0"/>
              <w:rPr>
                <w:sz w:val="20"/>
                <w:szCs w:val="20"/>
                <w:color w:val="auto"/>
              </w:rPr>
            </w:pPr>
            <w:r>
              <w:rPr>
                <w:rFonts w:ascii="Arial" w:cs="Arial" w:eastAsia="Arial" w:hAnsi="Arial"/>
                <w:sz w:val="14"/>
                <w:szCs w:val="14"/>
                <w:color w:val="auto"/>
              </w:rPr>
              <w:t>8,534</w:t>
            </w:r>
          </w:p>
        </w:tc>
        <w:tc>
          <w:tcPr>
            <w:tcW w:w="1100" w:type="dxa"/>
            <w:vAlign w:val="bottom"/>
            <w:vMerge w:val="restart"/>
          </w:tcPr>
          <w:p>
            <w:pPr>
              <w:jc w:val="right"/>
              <w:ind w:right="109"/>
              <w:spacing w:after="0"/>
              <w:rPr>
                <w:sz w:val="20"/>
                <w:szCs w:val="20"/>
                <w:color w:val="auto"/>
              </w:rPr>
            </w:pPr>
            <w:r>
              <w:rPr>
                <w:rFonts w:ascii="Arial" w:cs="Arial" w:eastAsia="Arial" w:hAnsi="Arial"/>
                <w:sz w:val="14"/>
                <w:szCs w:val="14"/>
                <w:color w:val="auto"/>
              </w:rPr>
              <w:t>1,689,824</w:t>
            </w:r>
          </w:p>
        </w:tc>
        <w:tc>
          <w:tcPr>
            <w:tcW w:w="0" w:type="dxa"/>
            <w:vAlign w:val="bottom"/>
          </w:tcPr>
          <w:p>
            <w:pPr>
              <w:spacing w:after="0"/>
              <w:rPr>
                <w:sz w:val="1"/>
                <w:szCs w:val="1"/>
                <w:color w:val="auto"/>
              </w:rPr>
            </w:pPr>
          </w:p>
        </w:tc>
      </w:tr>
      <w:tr>
        <w:trPr>
          <w:trHeight w:val="147"/>
        </w:trPr>
        <w:tc>
          <w:tcPr>
            <w:tcW w:w="2880" w:type="dxa"/>
            <w:vAlign w:val="bottom"/>
            <w:tcBorders>
              <w:right w:val="single" w:sz="8" w:color="007CBA"/>
            </w:tcBorders>
          </w:tcPr>
          <w:p>
            <w:pPr>
              <w:spacing w:after="0"/>
              <w:rPr>
                <w:sz w:val="12"/>
                <w:szCs w:val="12"/>
                <w:color w:val="auto"/>
              </w:rPr>
            </w:pPr>
          </w:p>
        </w:tc>
        <w:tc>
          <w:tcPr>
            <w:tcW w:w="720" w:type="dxa"/>
            <w:vAlign w:val="bottom"/>
            <w:tcBorders>
              <w:right w:val="single" w:sz="8" w:color="007CBA"/>
            </w:tcBorders>
            <w:gridSpan w:val="2"/>
            <w:vMerge w:val="continue"/>
          </w:tcPr>
          <w:p>
            <w:pPr>
              <w:spacing w:after="0"/>
              <w:rPr>
                <w:sz w:val="12"/>
                <w:szCs w:val="12"/>
                <w:color w:val="auto"/>
              </w:rPr>
            </w:pPr>
          </w:p>
        </w:tc>
        <w:tc>
          <w:tcPr>
            <w:tcW w:w="1040" w:type="dxa"/>
            <w:vAlign w:val="bottom"/>
            <w:tcBorders>
              <w:right w:val="single" w:sz="8" w:color="007CBA"/>
            </w:tcBorders>
            <w:vMerge w:val="continue"/>
          </w:tcPr>
          <w:p>
            <w:pPr>
              <w:spacing w:after="0"/>
              <w:rPr>
                <w:sz w:val="12"/>
                <w:szCs w:val="12"/>
                <w:color w:val="auto"/>
              </w:rPr>
            </w:pPr>
          </w:p>
        </w:tc>
        <w:tc>
          <w:tcPr>
            <w:tcW w:w="460" w:type="dxa"/>
            <w:vAlign w:val="bottom"/>
            <w:tcBorders>
              <w:right w:val="single" w:sz="8" w:color="007CBA"/>
            </w:tcBorders>
          </w:tcPr>
          <w:p>
            <w:pPr>
              <w:spacing w:after="0"/>
              <w:rPr>
                <w:sz w:val="12"/>
                <w:szCs w:val="12"/>
                <w:color w:val="auto"/>
              </w:rPr>
            </w:pPr>
          </w:p>
        </w:tc>
        <w:tc>
          <w:tcPr>
            <w:tcW w:w="1040" w:type="dxa"/>
            <w:vAlign w:val="bottom"/>
            <w:tcBorders>
              <w:right w:val="single" w:sz="8" w:color="007CBA"/>
            </w:tcBorders>
            <w:vMerge w:val="continue"/>
          </w:tcPr>
          <w:p>
            <w:pPr>
              <w:spacing w:after="0"/>
              <w:rPr>
                <w:sz w:val="12"/>
                <w:szCs w:val="12"/>
                <w:color w:val="auto"/>
              </w:rPr>
            </w:pPr>
          </w:p>
        </w:tc>
        <w:tc>
          <w:tcPr>
            <w:tcW w:w="540" w:type="dxa"/>
            <w:vAlign w:val="bottom"/>
            <w:tcBorders>
              <w:right w:val="single" w:sz="8" w:color="007CBA"/>
            </w:tcBorders>
          </w:tcPr>
          <w:p>
            <w:pPr>
              <w:spacing w:after="0"/>
              <w:rPr>
                <w:sz w:val="12"/>
                <w:szCs w:val="12"/>
                <w:color w:val="auto"/>
              </w:rPr>
            </w:pPr>
          </w:p>
        </w:tc>
        <w:tc>
          <w:tcPr>
            <w:tcW w:w="1040" w:type="dxa"/>
            <w:vAlign w:val="bottom"/>
            <w:tcBorders>
              <w:right w:val="single" w:sz="8" w:color="007CBA"/>
            </w:tcBorders>
            <w:vMerge w:val="continue"/>
          </w:tcPr>
          <w:p>
            <w:pPr>
              <w:spacing w:after="0"/>
              <w:rPr>
                <w:sz w:val="12"/>
                <w:szCs w:val="12"/>
                <w:color w:val="auto"/>
              </w:rPr>
            </w:pPr>
          </w:p>
        </w:tc>
        <w:tc>
          <w:tcPr>
            <w:tcW w:w="1040" w:type="dxa"/>
            <w:vAlign w:val="bottom"/>
            <w:tcBorders>
              <w:right w:val="single" w:sz="8" w:color="007CBA"/>
            </w:tcBorders>
            <w:vMerge w:val="continue"/>
          </w:tcPr>
          <w:p>
            <w:pPr>
              <w:spacing w:after="0"/>
              <w:rPr>
                <w:sz w:val="12"/>
                <w:szCs w:val="12"/>
                <w:color w:val="auto"/>
              </w:rPr>
            </w:pPr>
          </w:p>
        </w:tc>
        <w:tc>
          <w:tcPr>
            <w:tcW w:w="1000" w:type="dxa"/>
            <w:vAlign w:val="bottom"/>
            <w:tcBorders>
              <w:right w:val="single" w:sz="8" w:color="007CBA"/>
            </w:tcBorders>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28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gridSpan w:val="2"/>
          </w:tcPr>
          <w:p>
            <w:pPr>
              <w:spacing w:after="0"/>
              <w:rPr>
                <w:sz w:val="4"/>
                <w:szCs w:val="4"/>
                <w:color w:val="auto"/>
              </w:rPr>
            </w:pPr>
          </w:p>
        </w:tc>
        <w:tc>
          <w:tcPr>
            <w:tcW w:w="1040" w:type="dxa"/>
            <w:vAlign w:val="bottom"/>
            <w:tcBorders>
              <w:right w:val="single" w:sz="8" w:color="007CBA"/>
            </w:tcBorders>
          </w:tcPr>
          <w:p>
            <w:pPr>
              <w:spacing w:after="0"/>
              <w:rPr>
                <w:sz w:val="4"/>
                <w:szCs w:val="4"/>
                <w:color w:val="auto"/>
              </w:rPr>
            </w:pPr>
          </w:p>
        </w:tc>
        <w:tc>
          <w:tcPr>
            <w:tcW w:w="460" w:type="dxa"/>
            <w:vAlign w:val="bottom"/>
            <w:tcBorders>
              <w:right w:val="single" w:sz="8" w:color="007CBA"/>
            </w:tcBorders>
          </w:tcPr>
          <w:p>
            <w:pPr>
              <w:spacing w:after="0"/>
              <w:rPr>
                <w:sz w:val="4"/>
                <w:szCs w:val="4"/>
                <w:color w:val="auto"/>
              </w:rPr>
            </w:pPr>
          </w:p>
        </w:tc>
        <w:tc>
          <w:tcPr>
            <w:tcW w:w="1040" w:type="dxa"/>
            <w:vAlign w:val="bottom"/>
            <w:tcBorders>
              <w:right w:val="single" w:sz="8" w:color="007CBA"/>
            </w:tcBorders>
          </w:tcPr>
          <w:p>
            <w:pPr>
              <w:spacing w:after="0"/>
              <w:rPr>
                <w:sz w:val="4"/>
                <w:szCs w:val="4"/>
                <w:color w:val="auto"/>
              </w:rPr>
            </w:pPr>
          </w:p>
        </w:tc>
        <w:tc>
          <w:tcPr>
            <w:tcW w:w="540" w:type="dxa"/>
            <w:vAlign w:val="bottom"/>
            <w:tcBorders>
              <w:right w:val="single" w:sz="8" w:color="007CBA"/>
            </w:tcBorders>
          </w:tcPr>
          <w:p>
            <w:pPr>
              <w:spacing w:after="0"/>
              <w:rPr>
                <w:sz w:val="4"/>
                <w:szCs w:val="4"/>
                <w:color w:val="auto"/>
              </w:rPr>
            </w:pPr>
          </w:p>
        </w:tc>
        <w:tc>
          <w:tcPr>
            <w:tcW w:w="1040" w:type="dxa"/>
            <w:vAlign w:val="bottom"/>
            <w:tcBorders>
              <w:right w:val="single" w:sz="8" w:color="007CBA"/>
            </w:tcBorders>
          </w:tcPr>
          <w:p>
            <w:pPr>
              <w:spacing w:after="0"/>
              <w:rPr>
                <w:sz w:val="4"/>
                <w:szCs w:val="4"/>
                <w:color w:val="auto"/>
              </w:rPr>
            </w:pPr>
          </w:p>
        </w:tc>
        <w:tc>
          <w:tcPr>
            <w:tcW w:w="1040" w:type="dxa"/>
            <w:vAlign w:val="bottom"/>
            <w:tcBorders>
              <w:right w:val="single" w:sz="8" w:color="007CBA"/>
            </w:tcBorders>
          </w:tcPr>
          <w:p>
            <w:pPr>
              <w:spacing w:after="0"/>
              <w:rPr>
                <w:sz w:val="4"/>
                <w:szCs w:val="4"/>
                <w:color w:val="auto"/>
              </w:rPr>
            </w:pPr>
          </w:p>
        </w:tc>
        <w:tc>
          <w:tcPr>
            <w:tcW w:w="1000" w:type="dxa"/>
            <w:vAlign w:val="bottom"/>
            <w:tcBorders>
              <w:right w:val="single" w:sz="8" w:color="007CBA"/>
            </w:tcBorders>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8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720" w:type="dxa"/>
            <w:vAlign w:val="bottom"/>
            <w:tcBorders>
              <w:right w:val="single" w:sz="8" w:color="007CBA"/>
            </w:tcBorders>
            <w:gridSpan w:val="2"/>
            <w:shd w:val="clear" w:color="auto" w:fill="E5F1F8"/>
          </w:tcPr>
          <w:p>
            <w:pPr>
              <w:ind w:left="200"/>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565,417</w:t>
            </w:r>
          </w:p>
        </w:tc>
        <w:tc>
          <w:tcPr>
            <w:tcW w:w="460" w:type="dxa"/>
            <w:vAlign w:val="bottom"/>
            <w:tcBorders>
              <w:right w:val="single" w:sz="8" w:color="007CBA"/>
            </w:tcBorders>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1,301,753</w:t>
            </w:r>
          </w:p>
        </w:tc>
        <w:tc>
          <w:tcPr>
            <w:tcW w:w="540" w:type="dxa"/>
            <w:vAlign w:val="bottom"/>
            <w:tcBorders>
              <w:right w:val="single" w:sz="8" w:color="007CBA"/>
            </w:tcBorders>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585,772</w:t>
            </w: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2,153,409</w:t>
            </w:r>
          </w:p>
        </w:tc>
        <w:tc>
          <w:tcPr>
            <w:tcW w:w="10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79,931</w:t>
            </w:r>
          </w:p>
        </w:tc>
        <w:tc>
          <w:tcPr>
            <w:tcW w:w="110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4,686,282</w:t>
            </w: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E5F1F8"/>
          </w:tcPr>
          <w:p>
            <w:pPr>
              <w:ind w:left="60"/>
              <w:spacing w:after="0" w:line="160" w:lineRule="exact"/>
              <w:rPr>
                <w:sz w:val="20"/>
                <w:szCs w:val="20"/>
                <w:color w:val="auto"/>
              </w:rPr>
            </w:pPr>
            <w:r>
              <w:rPr>
                <w:rFonts w:ascii="Arial" w:cs="Arial" w:eastAsia="Arial" w:hAnsi="Arial"/>
                <w:sz w:val="14"/>
                <w:szCs w:val="14"/>
                <w:color w:val="auto"/>
              </w:rPr>
              <w:t>Executive Vice President,</w:t>
            </w:r>
          </w:p>
        </w:tc>
        <w:tc>
          <w:tcPr>
            <w:tcW w:w="160" w:type="dxa"/>
            <w:vAlign w:val="bottom"/>
            <w:shd w:val="clear" w:color="auto" w:fill="E5F1F8"/>
          </w:tcPr>
          <w:p>
            <w:pPr>
              <w:spacing w:after="0"/>
              <w:rPr>
                <w:sz w:val="13"/>
                <w:szCs w:val="13"/>
                <w:color w:val="auto"/>
              </w:rPr>
            </w:pPr>
          </w:p>
        </w:tc>
        <w:tc>
          <w:tcPr>
            <w:tcW w:w="560" w:type="dxa"/>
            <w:vAlign w:val="bottom"/>
            <w:tcBorders>
              <w:right w:val="single" w:sz="8" w:color="007CBA"/>
            </w:tcBorders>
            <w:vMerge w:val="restart"/>
            <w:shd w:val="clear" w:color="auto" w:fill="E5F1F8"/>
          </w:tcPr>
          <w:p>
            <w:pPr>
              <w:ind w:left="40"/>
              <w:spacing w:after="0"/>
              <w:rPr>
                <w:sz w:val="20"/>
                <w:szCs w:val="20"/>
                <w:color w:val="auto"/>
              </w:rPr>
            </w:pPr>
            <w:r>
              <w:rPr>
                <w:rFonts w:ascii="Arial" w:cs="Arial" w:eastAsia="Arial" w:hAnsi="Arial"/>
                <w:sz w:val="14"/>
                <w:szCs w:val="14"/>
                <w:color w:val="auto"/>
              </w:rPr>
              <w:t>2018</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537,783</w:t>
            </w:r>
          </w:p>
        </w:tc>
        <w:tc>
          <w:tcPr>
            <w:tcW w:w="460" w:type="dxa"/>
            <w:vAlign w:val="bottom"/>
            <w:tcBorders>
              <w:right w:val="single" w:sz="8" w:color="007CBA"/>
            </w:tcBorders>
            <w:shd w:val="clear" w:color="auto" w:fill="E5F1F8"/>
          </w:tcPr>
          <w:p>
            <w:pPr>
              <w:spacing w:after="0"/>
              <w:rPr>
                <w:sz w:val="13"/>
                <w:szCs w:val="13"/>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1,073,594</w:t>
            </w:r>
          </w:p>
        </w:tc>
        <w:tc>
          <w:tcPr>
            <w:tcW w:w="540" w:type="dxa"/>
            <w:vAlign w:val="bottom"/>
            <w:tcBorders>
              <w:right w:val="single" w:sz="8" w:color="007CBA"/>
            </w:tcBorders>
            <w:shd w:val="clear" w:color="auto" w:fill="E5F1F8"/>
          </w:tcPr>
          <w:p>
            <w:pPr>
              <w:spacing w:after="0"/>
              <w:rPr>
                <w:sz w:val="13"/>
                <w:szCs w:val="13"/>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496,912</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940,466</w:t>
            </w:r>
          </w:p>
        </w:tc>
        <w:tc>
          <w:tcPr>
            <w:tcW w:w="100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52,958</w:t>
            </w:r>
          </w:p>
        </w:tc>
        <w:tc>
          <w:tcPr>
            <w:tcW w:w="1100" w:type="dxa"/>
            <w:vAlign w:val="bottom"/>
            <w:vMerge w:val="restart"/>
            <w:shd w:val="clear" w:color="auto" w:fill="E5F1F8"/>
          </w:tcPr>
          <w:p>
            <w:pPr>
              <w:jc w:val="right"/>
              <w:ind w:right="109"/>
              <w:spacing w:after="0"/>
              <w:rPr>
                <w:sz w:val="20"/>
                <w:szCs w:val="20"/>
                <w:color w:val="auto"/>
              </w:rPr>
            </w:pPr>
            <w:r>
              <w:rPr>
                <w:rFonts w:ascii="Arial" w:cs="Arial" w:eastAsia="Arial" w:hAnsi="Arial"/>
                <w:sz w:val="14"/>
                <w:szCs w:val="14"/>
                <w:color w:val="auto"/>
              </w:rPr>
              <w:t>3,101,713</w:t>
            </w:r>
          </w:p>
        </w:tc>
        <w:tc>
          <w:tcPr>
            <w:tcW w:w="0" w:type="dxa"/>
            <w:vAlign w:val="bottom"/>
          </w:tcPr>
          <w:p>
            <w:pPr>
              <w:spacing w:after="0"/>
              <w:rPr>
                <w:sz w:val="1"/>
                <w:szCs w:val="1"/>
                <w:color w:val="auto"/>
              </w:rPr>
            </w:pPr>
          </w:p>
        </w:tc>
      </w:tr>
      <w:tr>
        <w:trPr>
          <w:trHeight w:val="104"/>
        </w:trPr>
        <w:tc>
          <w:tcPr>
            <w:tcW w:w="2880" w:type="dxa"/>
            <w:vAlign w:val="bottom"/>
            <w:tcBorders>
              <w:right w:val="single" w:sz="8" w:color="007CBA"/>
            </w:tcBorders>
            <w:vMerge w:val="restart"/>
            <w:shd w:val="clear" w:color="auto" w:fill="E5F1F8"/>
          </w:tcPr>
          <w:p>
            <w:pPr>
              <w:ind w:left="60"/>
              <w:spacing w:after="0" w:line="155" w:lineRule="exact"/>
              <w:rPr>
                <w:sz w:val="20"/>
                <w:szCs w:val="20"/>
                <w:color w:val="auto"/>
              </w:rPr>
            </w:pPr>
            <w:r>
              <w:rPr>
                <w:rFonts w:ascii="Arial" w:cs="Arial" w:eastAsia="Arial" w:hAnsi="Arial"/>
                <w:sz w:val="14"/>
                <w:szCs w:val="14"/>
                <w:color w:val="auto"/>
              </w:rPr>
              <w:t>General Counsel and</w:t>
            </w:r>
          </w:p>
        </w:tc>
        <w:tc>
          <w:tcPr>
            <w:tcW w:w="160" w:type="dxa"/>
            <w:vAlign w:val="bottom"/>
            <w:shd w:val="clear" w:color="auto" w:fill="E5F1F8"/>
          </w:tcPr>
          <w:p>
            <w:pPr>
              <w:spacing w:after="0"/>
              <w:rPr>
                <w:sz w:val="9"/>
                <w:szCs w:val="9"/>
                <w:color w:val="auto"/>
              </w:rPr>
            </w:pPr>
          </w:p>
        </w:tc>
        <w:tc>
          <w:tcPr>
            <w:tcW w:w="560" w:type="dxa"/>
            <w:vAlign w:val="bottom"/>
            <w:tcBorders>
              <w:right w:val="single" w:sz="8" w:color="007CBA"/>
            </w:tcBorders>
            <w:vMerge w:val="continue"/>
            <w:shd w:val="clear" w:color="auto" w:fill="E5F1F8"/>
          </w:tcPr>
          <w:p>
            <w:pPr>
              <w:spacing w:after="0"/>
              <w:rPr>
                <w:sz w:val="9"/>
                <w:szCs w:val="9"/>
                <w:color w:val="auto"/>
              </w:rPr>
            </w:pPr>
          </w:p>
        </w:tc>
        <w:tc>
          <w:tcPr>
            <w:tcW w:w="1040" w:type="dxa"/>
            <w:vAlign w:val="bottom"/>
            <w:tcBorders>
              <w:right w:val="single" w:sz="8" w:color="007CBA"/>
            </w:tcBorders>
            <w:vMerge w:val="continue"/>
            <w:shd w:val="clear" w:color="auto" w:fill="E5F1F8"/>
          </w:tcPr>
          <w:p>
            <w:pPr>
              <w:spacing w:after="0"/>
              <w:rPr>
                <w:sz w:val="9"/>
                <w:szCs w:val="9"/>
                <w:color w:val="auto"/>
              </w:rPr>
            </w:pPr>
          </w:p>
        </w:tc>
        <w:tc>
          <w:tcPr>
            <w:tcW w:w="460" w:type="dxa"/>
            <w:vAlign w:val="bottom"/>
            <w:tcBorders>
              <w:right w:val="single" w:sz="8" w:color="007CBA"/>
            </w:tcBorders>
            <w:shd w:val="clear" w:color="auto" w:fill="E5F1F8"/>
          </w:tcPr>
          <w:p>
            <w:pPr>
              <w:spacing w:after="0"/>
              <w:rPr>
                <w:sz w:val="9"/>
                <w:szCs w:val="9"/>
                <w:color w:val="auto"/>
              </w:rPr>
            </w:pPr>
          </w:p>
        </w:tc>
        <w:tc>
          <w:tcPr>
            <w:tcW w:w="1040" w:type="dxa"/>
            <w:vAlign w:val="bottom"/>
            <w:tcBorders>
              <w:right w:val="single" w:sz="8" w:color="007CBA"/>
            </w:tcBorders>
            <w:vMerge w:val="continue"/>
            <w:shd w:val="clear" w:color="auto" w:fill="E5F1F8"/>
          </w:tcPr>
          <w:p>
            <w:pPr>
              <w:spacing w:after="0"/>
              <w:rPr>
                <w:sz w:val="9"/>
                <w:szCs w:val="9"/>
                <w:color w:val="auto"/>
              </w:rPr>
            </w:pPr>
          </w:p>
        </w:tc>
        <w:tc>
          <w:tcPr>
            <w:tcW w:w="540" w:type="dxa"/>
            <w:vAlign w:val="bottom"/>
            <w:tcBorders>
              <w:right w:val="single" w:sz="8" w:color="007CBA"/>
            </w:tcBorders>
            <w:shd w:val="clear" w:color="auto" w:fill="E5F1F8"/>
          </w:tcPr>
          <w:p>
            <w:pPr>
              <w:spacing w:after="0"/>
              <w:rPr>
                <w:sz w:val="9"/>
                <w:szCs w:val="9"/>
                <w:color w:val="auto"/>
              </w:rPr>
            </w:pPr>
          </w:p>
        </w:tc>
        <w:tc>
          <w:tcPr>
            <w:tcW w:w="1040" w:type="dxa"/>
            <w:vAlign w:val="bottom"/>
            <w:tcBorders>
              <w:right w:val="single" w:sz="8" w:color="007CBA"/>
            </w:tcBorders>
            <w:vMerge w:val="continue"/>
            <w:shd w:val="clear" w:color="auto" w:fill="E5F1F8"/>
          </w:tcPr>
          <w:p>
            <w:pPr>
              <w:spacing w:after="0"/>
              <w:rPr>
                <w:sz w:val="9"/>
                <w:szCs w:val="9"/>
                <w:color w:val="auto"/>
              </w:rPr>
            </w:pPr>
          </w:p>
        </w:tc>
        <w:tc>
          <w:tcPr>
            <w:tcW w:w="1040" w:type="dxa"/>
            <w:vAlign w:val="bottom"/>
            <w:tcBorders>
              <w:right w:val="single" w:sz="8" w:color="007CBA"/>
            </w:tcBorders>
            <w:vMerge w:val="continue"/>
            <w:shd w:val="clear" w:color="auto" w:fill="E5F1F8"/>
          </w:tcPr>
          <w:p>
            <w:pPr>
              <w:spacing w:after="0"/>
              <w:rPr>
                <w:sz w:val="9"/>
                <w:szCs w:val="9"/>
                <w:color w:val="auto"/>
              </w:rPr>
            </w:pPr>
          </w:p>
        </w:tc>
        <w:tc>
          <w:tcPr>
            <w:tcW w:w="1000" w:type="dxa"/>
            <w:vAlign w:val="bottom"/>
            <w:tcBorders>
              <w:right w:val="single" w:sz="8" w:color="007CBA"/>
            </w:tcBorders>
            <w:vMerge w:val="continue"/>
            <w:shd w:val="clear" w:color="auto" w:fill="E5F1F8"/>
          </w:tcPr>
          <w:p>
            <w:pPr>
              <w:spacing w:after="0"/>
              <w:rPr>
                <w:sz w:val="9"/>
                <w:szCs w:val="9"/>
                <w:color w:val="auto"/>
              </w:rPr>
            </w:pPr>
          </w:p>
        </w:tc>
        <w:tc>
          <w:tcPr>
            <w:tcW w:w="1100" w:type="dxa"/>
            <w:vAlign w:val="bottom"/>
            <w:vMerge w:val="continue"/>
            <w:shd w:val="clear" w:color="auto" w:fill="E5F1F8"/>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880" w:type="dxa"/>
            <w:vAlign w:val="bottom"/>
            <w:tcBorders>
              <w:right w:val="single" w:sz="8" w:color="007CBA"/>
            </w:tcBorders>
            <w:vMerge w:val="continue"/>
            <w:shd w:val="clear" w:color="auto" w:fill="E5F1F8"/>
          </w:tcPr>
          <w:p>
            <w:pPr>
              <w:spacing w:after="0"/>
              <w:rPr>
                <w:sz w:val="4"/>
                <w:szCs w:val="4"/>
                <w:color w:val="auto"/>
              </w:rPr>
            </w:pPr>
          </w:p>
        </w:tc>
        <w:tc>
          <w:tcPr>
            <w:tcW w:w="160" w:type="dxa"/>
            <w:vAlign w:val="bottom"/>
            <w:shd w:val="clear" w:color="auto" w:fill="E5F1F8"/>
          </w:tcPr>
          <w:p>
            <w:pPr>
              <w:spacing w:after="0"/>
              <w:rPr>
                <w:sz w:val="4"/>
                <w:szCs w:val="4"/>
                <w:color w:val="auto"/>
              </w:rPr>
            </w:pPr>
          </w:p>
        </w:tc>
        <w:tc>
          <w:tcPr>
            <w:tcW w:w="56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shd w:val="clear" w:color="auto" w:fill="E5F1F8"/>
          </w:tcPr>
          <w:p>
            <w:pPr>
              <w:spacing w:after="0"/>
              <w:rPr>
                <w:sz w:val="4"/>
                <w:szCs w:val="4"/>
                <w:color w:val="auto"/>
              </w:rPr>
            </w:pPr>
          </w:p>
        </w:tc>
        <w:tc>
          <w:tcPr>
            <w:tcW w:w="46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shd w:val="clear" w:color="auto" w:fill="E5F1F8"/>
          </w:tcPr>
          <w:p>
            <w:pPr>
              <w:spacing w:after="0"/>
              <w:rPr>
                <w:sz w:val="4"/>
                <w:szCs w:val="4"/>
                <w:color w:val="auto"/>
              </w:rPr>
            </w:pPr>
          </w:p>
        </w:tc>
        <w:tc>
          <w:tcPr>
            <w:tcW w:w="54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shd w:val="clear" w:color="auto" w:fill="E5F1F8"/>
          </w:tcPr>
          <w:p>
            <w:pPr>
              <w:spacing w:after="0"/>
              <w:rPr>
                <w:sz w:val="4"/>
                <w:szCs w:val="4"/>
                <w:color w:val="auto"/>
              </w:rPr>
            </w:pPr>
          </w:p>
        </w:tc>
        <w:tc>
          <w:tcPr>
            <w:tcW w:w="1000" w:type="dxa"/>
            <w:vAlign w:val="bottom"/>
            <w:tcBorders>
              <w:right w:val="single" w:sz="8" w:color="007CBA"/>
            </w:tcBorders>
            <w:shd w:val="clear" w:color="auto" w:fill="E5F1F8"/>
          </w:tcPr>
          <w:p>
            <w:pPr>
              <w:spacing w:after="0"/>
              <w:rPr>
                <w:sz w:val="4"/>
                <w:szCs w:val="4"/>
                <w:color w:val="auto"/>
              </w:rPr>
            </w:pPr>
          </w:p>
        </w:tc>
        <w:tc>
          <w:tcPr>
            <w:tcW w:w="1100" w:type="dxa"/>
            <w:vAlign w:val="bottom"/>
            <w:shd w:val="clear" w:color="auto" w:fill="E5F1F8"/>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8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Corporate Secretary</w:t>
            </w:r>
          </w:p>
        </w:tc>
        <w:tc>
          <w:tcPr>
            <w:tcW w:w="16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right w:val="single" w:sz="8" w:color="007CBA"/>
            </w:tcBorders>
            <w:shd w:val="clear" w:color="auto" w:fill="E5F1F8"/>
          </w:tcPr>
          <w:p>
            <w:pPr>
              <w:ind w:left="40"/>
              <w:spacing w:after="0"/>
              <w:rPr>
                <w:sz w:val="20"/>
                <w:szCs w:val="20"/>
                <w:color w:val="auto"/>
              </w:rPr>
            </w:pPr>
            <w:r>
              <w:rPr>
                <w:rFonts w:ascii="Arial" w:cs="Arial" w:eastAsia="Arial" w:hAnsi="Arial"/>
                <w:sz w:val="14"/>
                <w:szCs w:val="14"/>
                <w:color w:val="auto"/>
              </w:rPr>
              <w:t>2017</w:t>
            </w:r>
          </w:p>
        </w:tc>
        <w:tc>
          <w:tcPr>
            <w:tcW w:w="1040" w:type="dxa"/>
            <w:vAlign w:val="bottom"/>
            <w:tcBorders>
              <w:bottom w:val="single" w:sz="8" w:color="E5F1F8"/>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511,383</w:t>
            </w: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1040" w:type="dxa"/>
            <w:vAlign w:val="bottom"/>
            <w:tcBorders>
              <w:bottom w:val="single" w:sz="8" w:color="E5F1F8"/>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1,433,583</w:t>
            </w:r>
          </w:p>
        </w:tc>
        <w:tc>
          <w:tcPr>
            <w:tcW w:w="540" w:type="dxa"/>
            <w:vAlign w:val="bottom"/>
            <w:tcBorders>
              <w:bottom w:val="single" w:sz="8" w:color="E5F1F8"/>
              <w:right w:val="single" w:sz="8" w:color="007CBA"/>
            </w:tcBorders>
            <w:shd w:val="clear" w:color="auto" w:fill="E5F1F8"/>
          </w:tcPr>
          <w:p>
            <w:pPr>
              <w:spacing w:after="0"/>
              <w:rPr>
                <w:sz w:val="19"/>
                <w:szCs w:val="19"/>
                <w:color w:val="auto"/>
              </w:rPr>
            </w:pPr>
          </w:p>
        </w:tc>
        <w:tc>
          <w:tcPr>
            <w:tcW w:w="1040" w:type="dxa"/>
            <w:vAlign w:val="bottom"/>
            <w:tcBorders>
              <w:bottom w:val="single" w:sz="8" w:color="E5F1F8"/>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475,586</w:t>
            </w:r>
          </w:p>
        </w:tc>
        <w:tc>
          <w:tcPr>
            <w:tcW w:w="1040" w:type="dxa"/>
            <w:vAlign w:val="bottom"/>
            <w:tcBorders>
              <w:bottom w:val="single" w:sz="8" w:color="E5F1F8"/>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1,039,249</w:t>
            </w:r>
          </w:p>
        </w:tc>
        <w:tc>
          <w:tcPr>
            <w:tcW w:w="1000" w:type="dxa"/>
            <w:vAlign w:val="bottom"/>
            <w:tcBorders>
              <w:bottom w:val="single" w:sz="8" w:color="E5F1F8"/>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52,062</w:t>
            </w:r>
          </w:p>
        </w:tc>
        <w:tc>
          <w:tcPr>
            <w:tcW w:w="1100" w:type="dxa"/>
            <w:vAlign w:val="bottom"/>
            <w:tcBorders>
              <w:bottom w:val="single" w:sz="8" w:color="E5F1F8"/>
            </w:tcBorders>
            <w:shd w:val="clear" w:color="auto" w:fill="E5F1F8"/>
          </w:tcPr>
          <w:p>
            <w:pPr>
              <w:jc w:val="right"/>
              <w:ind w:right="109"/>
              <w:spacing w:after="0"/>
              <w:rPr>
                <w:sz w:val="20"/>
                <w:szCs w:val="20"/>
                <w:color w:val="auto"/>
              </w:rPr>
            </w:pPr>
            <w:r>
              <w:rPr>
                <w:rFonts w:ascii="Arial" w:cs="Arial" w:eastAsia="Arial" w:hAnsi="Arial"/>
                <w:sz w:val="14"/>
                <w:szCs w:val="14"/>
                <w:color w:val="auto"/>
              </w:rPr>
              <w:t>3,511,863</w:t>
            </w:r>
          </w:p>
        </w:tc>
        <w:tc>
          <w:tcPr>
            <w:tcW w:w="0" w:type="dxa"/>
            <w:vAlign w:val="bottom"/>
          </w:tcPr>
          <w:p>
            <w:pPr>
              <w:spacing w:after="0"/>
              <w:rPr>
                <w:sz w:val="1"/>
                <w:szCs w:val="1"/>
                <w:color w:val="auto"/>
              </w:rPr>
            </w:pPr>
          </w:p>
        </w:tc>
      </w:tr>
      <w:tr>
        <w:trPr>
          <w:trHeight w:val="205"/>
        </w:trPr>
        <w:tc>
          <w:tcPr>
            <w:tcW w:w="2880" w:type="dxa"/>
            <w:vAlign w:val="bottom"/>
            <w:tcBorders>
              <w:right w:val="single" w:sz="8" w:color="007CBA"/>
            </w:tcBorders>
          </w:tcPr>
          <w:p>
            <w:pPr>
              <w:ind w:left="60"/>
              <w:spacing w:after="0" w:line="204" w:lineRule="exact"/>
              <w:rPr>
                <w:sz w:val="20"/>
                <w:szCs w:val="20"/>
                <w:color w:val="auto"/>
              </w:rPr>
            </w:pPr>
            <w:r>
              <w:rPr>
                <w:rFonts w:ascii="Arial" w:cs="Arial" w:eastAsia="Arial" w:hAnsi="Arial"/>
                <w:sz w:val="14"/>
                <w:szCs w:val="14"/>
                <w:b w:val="1"/>
                <w:bCs w:val="1"/>
                <w:color w:val="auto"/>
              </w:rPr>
              <w:t>Craig M. LaTorre</w:t>
            </w:r>
            <w:r>
              <w:rPr>
                <w:rFonts w:ascii="Arial" w:cs="Arial" w:eastAsia="Arial" w:hAnsi="Arial"/>
                <w:sz w:val="23"/>
                <w:szCs w:val="23"/>
                <w:b w:val="1"/>
                <w:bCs w:val="1"/>
                <w:color w:val="auto"/>
                <w:vertAlign w:val="superscript"/>
              </w:rPr>
              <w:t>7</w:t>
            </w:r>
          </w:p>
        </w:tc>
        <w:tc>
          <w:tcPr>
            <w:tcW w:w="720" w:type="dxa"/>
            <w:vAlign w:val="bottom"/>
            <w:tcBorders>
              <w:right w:val="single" w:sz="8" w:color="007CBA"/>
            </w:tcBorders>
            <w:gridSpan w:val="2"/>
          </w:tcPr>
          <w:p>
            <w:pPr>
              <w:ind w:left="200"/>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456,250</w:t>
            </w:r>
          </w:p>
        </w:tc>
        <w:tc>
          <w:tcPr>
            <w:tcW w:w="460" w:type="dxa"/>
            <w:vAlign w:val="bottom"/>
            <w:tcBorders>
              <w:right w:val="single" w:sz="8" w:color="007CBA"/>
            </w:tcBorders>
          </w:tcPr>
          <w:p>
            <w:pPr>
              <w:spacing w:after="0"/>
              <w:rPr>
                <w:sz w:val="17"/>
                <w:szCs w:val="17"/>
                <w:color w:val="auto"/>
              </w:rPr>
            </w:pP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736,506</w:t>
            </w:r>
          </w:p>
        </w:tc>
        <w:tc>
          <w:tcPr>
            <w:tcW w:w="540" w:type="dxa"/>
            <w:vAlign w:val="bottom"/>
            <w:tcBorders>
              <w:right w:val="single" w:sz="8" w:color="007CBA"/>
            </w:tcBorders>
          </w:tcPr>
          <w:p>
            <w:pPr>
              <w:spacing w:after="0"/>
              <w:rPr>
                <w:sz w:val="17"/>
                <w:szCs w:val="17"/>
                <w:color w:val="auto"/>
              </w:rPr>
            </w:pP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419,050</w:t>
            </w:r>
          </w:p>
        </w:tc>
        <w:tc>
          <w:tcPr>
            <w:tcW w:w="104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142,339</w:t>
            </w:r>
          </w:p>
        </w:tc>
        <w:tc>
          <w:tcPr>
            <w:tcW w:w="100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21,305</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1,775,450</w:t>
            </w: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tcPr>
          <w:p>
            <w:pPr>
              <w:ind w:left="60"/>
              <w:spacing w:after="0" w:line="160" w:lineRule="exact"/>
              <w:rPr>
                <w:sz w:val="20"/>
                <w:szCs w:val="20"/>
                <w:color w:val="auto"/>
              </w:rPr>
            </w:pPr>
            <w:r>
              <w:rPr>
                <w:rFonts w:ascii="Arial" w:cs="Arial" w:eastAsia="Arial" w:hAnsi="Arial"/>
                <w:sz w:val="14"/>
                <w:szCs w:val="14"/>
                <w:color w:val="auto"/>
              </w:rPr>
              <w:t>Senior Vice President,</w:t>
            </w:r>
          </w:p>
        </w:tc>
        <w:tc>
          <w:tcPr>
            <w:tcW w:w="160" w:type="dxa"/>
            <w:vAlign w:val="bottom"/>
          </w:tcPr>
          <w:p>
            <w:pPr>
              <w:spacing w:after="0"/>
              <w:rPr>
                <w:sz w:val="13"/>
                <w:szCs w:val="13"/>
                <w:color w:val="auto"/>
              </w:rPr>
            </w:pPr>
          </w:p>
        </w:tc>
        <w:tc>
          <w:tcPr>
            <w:tcW w:w="56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46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54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1000" w:type="dxa"/>
            <w:vAlign w:val="bottom"/>
            <w:tcBorders>
              <w:right w:val="single" w:sz="8" w:color="007CBA"/>
            </w:tcBorders>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tcPr>
          <w:p>
            <w:pPr>
              <w:ind w:left="60"/>
              <w:spacing w:after="0" w:line="160" w:lineRule="exact"/>
              <w:rPr>
                <w:sz w:val="20"/>
                <w:szCs w:val="20"/>
                <w:color w:val="auto"/>
              </w:rPr>
            </w:pPr>
            <w:r>
              <w:rPr>
                <w:rFonts w:ascii="Arial" w:cs="Arial" w:eastAsia="Arial" w:hAnsi="Arial"/>
                <w:sz w:val="14"/>
                <w:szCs w:val="14"/>
                <w:color w:val="auto"/>
              </w:rPr>
              <w:t>Chief Human Resources</w:t>
            </w:r>
          </w:p>
        </w:tc>
        <w:tc>
          <w:tcPr>
            <w:tcW w:w="160" w:type="dxa"/>
            <w:vAlign w:val="bottom"/>
          </w:tcPr>
          <w:p>
            <w:pPr>
              <w:spacing w:after="0"/>
              <w:rPr>
                <w:sz w:val="13"/>
                <w:szCs w:val="13"/>
                <w:color w:val="auto"/>
              </w:rPr>
            </w:pPr>
          </w:p>
        </w:tc>
        <w:tc>
          <w:tcPr>
            <w:tcW w:w="56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46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54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1000" w:type="dxa"/>
            <w:vAlign w:val="bottom"/>
            <w:tcBorders>
              <w:right w:val="single" w:sz="8" w:color="007CBA"/>
            </w:tcBorders>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Officer</w:t>
            </w:r>
          </w:p>
        </w:tc>
        <w:tc>
          <w:tcPr>
            <w:tcW w:w="160" w:type="dxa"/>
            <w:vAlign w:val="bottom"/>
          </w:tcPr>
          <w:p>
            <w:pPr>
              <w:spacing w:after="0"/>
              <w:rPr>
                <w:sz w:val="14"/>
                <w:szCs w:val="14"/>
                <w:color w:val="auto"/>
              </w:rPr>
            </w:pPr>
          </w:p>
        </w:tc>
        <w:tc>
          <w:tcPr>
            <w:tcW w:w="56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46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5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1040" w:type="dxa"/>
            <w:vAlign w:val="bottom"/>
            <w:tcBorders>
              <w:right w:val="single" w:sz="8" w:color="007CBA"/>
            </w:tcBorders>
          </w:tcPr>
          <w:p>
            <w:pPr>
              <w:spacing w:after="0"/>
              <w:rPr>
                <w:sz w:val="14"/>
                <w:szCs w:val="14"/>
                <w:color w:val="auto"/>
              </w:rPr>
            </w:pPr>
          </w:p>
        </w:tc>
        <w:tc>
          <w:tcPr>
            <w:tcW w:w="1000" w:type="dxa"/>
            <w:vAlign w:val="bottom"/>
            <w:tcBorders>
              <w:right w:val="single" w:sz="8" w:color="007CBA"/>
            </w:tcBorders>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880" w:type="dxa"/>
            <w:vAlign w:val="bottom"/>
            <w:tcBorders>
              <w:right w:val="single" w:sz="8" w:color="007CBA"/>
            </w:tcBorders>
          </w:tcPr>
          <w:p>
            <w:pPr>
              <w:spacing w:after="0"/>
              <w:rPr>
                <w:sz w:val="5"/>
                <w:szCs w:val="5"/>
                <w:color w:val="auto"/>
              </w:rPr>
            </w:pPr>
          </w:p>
        </w:tc>
        <w:tc>
          <w:tcPr>
            <w:tcW w:w="720" w:type="dxa"/>
            <w:vAlign w:val="bottom"/>
            <w:tcBorders>
              <w:right w:val="single" w:sz="8" w:color="007CBA"/>
            </w:tcBorders>
            <w:gridSpan w:val="2"/>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46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5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1000" w:type="dxa"/>
            <w:vAlign w:val="bottom"/>
            <w:tcBorders>
              <w:right w:val="single" w:sz="8" w:color="007CBA"/>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8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720" w:type="dxa"/>
            <w:vAlign w:val="bottom"/>
            <w:tcBorders>
              <w:right w:val="single" w:sz="8" w:color="007CBA"/>
            </w:tcBorders>
            <w:gridSpan w:val="2"/>
            <w:shd w:val="clear" w:color="auto" w:fill="E5F1F8"/>
          </w:tcPr>
          <w:p>
            <w:pPr>
              <w:ind w:left="200"/>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394,417</w:t>
            </w:r>
          </w:p>
        </w:tc>
        <w:tc>
          <w:tcPr>
            <w:tcW w:w="460" w:type="dxa"/>
            <w:vAlign w:val="bottom"/>
            <w:tcBorders>
              <w:right w:val="single" w:sz="8" w:color="007CBA"/>
            </w:tcBorders>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631,506</w:t>
            </w:r>
          </w:p>
        </w:tc>
        <w:tc>
          <w:tcPr>
            <w:tcW w:w="540" w:type="dxa"/>
            <w:vAlign w:val="bottom"/>
            <w:tcBorders>
              <w:right w:val="single" w:sz="8" w:color="007CBA"/>
            </w:tcBorders>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353,398</w:t>
            </w:r>
          </w:p>
        </w:tc>
        <w:tc>
          <w:tcPr>
            <w:tcW w:w="104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317,458</w:t>
            </w:r>
          </w:p>
        </w:tc>
        <w:tc>
          <w:tcPr>
            <w:tcW w:w="10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56,555</w:t>
            </w:r>
          </w:p>
        </w:tc>
        <w:tc>
          <w:tcPr>
            <w:tcW w:w="110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1,753,334</w:t>
            </w:r>
          </w:p>
        </w:tc>
        <w:tc>
          <w:tcPr>
            <w:tcW w:w="0" w:type="dxa"/>
            <w:vAlign w:val="bottom"/>
          </w:tcPr>
          <w:p>
            <w:pPr>
              <w:spacing w:after="0"/>
              <w:rPr>
                <w:sz w:val="1"/>
                <w:szCs w:val="1"/>
                <w:color w:val="auto"/>
              </w:rPr>
            </w:pPr>
          </w:p>
        </w:tc>
      </w:tr>
      <w:tr>
        <w:trPr>
          <w:trHeight w:val="160"/>
        </w:trPr>
        <w:tc>
          <w:tcPr>
            <w:tcW w:w="2880" w:type="dxa"/>
            <w:vAlign w:val="bottom"/>
            <w:tcBorders>
              <w:right w:val="single" w:sz="8" w:color="007CBA"/>
            </w:tcBorders>
            <w:shd w:val="clear" w:color="auto" w:fill="E5F1F8"/>
          </w:tcPr>
          <w:p>
            <w:pPr>
              <w:ind w:left="60"/>
              <w:spacing w:after="0" w:line="160" w:lineRule="exact"/>
              <w:rPr>
                <w:sz w:val="20"/>
                <w:szCs w:val="20"/>
                <w:color w:val="auto"/>
              </w:rPr>
            </w:pPr>
            <w:r>
              <w:rPr>
                <w:rFonts w:ascii="Arial" w:cs="Arial" w:eastAsia="Arial" w:hAnsi="Arial"/>
                <w:sz w:val="14"/>
                <w:szCs w:val="14"/>
                <w:color w:val="auto"/>
              </w:rPr>
              <w:t>Senior Vice President,</w:t>
            </w:r>
          </w:p>
        </w:tc>
        <w:tc>
          <w:tcPr>
            <w:tcW w:w="160" w:type="dxa"/>
            <w:vAlign w:val="bottom"/>
            <w:shd w:val="clear" w:color="auto" w:fill="E5F1F8"/>
          </w:tcPr>
          <w:p>
            <w:pPr>
              <w:spacing w:after="0"/>
              <w:rPr>
                <w:sz w:val="13"/>
                <w:szCs w:val="13"/>
                <w:color w:val="auto"/>
              </w:rPr>
            </w:pPr>
          </w:p>
        </w:tc>
        <w:tc>
          <w:tcPr>
            <w:tcW w:w="560" w:type="dxa"/>
            <w:vAlign w:val="bottom"/>
            <w:tcBorders>
              <w:right w:val="single" w:sz="8" w:color="007CBA"/>
            </w:tcBorders>
            <w:vMerge w:val="restart"/>
            <w:shd w:val="clear" w:color="auto" w:fill="E5F1F8"/>
          </w:tcPr>
          <w:p>
            <w:pPr>
              <w:ind w:left="40"/>
              <w:spacing w:after="0"/>
              <w:rPr>
                <w:sz w:val="20"/>
                <w:szCs w:val="20"/>
                <w:color w:val="auto"/>
              </w:rPr>
            </w:pPr>
            <w:r>
              <w:rPr>
                <w:rFonts w:ascii="Arial" w:cs="Arial" w:eastAsia="Arial" w:hAnsi="Arial"/>
                <w:sz w:val="14"/>
                <w:szCs w:val="14"/>
                <w:color w:val="auto"/>
              </w:rPr>
              <w:t>2018</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380,383</w:t>
            </w:r>
          </w:p>
        </w:tc>
        <w:tc>
          <w:tcPr>
            <w:tcW w:w="460" w:type="dxa"/>
            <w:vAlign w:val="bottom"/>
            <w:tcBorders>
              <w:right w:val="single" w:sz="8" w:color="007CBA"/>
            </w:tcBorders>
            <w:shd w:val="clear" w:color="auto" w:fill="E5F1F8"/>
          </w:tcPr>
          <w:p>
            <w:pPr>
              <w:spacing w:after="0"/>
              <w:rPr>
                <w:sz w:val="13"/>
                <w:szCs w:val="13"/>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527,756</w:t>
            </w:r>
          </w:p>
        </w:tc>
        <w:tc>
          <w:tcPr>
            <w:tcW w:w="540" w:type="dxa"/>
            <w:vAlign w:val="bottom"/>
            <w:tcBorders>
              <w:right w:val="single" w:sz="8" w:color="007CBA"/>
            </w:tcBorders>
            <w:shd w:val="clear" w:color="auto" w:fill="E5F1F8"/>
          </w:tcPr>
          <w:p>
            <w:pPr>
              <w:spacing w:after="0"/>
              <w:rPr>
                <w:sz w:val="13"/>
                <w:szCs w:val="13"/>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308,871</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163,952</w:t>
            </w:r>
          </w:p>
        </w:tc>
        <w:tc>
          <w:tcPr>
            <w:tcW w:w="100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41,967</w:t>
            </w:r>
          </w:p>
        </w:tc>
        <w:tc>
          <w:tcPr>
            <w:tcW w:w="1100" w:type="dxa"/>
            <w:vAlign w:val="bottom"/>
            <w:vMerge w:val="restart"/>
            <w:shd w:val="clear" w:color="auto" w:fill="E5F1F8"/>
          </w:tcPr>
          <w:p>
            <w:pPr>
              <w:jc w:val="right"/>
              <w:ind w:right="109"/>
              <w:spacing w:after="0"/>
              <w:rPr>
                <w:sz w:val="20"/>
                <w:szCs w:val="20"/>
                <w:color w:val="auto"/>
              </w:rPr>
            </w:pPr>
            <w:r>
              <w:rPr>
                <w:rFonts w:ascii="Arial" w:cs="Arial" w:eastAsia="Arial" w:hAnsi="Arial"/>
                <w:sz w:val="14"/>
                <w:szCs w:val="14"/>
                <w:color w:val="auto"/>
              </w:rPr>
              <w:t>1,422,929</w:t>
            </w:r>
          </w:p>
        </w:tc>
        <w:tc>
          <w:tcPr>
            <w:tcW w:w="0" w:type="dxa"/>
            <w:vAlign w:val="bottom"/>
          </w:tcPr>
          <w:p>
            <w:pPr>
              <w:spacing w:after="0"/>
              <w:rPr>
                <w:sz w:val="1"/>
                <w:szCs w:val="1"/>
                <w:color w:val="auto"/>
              </w:rPr>
            </w:pPr>
          </w:p>
        </w:tc>
      </w:tr>
      <w:tr>
        <w:trPr>
          <w:trHeight w:val="91"/>
        </w:trPr>
        <w:tc>
          <w:tcPr>
            <w:tcW w:w="2880" w:type="dxa"/>
            <w:vAlign w:val="bottom"/>
            <w:tcBorders>
              <w:right w:val="single" w:sz="8" w:color="007CBA"/>
            </w:tcBorders>
            <w:vMerge w:val="restart"/>
            <w:shd w:val="clear" w:color="auto" w:fill="E5F1F8"/>
          </w:tcPr>
          <w:p>
            <w:pPr>
              <w:ind w:left="60"/>
              <w:spacing w:after="0" w:line="142" w:lineRule="exact"/>
              <w:rPr>
                <w:sz w:val="20"/>
                <w:szCs w:val="20"/>
                <w:color w:val="auto"/>
              </w:rPr>
            </w:pPr>
            <w:r>
              <w:rPr>
                <w:rFonts w:ascii="Arial" w:cs="Arial" w:eastAsia="Arial" w:hAnsi="Arial"/>
                <w:sz w:val="14"/>
                <w:szCs w:val="14"/>
                <w:color w:val="auto"/>
              </w:rPr>
              <w:t>Strategy &amp; Development</w:t>
            </w:r>
          </w:p>
        </w:tc>
        <w:tc>
          <w:tcPr>
            <w:tcW w:w="160" w:type="dxa"/>
            <w:vAlign w:val="bottom"/>
            <w:shd w:val="clear" w:color="auto" w:fill="E5F1F8"/>
          </w:tcPr>
          <w:p>
            <w:pPr>
              <w:spacing w:after="0"/>
              <w:rPr>
                <w:sz w:val="7"/>
                <w:szCs w:val="7"/>
                <w:color w:val="auto"/>
              </w:rPr>
            </w:pPr>
          </w:p>
        </w:tc>
        <w:tc>
          <w:tcPr>
            <w:tcW w:w="560" w:type="dxa"/>
            <w:vAlign w:val="bottom"/>
            <w:tcBorders>
              <w:right w:val="single" w:sz="8" w:color="007CBA"/>
            </w:tcBorders>
            <w:vMerge w:val="continue"/>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460" w:type="dxa"/>
            <w:vAlign w:val="bottom"/>
            <w:tcBorders>
              <w:right w:val="single" w:sz="8" w:color="007CBA"/>
            </w:tcBorders>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540" w:type="dxa"/>
            <w:vAlign w:val="bottom"/>
            <w:tcBorders>
              <w:right w:val="single" w:sz="8" w:color="007CBA"/>
            </w:tcBorders>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1040" w:type="dxa"/>
            <w:vAlign w:val="bottom"/>
            <w:tcBorders>
              <w:right w:val="single" w:sz="8" w:color="007CBA"/>
            </w:tcBorders>
            <w:vMerge w:val="continue"/>
            <w:shd w:val="clear" w:color="auto" w:fill="E5F1F8"/>
          </w:tcPr>
          <w:p>
            <w:pPr>
              <w:spacing w:after="0"/>
              <w:rPr>
                <w:sz w:val="7"/>
                <w:szCs w:val="7"/>
                <w:color w:val="auto"/>
              </w:rPr>
            </w:pPr>
          </w:p>
        </w:tc>
        <w:tc>
          <w:tcPr>
            <w:tcW w:w="1000" w:type="dxa"/>
            <w:vAlign w:val="bottom"/>
            <w:tcBorders>
              <w:right w:val="single" w:sz="8" w:color="007CBA"/>
            </w:tcBorders>
            <w:vMerge w:val="continue"/>
            <w:shd w:val="clear" w:color="auto" w:fill="E5F1F8"/>
          </w:tcPr>
          <w:p>
            <w:pPr>
              <w:spacing w:after="0"/>
              <w:rPr>
                <w:sz w:val="7"/>
                <w:szCs w:val="7"/>
                <w:color w:val="auto"/>
              </w:rPr>
            </w:pPr>
          </w:p>
        </w:tc>
        <w:tc>
          <w:tcPr>
            <w:tcW w:w="1100" w:type="dxa"/>
            <w:vAlign w:val="bottom"/>
            <w:vMerge w:val="continue"/>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880" w:type="dxa"/>
            <w:vAlign w:val="bottom"/>
            <w:tcBorders>
              <w:right w:val="single" w:sz="8" w:color="007CBA"/>
            </w:tcBorders>
            <w:vMerge w:val="continue"/>
            <w:shd w:val="clear" w:color="auto" w:fill="E5F1F8"/>
          </w:tcPr>
          <w:p>
            <w:pPr>
              <w:spacing w:after="0"/>
              <w:rPr>
                <w:sz w:val="4"/>
                <w:szCs w:val="4"/>
                <w:color w:val="auto"/>
              </w:rPr>
            </w:pPr>
          </w:p>
        </w:tc>
        <w:tc>
          <w:tcPr>
            <w:tcW w:w="160" w:type="dxa"/>
            <w:vAlign w:val="bottom"/>
            <w:shd w:val="clear" w:color="auto" w:fill="E5F1F8"/>
          </w:tcPr>
          <w:p>
            <w:pPr>
              <w:spacing w:after="0"/>
              <w:rPr>
                <w:sz w:val="4"/>
                <w:szCs w:val="4"/>
                <w:color w:val="auto"/>
              </w:rPr>
            </w:pPr>
          </w:p>
        </w:tc>
        <w:tc>
          <w:tcPr>
            <w:tcW w:w="560" w:type="dxa"/>
            <w:vAlign w:val="bottom"/>
            <w:tcBorders>
              <w:right w:val="single" w:sz="8" w:color="007CBA"/>
            </w:tcBorders>
            <w:vMerge w:val="restart"/>
            <w:shd w:val="clear" w:color="auto" w:fill="E5F1F8"/>
          </w:tcPr>
          <w:p>
            <w:pPr>
              <w:ind w:left="40"/>
              <w:spacing w:after="0"/>
              <w:rPr>
                <w:sz w:val="20"/>
                <w:szCs w:val="20"/>
                <w:color w:val="auto"/>
              </w:rPr>
            </w:pPr>
            <w:r>
              <w:rPr>
                <w:rFonts w:ascii="Arial" w:cs="Arial" w:eastAsia="Arial" w:hAnsi="Arial"/>
                <w:sz w:val="14"/>
                <w:szCs w:val="14"/>
                <w:color w:val="auto"/>
              </w:rPr>
              <w:t>2017</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360,433</w:t>
            </w:r>
          </w:p>
        </w:tc>
        <w:tc>
          <w:tcPr>
            <w:tcW w:w="46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947,503</w:t>
            </w:r>
          </w:p>
        </w:tc>
        <w:tc>
          <w:tcPr>
            <w:tcW w:w="540" w:type="dxa"/>
            <w:vAlign w:val="bottom"/>
            <w:tcBorders>
              <w:right w:val="single" w:sz="8" w:color="007CBA"/>
            </w:tcBorders>
            <w:shd w:val="clear" w:color="auto" w:fill="E5F1F8"/>
          </w:tcPr>
          <w:p>
            <w:pPr>
              <w:spacing w:after="0"/>
              <w:rPr>
                <w:sz w:val="4"/>
                <w:szCs w:val="4"/>
                <w:color w:val="auto"/>
              </w:rPr>
            </w:pP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255,457</w:t>
            </w:r>
          </w:p>
        </w:tc>
        <w:tc>
          <w:tcPr>
            <w:tcW w:w="104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193,221</w:t>
            </w:r>
          </w:p>
        </w:tc>
        <w:tc>
          <w:tcPr>
            <w:tcW w:w="1000" w:type="dxa"/>
            <w:vAlign w:val="bottom"/>
            <w:tcBorders>
              <w:right w:val="single" w:sz="8" w:color="007CBA"/>
            </w:tcBorders>
            <w:vMerge w:val="restart"/>
            <w:shd w:val="clear" w:color="auto" w:fill="E5F1F8"/>
          </w:tcPr>
          <w:p>
            <w:pPr>
              <w:jc w:val="right"/>
              <w:ind w:right="130"/>
              <w:spacing w:after="0"/>
              <w:rPr>
                <w:sz w:val="20"/>
                <w:szCs w:val="20"/>
                <w:color w:val="auto"/>
              </w:rPr>
            </w:pPr>
            <w:r>
              <w:rPr>
                <w:rFonts w:ascii="Arial" w:cs="Arial" w:eastAsia="Arial" w:hAnsi="Arial"/>
                <w:sz w:val="14"/>
                <w:szCs w:val="14"/>
                <w:color w:val="auto"/>
              </w:rPr>
              <w:t>38,825</w:t>
            </w:r>
          </w:p>
        </w:tc>
        <w:tc>
          <w:tcPr>
            <w:tcW w:w="1100" w:type="dxa"/>
            <w:vAlign w:val="bottom"/>
            <w:vMerge w:val="restart"/>
            <w:shd w:val="clear" w:color="auto" w:fill="E5F1F8"/>
          </w:tcPr>
          <w:p>
            <w:pPr>
              <w:jc w:val="right"/>
              <w:ind w:right="109"/>
              <w:spacing w:after="0"/>
              <w:rPr>
                <w:sz w:val="20"/>
                <w:szCs w:val="20"/>
                <w:color w:val="auto"/>
              </w:rPr>
            </w:pPr>
            <w:r>
              <w:rPr>
                <w:rFonts w:ascii="Arial" w:cs="Arial" w:eastAsia="Arial" w:hAnsi="Arial"/>
                <w:sz w:val="14"/>
                <w:szCs w:val="14"/>
                <w:color w:val="auto"/>
              </w:rPr>
              <w:t>1,795,439</w:t>
            </w:r>
          </w:p>
        </w:tc>
        <w:tc>
          <w:tcPr>
            <w:tcW w:w="0" w:type="dxa"/>
            <w:vAlign w:val="bottom"/>
          </w:tcPr>
          <w:p>
            <w:pPr>
              <w:spacing w:after="0"/>
              <w:rPr>
                <w:sz w:val="1"/>
                <w:szCs w:val="1"/>
                <w:color w:val="auto"/>
              </w:rPr>
            </w:pPr>
          </w:p>
        </w:tc>
      </w:tr>
      <w:tr>
        <w:trPr>
          <w:trHeight w:val="207"/>
        </w:trPr>
        <w:tc>
          <w:tcPr>
            <w:tcW w:w="2880" w:type="dxa"/>
            <w:vAlign w:val="bottom"/>
            <w:tcBorders>
              <w:bottom w:val="single" w:sz="8" w:color="E5F1F8"/>
              <w:right w:val="single" w:sz="8" w:color="007CBA"/>
            </w:tcBorders>
            <w:shd w:val="clear" w:color="auto" w:fill="E5F1F8"/>
          </w:tcPr>
          <w:p>
            <w:pPr>
              <w:spacing w:after="0"/>
              <w:rPr>
                <w:sz w:val="17"/>
                <w:szCs w:val="17"/>
                <w:color w:val="auto"/>
              </w:rPr>
            </w:pPr>
          </w:p>
        </w:tc>
        <w:tc>
          <w:tcPr>
            <w:tcW w:w="160" w:type="dxa"/>
            <w:vAlign w:val="bottom"/>
            <w:tcBorders>
              <w:bottom w:val="single" w:sz="8" w:color="E5F1F8"/>
            </w:tcBorders>
            <w:shd w:val="clear" w:color="auto" w:fill="E5F1F8"/>
          </w:tcPr>
          <w:p>
            <w:pPr>
              <w:spacing w:after="0"/>
              <w:rPr>
                <w:sz w:val="17"/>
                <w:szCs w:val="17"/>
                <w:color w:val="auto"/>
              </w:rPr>
            </w:pPr>
          </w:p>
        </w:tc>
        <w:tc>
          <w:tcPr>
            <w:tcW w:w="56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460" w:type="dxa"/>
            <w:vAlign w:val="bottom"/>
            <w:tcBorders>
              <w:bottom w:val="single" w:sz="8" w:color="E5F1F8"/>
              <w:right w:val="single" w:sz="8" w:color="007CBA"/>
            </w:tcBorders>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540" w:type="dxa"/>
            <w:vAlign w:val="bottom"/>
            <w:tcBorders>
              <w:bottom w:val="single" w:sz="8" w:color="E5F1F8"/>
              <w:right w:val="single" w:sz="8" w:color="007CBA"/>
            </w:tcBorders>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04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000" w:type="dxa"/>
            <w:vAlign w:val="bottom"/>
            <w:tcBorders>
              <w:bottom w:val="single" w:sz="8" w:color="E5F1F8"/>
              <w:right w:val="single" w:sz="8" w:color="007CBA"/>
            </w:tcBorders>
            <w:vMerge w:val="continue"/>
            <w:shd w:val="clear" w:color="auto" w:fill="E5F1F8"/>
          </w:tcPr>
          <w:p>
            <w:pPr>
              <w:spacing w:after="0"/>
              <w:rPr>
                <w:sz w:val="17"/>
                <w:szCs w:val="17"/>
                <w:color w:val="auto"/>
              </w:rPr>
            </w:pPr>
          </w:p>
        </w:tc>
        <w:tc>
          <w:tcPr>
            <w:tcW w:w="1100" w:type="dxa"/>
            <w:vAlign w:val="bottom"/>
            <w:tcBorders>
              <w:bottom w:val="single" w:sz="8" w:color="E5F1F8"/>
            </w:tcBorders>
            <w:vMerge w:val="continue"/>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Borders>
              <w:right w:val="single" w:sz="8" w:color="007CBA"/>
            </w:tcBorders>
            <w:shd w:val="clear" w:color="auto" w:fill="007CBA"/>
          </w:tcPr>
          <w:p>
            <w:pPr>
              <w:spacing w:after="0" w:line="20" w:lineRule="exact"/>
              <w:rPr>
                <w:sz w:val="1"/>
                <w:szCs w:val="1"/>
                <w:color w:val="auto"/>
              </w:rPr>
            </w:pPr>
          </w:p>
        </w:tc>
        <w:tc>
          <w:tcPr>
            <w:tcW w:w="160" w:type="dxa"/>
            <w:vAlign w:val="bottom"/>
            <w:shd w:val="clear" w:color="auto" w:fill="007CBA"/>
          </w:tcPr>
          <w:p>
            <w:pPr>
              <w:spacing w:after="0" w:line="20" w:lineRule="exact"/>
              <w:rPr>
                <w:sz w:val="1"/>
                <w:szCs w:val="1"/>
                <w:color w:val="auto"/>
              </w:rPr>
            </w:pPr>
          </w:p>
        </w:tc>
        <w:tc>
          <w:tcPr>
            <w:tcW w:w="560" w:type="dxa"/>
            <w:vAlign w:val="bottom"/>
            <w:tcBorders>
              <w:right w:val="single" w:sz="8" w:color="007CBA"/>
            </w:tcBorders>
            <w:shd w:val="clear" w:color="auto" w:fill="007CBA"/>
          </w:tcPr>
          <w:p>
            <w:pPr>
              <w:spacing w:after="0" w:line="20" w:lineRule="exact"/>
              <w:rPr>
                <w:sz w:val="1"/>
                <w:szCs w:val="1"/>
                <w:color w:val="auto"/>
              </w:rPr>
            </w:pPr>
          </w:p>
        </w:tc>
        <w:tc>
          <w:tcPr>
            <w:tcW w:w="1040" w:type="dxa"/>
            <w:vAlign w:val="bottom"/>
            <w:tcBorders>
              <w:right w:val="single" w:sz="8" w:color="007CBA"/>
            </w:tcBorders>
            <w:shd w:val="clear" w:color="auto" w:fill="007CBA"/>
          </w:tcPr>
          <w:p>
            <w:pPr>
              <w:spacing w:after="0" w:line="20" w:lineRule="exact"/>
              <w:rPr>
                <w:sz w:val="1"/>
                <w:szCs w:val="1"/>
                <w:color w:val="auto"/>
              </w:rPr>
            </w:pPr>
          </w:p>
        </w:tc>
        <w:tc>
          <w:tcPr>
            <w:tcW w:w="460" w:type="dxa"/>
            <w:vAlign w:val="bottom"/>
            <w:tcBorders>
              <w:right w:val="single" w:sz="8" w:color="007CBA"/>
            </w:tcBorders>
            <w:shd w:val="clear" w:color="auto" w:fill="007CBA"/>
          </w:tcPr>
          <w:p>
            <w:pPr>
              <w:spacing w:after="0" w:line="20" w:lineRule="exact"/>
              <w:rPr>
                <w:sz w:val="1"/>
                <w:szCs w:val="1"/>
                <w:color w:val="auto"/>
              </w:rPr>
            </w:pPr>
          </w:p>
        </w:tc>
        <w:tc>
          <w:tcPr>
            <w:tcW w:w="1040" w:type="dxa"/>
            <w:vAlign w:val="bottom"/>
            <w:tcBorders>
              <w:right w:val="single" w:sz="8" w:color="007CBA"/>
            </w:tcBorders>
            <w:shd w:val="clear" w:color="auto" w:fill="007CBA"/>
          </w:tcPr>
          <w:p>
            <w:pPr>
              <w:spacing w:after="0" w:line="20" w:lineRule="exact"/>
              <w:rPr>
                <w:sz w:val="1"/>
                <w:szCs w:val="1"/>
                <w:color w:val="auto"/>
              </w:rPr>
            </w:pPr>
          </w:p>
        </w:tc>
        <w:tc>
          <w:tcPr>
            <w:tcW w:w="540" w:type="dxa"/>
            <w:vAlign w:val="bottom"/>
            <w:tcBorders>
              <w:right w:val="single" w:sz="8" w:color="007CBA"/>
            </w:tcBorders>
            <w:shd w:val="clear" w:color="auto" w:fill="007CBA"/>
          </w:tcPr>
          <w:p>
            <w:pPr>
              <w:spacing w:after="0" w:line="20" w:lineRule="exact"/>
              <w:rPr>
                <w:sz w:val="1"/>
                <w:szCs w:val="1"/>
                <w:color w:val="auto"/>
              </w:rPr>
            </w:pPr>
          </w:p>
        </w:tc>
        <w:tc>
          <w:tcPr>
            <w:tcW w:w="1040" w:type="dxa"/>
            <w:vAlign w:val="bottom"/>
            <w:tcBorders>
              <w:right w:val="single" w:sz="8" w:color="007CBA"/>
            </w:tcBorders>
            <w:shd w:val="clear" w:color="auto" w:fill="007CBA"/>
          </w:tcPr>
          <w:p>
            <w:pPr>
              <w:spacing w:after="0" w:line="20" w:lineRule="exact"/>
              <w:rPr>
                <w:sz w:val="1"/>
                <w:szCs w:val="1"/>
                <w:color w:val="auto"/>
              </w:rPr>
            </w:pPr>
          </w:p>
        </w:tc>
        <w:tc>
          <w:tcPr>
            <w:tcW w:w="1040" w:type="dxa"/>
            <w:vAlign w:val="bottom"/>
            <w:tcBorders>
              <w:right w:val="single" w:sz="8" w:color="007CBA"/>
            </w:tcBorders>
            <w:shd w:val="clear" w:color="auto" w:fill="007CBA"/>
          </w:tcPr>
          <w:p>
            <w:pPr>
              <w:spacing w:after="0" w:line="20" w:lineRule="exact"/>
              <w:rPr>
                <w:sz w:val="1"/>
                <w:szCs w:val="1"/>
                <w:color w:val="auto"/>
              </w:rPr>
            </w:pPr>
          </w:p>
        </w:tc>
        <w:tc>
          <w:tcPr>
            <w:tcW w:w="1000" w:type="dxa"/>
            <w:vAlign w:val="bottom"/>
            <w:tcBorders>
              <w:right w:val="single" w:sz="8" w:color="007CBA"/>
            </w:tcBorders>
            <w:shd w:val="clear" w:color="auto" w:fill="007CBA"/>
          </w:tcPr>
          <w:p>
            <w:pPr>
              <w:spacing w:after="0" w:line="20" w:lineRule="exact"/>
              <w:rPr>
                <w:sz w:val="1"/>
                <w:szCs w:val="1"/>
                <w:color w:val="auto"/>
              </w:rPr>
            </w:pPr>
          </w:p>
        </w:tc>
        <w:tc>
          <w:tcPr>
            <w:tcW w:w="1100" w:type="dxa"/>
            <w:vAlign w:val="bottom"/>
            <w:shd w:val="clear" w:color="auto" w:fill="007C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0" w:hanging="213"/>
        <w:spacing w:after="0" w:line="221" w:lineRule="auto"/>
        <w:tabs>
          <w:tab w:leader="none" w:pos="40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The amounts in column (c) reflect the base salary actually paid.</w:t>
      </w:r>
    </w:p>
    <w:p>
      <w:pPr>
        <w:spacing w:after="0" w:line="70" w:lineRule="exact"/>
        <w:rPr>
          <w:sz w:val="20"/>
          <w:szCs w:val="20"/>
          <w:color w:val="auto"/>
        </w:rPr>
      </w:pPr>
    </w:p>
    <w:p>
      <w:pPr>
        <w:jc w:val="both"/>
        <w:ind w:left="400" w:hanging="213"/>
        <w:spacing w:after="0" w:line="218" w:lineRule="auto"/>
        <w:tabs>
          <w:tab w:leader="none" w:pos="400" w:val="left"/>
        </w:tabs>
        <w:numPr>
          <w:ilvl w:val="0"/>
          <w:numId w:val="135"/>
        </w:numPr>
        <w:rPr>
          <w:rFonts w:ascii="Arial" w:cs="Arial" w:eastAsia="Arial" w:hAnsi="Arial"/>
          <w:sz w:val="24"/>
          <w:szCs w:val="24"/>
          <w:color w:val="auto"/>
          <w:vertAlign w:val="superscript"/>
        </w:rPr>
      </w:pPr>
      <w:r>
        <w:rPr>
          <w:rFonts w:ascii="Arial" w:cs="Arial" w:eastAsia="Arial" w:hAnsi="Arial"/>
          <w:sz w:val="14"/>
          <w:szCs w:val="14"/>
          <w:color w:val="auto"/>
        </w:rPr>
        <w:t xml:space="preserve">No amounts that qualify as bonuses were payable during the last three years. The amounts in column (e) reflect the aggregate grant date fair value of awards made in the year reported, determined in accordance with FASB ASC Topic 718 (without any assumption for early forfeiture), of awards of RSUs and awards of PSUs, which are described in more detail on pages 48 to 50 under the heading </w:t>
      </w:r>
      <w:r>
        <w:rPr>
          <w:rFonts w:ascii="Arial" w:cs="Arial" w:eastAsia="Arial" w:hAnsi="Arial"/>
          <w:sz w:val="14"/>
          <w:szCs w:val="14"/>
          <w:i w:val="1"/>
          <w:iCs w:val="1"/>
          <w:color w:val="auto"/>
        </w:rPr>
        <w:t>“2019 Long-Term Incentive Compensation.”</w:t>
      </w:r>
      <w:r>
        <w:rPr>
          <w:rFonts w:ascii="Arial" w:cs="Arial" w:eastAsia="Arial" w:hAnsi="Arial"/>
          <w:sz w:val="14"/>
          <w:szCs w:val="14"/>
          <w:color w:val="auto"/>
        </w:rPr>
        <w:t xml:space="preserve"> The amounts included in the table reflects the value of the units granted, which are subject to forfeiture if the executive does not remain in the employment of Martin Marietta for the requisite time period (generally three years) or if Martin Marietta does not achieve the performance criteria, where applicable. The amounts reported include the amounts of cash bonuses deferred in common stock units by each named executive officer pursuant to Martin Marietta’s Incentive Stock Plan, which is discussed in further detail on page 48 under the heading “Annual Incentive Feature: Performance-Based Stock Purchase Plan”. The amount in column (e) includes PSUs based on the target level of performance. Assuming the maximum payout under the PSUs granted in 2019, whose payout will be determined in February 2022 based on the Company’s performance in 2019-2021, the amounts reported above for</w:t>
      </w:r>
    </w:p>
    <w:p>
      <w:pPr>
        <w:spacing w:after="0" w:line="5" w:lineRule="exact"/>
        <w:rPr>
          <w:rFonts w:ascii="Arial" w:cs="Arial" w:eastAsia="Arial" w:hAnsi="Arial"/>
          <w:sz w:val="24"/>
          <w:szCs w:val="24"/>
          <w:color w:val="auto"/>
          <w:vertAlign w:val="superscript"/>
        </w:rPr>
      </w:pPr>
    </w:p>
    <w:p>
      <w:pPr>
        <w:ind w:left="400"/>
        <w:spacing w:after="0" w:line="238" w:lineRule="auto"/>
        <w:rPr>
          <w:rFonts w:ascii="Arial" w:cs="Arial" w:eastAsia="Arial" w:hAnsi="Arial"/>
          <w:sz w:val="24"/>
          <w:szCs w:val="24"/>
          <w:color w:val="auto"/>
          <w:vertAlign w:val="superscript"/>
        </w:rPr>
      </w:pPr>
      <w:r>
        <w:rPr>
          <w:rFonts w:ascii="Arial" w:cs="Arial" w:eastAsia="Arial" w:hAnsi="Arial"/>
          <w:sz w:val="14"/>
          <w:szCs w:val="14"/>
          <w:color w:val="auto"/>
        </w:rPr>
        <w:t>2019 would be as follows:</w:t>
      </w:r>
    </w:p>
    <w:p>
      <w:pPr>
        <w:ind w:left="400"/>
        <w:spacing w:after="0" w:line="252" w:lineRule="auto"/>
        <w:rPr>
          <w:rFonts w:ascii="Arial" w:cs="Arial" w:eastAsia="Arial" w:hAnsi="Arial"/>
          <w:sz w:val="24"/>
          <w:szCs w:val="24"/>
          <w:color w:val="auto"/>
          <w:vertAlign w:val="superscript"/>
        </w:rPr>
      </w:pPr>
      <w:r>
        <w:rPr>
          <w:rFonts w:ascii="Arial" w:cs="Arial" w:eastAsia="Arial" w:hAnsi="Arial"/>
          <w:sz w:val="14"/>
          <w:szCs w:val="14"/>
          <w:color w:val="auto"/>
        </w:rPr>
        <w:t>Mr. Nye, $6,404,631; Mr. Nickolas, $1,279,468; Ms. Bar, $1,388,845; Mr. LaTorre, $506,537; and Mr. Grant, $717,999. Assumptions used in the calculation of these amounts are included in Note A to Martin Marietta’s audited financial statements for the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78740</wp:posOffset>
            </wp:positionV>
            <wp:extent cx="406400" cy="2451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24"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57</w:t>
            </w:r>
          </w:p>
        </w:tc>
      </w:tr>
    </w:tbl>
    <w:p>
      <w:pPr>
        <w:sectPr>
          <w:pgSz w:w="11900" w:h="16838" w:orient="portrait"/>
          <w:cols w:equalWidth="0" w:num="1">
            <w:col w:w="11060"/>
          </w:cols>
          <w:pgMar w:left="320" w:top="455"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Summary Compensation Table</w:t>
      </w:r>
    </w:p>
    <w:p>
      <w:pPr>
        <w:spacing w:after="0" w:line="200" w:lineRule="exact"/>
        <w:rPr>
          <w:sz w:val="20"/>
          <w:szCs w:val="20"/>
          <w:color w:val="auto"/>
        </w:rPr>
      </w:pPr>
    </w:p>
    <w:p>
      <w:pPr>
        <w:spacing w:after="0" w:line="244" w:lineRule="exact"/>
        <w:rPr>
          <w:sz w:val="20"/>
          <w:szCs w:val="20"/>
          <w:color w:val="auto"/>
        </w:rPr>
      </w:pPr>
    </w:p>
    <w:p>
      <w:pPr>
        <w:ind w:left="400"/>
        <w:spacing w:after="0" w:line="252" w:lineRule="auto"/>
        <w:rPr>
          <w:sz w:val="20"/>
          <w:szCs w:val="20"/>
          <w:color w:val="auto"/>
        </w:rPr>
      </w:pPr>
      <w:r>
        <w:rPr>
          <w:rFonts w:ascii="Arial" w:cs="Arial" w:eastAsia="Arial" w:hAnsi="Arial"/>
          <w:sz w:val="14"/>
          <w:szCs w:val="14"/>
          <w:color w:val="auto"/>
        </w:rPr>
        <w:t>included in Martin Marietta’s Annual Report on Form 10-K filed with the SEC on February 21, 2020. The amounts of cash bonus deferred in 2019 for each named executive officer are included in column (e) as follows: Mr. Nye, $1,450,000; Mr. Nickolas, $132,337; Ms. Bar, $251,045; Mr. LaTorre, $104,762; and Mr. Grant, $88,349.</w:t>
      </w:r>
    </w:p>
    <w:p>
      <w:pPr>
        <w:ind w:left="400" w:hanging="213"/>
        <w:spacing w:after="0" w:line="202" w:lineRule="auto"/>
        <w:tabs>
          <w:tab w:leader="none" w:pos="40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The Company does not issue SARs and has not granted any options since 2015. The Stock Plan prohibits share recycling for options or SARs.</w:t>
      </w:r>
    </w:p>
    <w:p>
      <w:pPr>
        <w:spacing w:after="0" w:line="69" w:lineRule="exact"/>
        <w:rPr>
          <w:sz w:val="20"/>
          <w:szCs w:val="20"/>
          <w:color w:val="auto"/>
        </w:rPr>
      </w:pPr>
    </w:p>
    <w:p>
      <w:pPr>
        <w:jc w:val="both"/>
        <w:ind w:left="400" w:hanging="213"/>
        <w:spacing w:after="0" w:line="196" w:lineRule="auto"/>
        <w:tabs>
          <w:tab w:leader="none" w:pos="400" w:val="left"/>
        </w:tabs>
        <w:numPr>
          <w:ilvl w:val="0"/>
          <w:numId w:val="137"/>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(g) for 2019 reflect the cash paid to the named individuals earned in 2019 and paid in 2020 under annual incentive arrangements discussed in further detail on pages 46 to 48 under the heading </w:t>
      </w:r>
      <w:r>
        <w:rPr>
          <w:rFonts w:ascii="Arial" w:cs="Arial" w:eastAsia="Arial" w:hAnsi="Arial"/>
          <w:sz w:val="14"/>
          <w:szCs w:val="14"/>
          <w:i w:val="1"/>
          <w:iCs w:val="1"/>
          <w:color w:val="auto"/>
        </w:rPr>
        <w:t>“2019 Annual Cash Incentive Goals and Results”</w:t>
      </w:r>
      <w:r>
        <w:rPr>
          <w:rFonts w:ascii="Arial" w:cs="Arial" w:eastAsia="Arial" w:hAnsi="Arial"/>
          <w:sz w:val="14"/>
          <w:szCs w:val="14"/>
          <w:color w:val="auto"/>
        </w:rPr>
        <w:t xml:space="preserve"> and not deferred pursuant to Martin Marietta’s Incentive Stock Plan, which is discussed in further detail on page 48 under the heading </w:t>
      </w:r>
      <w:r>
        <w:rPr>
          <w:rFonts w:ascii="Arial" w:cs="Arial" w:eastAsia="Arial" w:hAnsi="Arial"/>
          <w:sz w:val="14"/>
          <w:szCs w:val="14"/>
          <w:i w:val="1"/>
          <w:iCs w:val="1"/>
          <w:color w:val="auto"/>
        </w:rPr>
        <w:t>“Annual Incentive Feature: Performance-Based Stock Purchase Plan.”</w:t>
      </w:r>
    </w:p>
    <w:p>
      <w:pPr>
        <w:spacing w:after="0" w:line="71" w:lineRule="exact"/>
        <w:rPr>
          <w:sz w:val="20"/>
          <w:szCs w:val="20"/>
          <w:color w:val="auto"/>
        </w:rPr>
      </w:pPr>
    </w:p>
    <w:p>
      <w:pPr>
        <w:jc w:val="both"/>
        <w:ind w:left="400" w:hanging="213"/>
        <w:spacing w:after="0" w:line="205" w:lineRule="auto"/>
        <w:tabs>
          <w:tab w:leader="none" w:pos="400" w:val="left"/>
        </w:tabs>
        <w:numPr>
          <w:ilvl w:val="0"/>
          <w:numId w:val="138"/>
        </w:numPr>
        <w:rPr>
          <w:rFonts w:ascii="Arial" w:cs="Arial" w:eastAsia="Arial" w:hAnsi="Arial"/>
          <w:sz w:val="24"/>
          <w:szCs w:val="24"/>
          <w:color w:val="auto"/>
          <w:vertAlign w:val="superscript"/>
        </w:rPr>
      </w:pPr>
      <w:r>
        <w:rPr>
          <w:rFonts w:ascii="Arial" w:cs="Arial" w:eastAsia="Arial" w:hAnsi="Arial"/>
          <w:sz w:val="14"/>
          <w:szCs w:val="14"/>
          <w:color w:val="auto"/>
        </w:rPr>
        <w:t>The amounts in column (h) reflect the aggregate increase in the actuarial present value of the named executive officer’s accumulated benefits during 2019, 2018 and 2017,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71" w:lineRule="exact"/>
        <w:rPr>
          <w:sz w:val="20"/>
          <w:szCs w:val="20"/>
          <w:color w:val="auto"/>
        </w:rPr>
      </w:pPr>
    </w:p>
    <w:p>
      <w:pPr>
        <w:jc w:val="both"/>
        <w:ind w:left="400" w:hanging="213"/>
        <w:spacing w:after="0" w:line="223" w:lineRule="auto"/>
        <w:tabs>
          <w:tab w:leader="none" w:pos="400" w:val="left"/>
        </w:tabs>
        <w:numPr>
          <w:ilvl w:val="0"/>
          <w:numId w:val="139"/>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for 2019 reflects for each named executive officer: matching contributions allocated by Martin Marietta to each of the named executive officers pursuant to the Savings and Investment Plan, which is more fully described on page 62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in the following amounts: Mr. Nye, $9,800; Mr. Nickolas, $9,800; Ms. Bar, $9,800; Mr. LaTorre, $6,661; and Mr. Grant, $8,437; the value attributable to life insurance benefits provided to the named executive officers, which is more fully described on page 62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in the following amounts: Mr. Nye, $10,062; Mr. Nickolas, $2,240; Ms. Bar, $6,308; Mr. LaTorre, $1,739; and Mr. Grant, $14,254; the value attributable to personal use of leased automobiles provided by Martin Marietta in the following amounts: Mr. Nye, $11,389; Mr. Nickolas, $13,905; Ms. Bar, $15,476; Mr. LaTorre, $12,905; and Mr. Grant, $6,442; dividend equivalents on RSUs in the following amounts: Mr. Nye, $205,422; Mr. Nickolas, $6,643; Ms. Bar, $48,347; Mr. LaTorre, $0; and Mr. Grant, $27,422. These values are included as compensation on the W-2 of named executive officers who receive such benefits. Each such named executive officer is responsible for paying income tax on such amount. The amounts in column (i) also reflect the dollar value of dividend equivalents on units credited under the equity awards as computed for financial statement reporting purposes for each fiscal year ended December 31, 2019, 2018 and 2017 in accordance with FASB ASC Topic 718.</w:t>
      </w:r>
    </w:p>
    <w:p>
      <w:pPr>
        <w:ind w:left="400" w:hanging="213"/>
        <w:spacing w:after="0" w:line="214" w:lineRule="auto"/>
        <w:tabs>
          <w:tab w:leader="none" w:pos="400" w:val="left"/>
        </w:tabs>
        <w:numPr>
          <w:ilvl w:val="0"/>
          <w:numId w:val="140"/>
        </w:numPr>
        <w:rPr>
          <w:rFonts w:ascii="Arial" w:cs="Arial" w:eastAsia="Arial" w:hAnsi="Arial"/>
          <w:sz w:val="24"/>
          <w:szCs w:val="24"/>
          <w:color w:val="auto"/>
          <w:vertAlign w:val="superscript"/>
        </w:rPr>
      </w:pPr>
      <w:r>
        <w:rPr>
          <w:rFonts w:ascii="Arial" w:cs="Arial" w:eastAsia="Arial" w:hAnsi="Arial"/>
          <w:sz w:val="14"/>
          <w:szCs w:val="14"/>
          <w:color w:val="auto"/>
        </w:rPr>
        <w:t>Mr. LaTorre was not a named executive officer for purposes of the Summary Compensation Table in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83820</wp:posOffset>
            </wp:positionV>
            <wp:extent cx="406400" cy="2451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46" w:lineRule="exact"/>
        <w:rPr>
          <w:sz w:val="20"/>
          <w:szCs w:val="20"/>
          <w:color w:val="auto"/>
        </w:rPr>
      </w:pPr>
    </w:p>
    <w:p>
      <w:pPr>
        <w:ind w:left="620" w:hanging="433"/>
        <w:spacing w:after="0"/>
        <w:tabs>
          <w:tab w:leader="none" w:pos="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7480"/>
        <w:spacing w:after="0" w:line="276" w:lineRule="exact"/>
        <w:rPr>
          <w:sz w:val="20"/>
          <w:szCs w:val="20"/>
          <w:color w:val="auto"/>
        </w:rPr>
      </w:pPr>
      <w:r>
        <w:rPr>
          <w:rFonts w:ascii="Arial" w:cs="Arial" w:eastAsia="Arial" w:hAnsi="Arial"/>
          <w:sz w:val="13"/>
          <w:szCs w:val="13"/>
          <w:color w:val="auto"/>
        </w:rPr>
        <w:t xml:space="preserve">Grants of Plan-Based Awards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Grants of Plan-Based Awards</w:t>
      </w:r>
    </w:p>
    <w:p>
      <w:pPr>
        <w:spacing w:after="0" w:line="143"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2019. This includes equity awards made to the named executive officers under the Stock Plan and the Incentive Stock Plan.</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GRANTS OF PLAN-BASED AWARDS TABLE</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57"/>
        </w:trPr>
        <w:tc>
          <w:tcPr>
            <w:tcW w:w="4300" w:type="dxa"/>
            <w:vAlign w:val="bottom"/>
            <w:tcBorders>
              <w:right w:val="single" w:sz="8" w:color="007CBA"/>
            </w:tcBorders>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spacing w:after="0"/>
              <w:rPr>
                <w:sz w:val="13"/>
                <w:szCs w:val="13"/>
                <w:color w:val="auto"/>
              </w:rPr>
            </w:pPr>
          </w:p>
        </w:tc>
        <w:tc>
          <w:tcPr>
            <w:tcW w:w="70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spacing w:after="0"/>
              <w:rPr>
                <w:sz w:val="13"/>
                <w:szCs w:val="13"/>
                <w:color w:val="auto"/>
              </w:rPr>
            </w:pPr>
          </w:p>
        </w:tc>
        <w:tc>
          <w:tcPr>
            <w:tcW w:w="20" w:type="dxa"/>
            <w:vAlign w:val="bottom"/>
            <w:shd w:val="clear" w:color="auto" w:fill="007CBA"/>
          </w:tcPr>
          <w:p>
            <w:pPr>
              <w:spacing w:after="0"/>
              <w:rPr>
                <w:sz w:val="13"/>
                <w:szCs w:val="13"/>
                <w:color w:val="auto"/>
              </w:rPr>
            </w:pPr>
          </w:p>
        </w:tc>
        <w:tc>
          <w:tcPr>
            <w:tcW w:w="800" w:type="dxa"/>
            <w:vAlign w:val="bottom"/>
            <w:tcBorders>
              <w:right w:val="single" w:sz="8" w:color="007CBA"/>
            </w:tcBorders>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spacing w:after="0"/>
              <w:rPr>
                <w:sz w:val="13"/>
                <w:szCs w:val="13"/>
                <w:color w:val="auto"/>
              </w:rPr>
            </w:pPr>
          </w:p>
        </w:tc>
        <w:tc>
          <w:tcPr>
            <w:tcW w:w="600" w:type="dxa"/>
            <w:vAlign w:val="bottom"/>
            <w:tcBorders>
              <w:right w:val="single" w:sz="8" w:color="007CBA"/>
            </w:tcBorders>
            <w:shd w:val="clear" w:color="auto" w:fill="007CBA"/>
          </w:tcPr>
          <w:p>
            <w:pPr>
              <w:spacing w:after="0"/>
              <w:rPr>
                <w:sz w:val="13"/>
                <w:szCs w:val="13"/>
                <w:color w:val="auto"/>
              </w:rPr>
            </w:pPr>
          </w:p>
        </w:tc>
        <w:tc>
          <w:tcPr>
            <w:tcW w:w="680" w:type="dxa"/>
            <w:vAlign w:val="bottom"/>
            <w:tcBorders>
              <w:right w:val="single" w:sz="8" w:color="007CBA"/>
            </w:tcBorders>
            <w:shd w:val="clear" w:color="auto" w:fill="007CBA"/>
          </w:tcPr>
          <w:p>
            <w:pPr>
              <w:spacing w:after="0"/>
              <w:rPr>
                <w:sz w:val="13"/>
                <w:szCs w:val="13"/>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All Other</w:t>
            </w:r>
          </w:p>
        </w:tc>
        <w:tc>
          <w:tcPr>
            <w:tcW w:w="8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00" w:type="dxa"/>
            <w:vAlign w:val="bottom"/>
            <w:tcBorders>
              <w:right w:val="single" w:sz="8" w:color="007CBA"/>
            </w:tcBorders>
            <w:shd w:val="clear" w:color="auto" w:fill="007CBA"/>
          </w:tcPr>
          <w:p>
            <w:pPr>
              <w:spacing w:after="0"/>
              <w:rPr>
                <w:sz w:val="12"/>
                <w:szCs w:val="12"/>
                <w:color w:val="auto"/>
              </w:rPr>
            </w:pPr>
          </w:p>
        </w:tc>
        <w:tc>
          <w:tcPr>
            <w:tcW w:w="700" w:type="dxa"/>
            <w:vAlign w:val="bottom"/>
            <w:tcBorders>
              <w:right w:val="single" w:sz="8" w:color="007CBA"/>
            </w:tcBorders>
            <w:shd w:val="clear" w:color="auto" w:fill="007CBA"/>
          </w:tcPr>
          <w:p>
            <w:pPr>
              <w:spacing w:after="0"/>
              <w:rPr>
                <w:sz w:val="12"/>
                <w:szCs w:val="12"/>
                <w:color w:val="auto"/>
              </w:rPr>
            </w:pPr>
          </w:p>
        </w:tc>
        <w:tc>
          <w:tcPr>
            <w:tcW w:w="700" w:type="dxa"/>
            <w:vAlign w:val="bottom"/>
            <w:shd w:val="clear" w:color="auto" w:fill="007CBA"/>
          </w:tcPr>
          <w:p>
            <w:pPr>
              <w:spacing w:after="0"/>
              <w:rPr>
                <w:sz w:val="12"/>
                <w:szCs w:val="12"/>
                <w:color w:val="auto"/>
              </w:rPr>
            </w:pPr>
          </w:p>
        </w:tc>
        <w:tc>
          <w:tcPr>
            <w:tcW w:w="120" w:type="dxa"/>
            <w:vAlign w:val="bottom"/>
            <w:tcBorders>
              <w:right w:val="single" w:sz="8" w:color="007CBA"/>
            </w:tcBorders>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20" w:type="dxa"/>
            <w:vAlign w:val="bottom"/>
            <w:shd w:val="clear" w:color="auto" w:fill="007CBA"/>
          </w:tcPr>
          <w:p>
            <w:pPr>
              <w:spacing w:after="0"/>
              <w:rPr>
                <w:sz w:val="12"/>
                <w:szCs w:val="12"/>
                <w:color w:val="auto"/>
              </w:rPr>
            </w:pPr>
          </w:p>
        </w:tc>
        <w:tc>
          <w:tcPr>
            <w:tcW w:w="800" w:type="dxa"/>
            <w:vAlign w:val="bottom"/>
            <w:tcBorders>
              <w:right w:val="single" w:sz="8" w:color="007CBA"/>
            </w:tcBorders>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60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Stock</w:t>
            </w:r>
          </w:p>
        </w:tc>
        <w:tc>
          <w:tcPr>
            <w:tcW w:w="8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00" w:type="dxa"/>
            <w:vAlign w:val="bottom"/>
            <w:tcBorders>
              <w:right w:val="single" w:sz="8" w:color="007CBA"/>
            </w:tcBorders>
            <w:shd w:val="clear" w:color="auto" w:fill="007CBA"/>
          </w:tcPr>
          <w:p>
            <w:pPr>
              <w:spacing w:after="0"/>
              <w:rPr>
                <w:sz w:val="12"/>
                <w:szCs w:val="12"/>
                <w:color w:val="auto"/>
              </w:rPr>
            </w:pPr>
          </w:p>
        </w:tc>
        <w:tc>
          <w:tcPr>
            <w:tcW w:w="700" w:type="dxa"/>
            <w:vAlign w:val="bottom"/>
            <w:tcBorders>
              <w:right w:val="single" w:sz="8" w:color="007CBA"/>
            </w:tcBorders>
            <w:shd w:val="clear" w:color="auto" w:fill="007CBA"/>
          </w:tcPr>
          <w:p>
            <w:pPr>
              <w:spacing w:after="0"/>
              <w:rPr>
                <w:sz w:val="12"/>
                <w:szCs w:val="12"/>
                <w:color w:val="auto"/>
              </w:rPr>
            </w:pPr>
          </w:p>
        </w:tc>
        <w:tc>
          <w:tcPr>
            <w:tcW w:w="2360" w:type="dxa"/>
            <w:vAlign w:val="bottom"/>
            <w:tcBorders>
              <w:right w:val="single" w:sz="8" w:color="007CBA"/>
            </w:tcBorders>
            <w:gridSpan w:val="5"/>
            <w:vMerge w:val="restart"/>
            <w:shd w:val="clear" w:color="auto" w:fill="007CBA"/>
          </w:tcPr>
          <w:p>
            <w:pPr>
              <w:jc w:val="center"/>
              <w:ind w:right="31"/>
              <w:spacing w:after="0"/>
              <w:rPr>
                <w:sz w:val="20"/>
                <w:szCs w:val="20"/>
                <w:color w:val="auto"/>
              </w:rPr>
            </w:pPr>
            <w:r>
              <w:rPr>
                <w:rFonts w:ascii="Arial" w:cs="Arial" w:eastAsia="Arial" w:hAnsi="Arial"/>
                <w:sz w:val="13"/>
                <w:szCs w:val="13"/>
                <w:b w:val="1"/>
                <w:bCs w:val="1"/>
                <w:color w:val="FFFFFF"/>
              </w:rPr>
              <w:t>Estimated Future Payouts</w:t>
            </w:r>
          </w:p>
        </w:tc>
        <w:tc>
          <w:tcPr>
            <w:tcW w:w="2000" w:type="dxa"/>
            <w:vAlign w:val="bottom"/>
            <w:tcBorders>
              <w:right w:val="single" w:sz="8" w:color="007CBA"/>
            </w:tcBorders>
            <w:gridSpan w:val="3"/>
            <w:vMerge w:val="restart"/>
            <w:shd w:val="clear" w:color="auto" w:fill="007CBA"/>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68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Awards:</w:t>
            </w:r>
          </w:p>
        </w:tc>
        <w:tc>
          <w:tcPr>
            <w:tcW w:w="820" w:type="dxa"/>
            <w:vAlign w:val="bottom"/>
            <w:shd w:val="clear" w:color="auto" w:fill="007CBA"/>
          </w:tcPr>
          <w:p>
            <w:pPr>
              <w:jc w:val="center"/>
              <w:ind w:right="30"/>
              <w:spacing w:after="0" w:line="147" w:lineRule="exact"/>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37"/>
        </w:trPr>
        <w:tc>
          <w:tcPr>
            <w:tcW w:w="4300" w:type="dxa"/>
            <w:vAlign w:val="bottom"/>
            <w:tcBorders>
              <w:right w:val="single" w:sz="8" w:color="007CBA"/>
            </w:tcBorders>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2360" w:type="dxa"/>
            <w:vAlign w:val="bottom"/>
            <w:tcBorders>
              <w:right w:val="single" w:sz="8" w:color="007CBA"/>
            </w:tcBorders>
            <w:gridSpan w:val="5"/>
            <w:vMerge w:val="continue"/>
            <w:shd w:val="clear" w:color="auto" w:fill="007CBA"/>
          </w:tcPr>
          <w:p>
            <w:pPr>
              <w:spacing w:after="0"/>
              <w:rPr>
                <w:sz w:val="11"/>
                <w:szCs w:val="11"/>
                <w:color w:val="auto"/>
              </w:rPr>
            </w:pPr>
          </w:p>
        </w:tc>
        <w:tc>
          <w:tcPr>
            <w:tcW w:w="2000" w:type="dxa"/>
            <w:vAlign w:val="bottom"/>
            <w:tcBorders>
              <w:right w:val="single" w:sz="8" w:color="007CBA"/>
            </w:tcBorders>
            <w:gridSpan w:val="3"/>
            <w:vMerge w:val="continue"/>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jc w:val="center"/>
              <w:spacing w:after="0" w:line="137" w:lineRule="exact"/>
              <w:rPr>
                <w:sz w:val="20"/>
                <w:szCs w:val="20"/>
                <w:color w:val="auto"/>
              </w:rPr>
            </w:pPr>
            <w:r>
              <w:rPr>
                <w:rFonts w:ascii="Arial" w:cs="Arial" w:eastAsia="Arial" w:hAnsi="Arial"/>
                <w:sz w:val="13"/>
                <w:szCs w:val="13"/>
                <w:b w:val="1"/>
                <w:bCs w:val="1"/>
                <w:color w:val="FFFFFF"/>
              </w:rPr>
              <w:t>Number</w:t>
            </w:r>
          </w:p>
        </w:tc>
        <w:tc>
          <w:tcPr>
            <w:tcW w:w="820" w:type="dxa"/>
            <w:vAlign w:val="bottom"/>
            <w:shd w:val="clear" w:color="auto" w:fill="007CBA"/>
          </w:tcPr>
          <w:p>
            <w:pPr>
              <w:jc w:val="center"/>
              <w:ind w:right="10"/>
              <w:spacing w:after="0" w:line="137" w:lineRule="exact"/>
              <w:rPr>
                <w:sz w:val="20"/>
                <w:szCs w:val="20"/>
                <w:color w:val="auto"/>
              </w:rPr>
            </w:pPr>
            <w:r>
              <w:rPr>
                <w:rFonts w:ascii="Arial" w:cs="Arial" w:eastAsia="Arial" w:hAnsi="Arial"/>
                <w:sz w:val="13"/>
                <w:szCs w:val="13"/>
                <w:b w:val="1"/>
                <w:bCs w:val="1"/>
                <w:color w:val="FFFFFF"/>
                <w:w w:val="99"/>
              </w:rPr>
              <w:t>Fair Value</w:t>
            </w:r>
          </w:p>
        </w:tc>
        <w:tc>
          <w:tcPr>
            <w:tcW w:w="0" w:type="dxa"/>
            <w:vAlign w:val="bottom"/>
          </w:tcPr>
          <w:p>
            <w:pPr>
              <w:spacing w:after="0"/>
              <w:rPr>
                <w:sz w:val="1"/>
                <w:szCs w:val="1"/>
                <w:color w:val="auto"/>
              </w:rPr>
            </w:pPr>
          </w:p>
        </w:tc>
      </w:tr>
      <w:tr>
        <w:trPr>
          <w:trHeight w:val="147"/>
        </w:trPr>
        <w:tc>
          <w:tcPr>
            <w:tcW w:w="4300" w:type="dxa"/>
            <w:vAlign w:val="bottom"/>
            <w:tcBorders>
              <w:right w:val="single" w:sz="8" w:color="007CBA"/>
            </w:tcBorders>
            <w:shd w:val="clear" w:color="auto" w:fill="007CBA"/>
          </w:tcPr>
          <w:p>
            <w:pPr>
              <w:spacing w:after="0"/>
              <w:rPr>
                <w:sz w:val="12"/>
                <w:szCs w:val="12"/>
                <w:color w:val="auto"/>
              </w:rPr>
            </w:pPr>
          </w:p>
        </w:tc>
        <w:tc>
          <w:tcPr>
            <w:tcW w:w="700" w:type="dxa"/>
            <w:vAlign w:val="bottom"/>
            <w:tcBorders>
              <w:right w:val="single" w:sz="8" w:color="007CBA"/>
            </w:tcBorders>
            <w:shd w:val="clear" w:color="auto" w:fill="007CBA"/>
          </w:tcPr>
          <w:p>
            <w:pPr>
              <w:spacing w:after="0"/>
              <w:rPr>
                <w:sz w:val="12"/>
                <w:szCs w:val="12"/>
                <w:color w:val="auto"/>
              </w:rPr>
            </w:pPr>
          </w:p>
        </w:tc>
        <w:tc>
          <w:tcPr>
            <w:tcW w:w="2360" w:type="dxa"/>
            <w:vAlign w:val="bottom"/>
            <w:tcBorders>
              <w:right w:val="single" w:sz="8" w:color="007CBA"/>
            </w:tcBorders>
            <w:gridSpan w:val="5"/>
            <w:shd w:val="clear" w:color="auto" w:fill="007CBA"/>
          </w:tcPr>
          <w:p>
            <w:pPr>
              <w:jc w:val="center"/>
              <w:ind w:right="31"/>
              <w:spacing w:after="0" w:line="147" w:lineRule="exact"/>
              <w:rPr>
                <w:sz w:val="20"/>
                <w:szCs w:val="20"/>
                <w:color w:val="auto"/>
              </w:rPr>
            </w:pPr>
            <w:r>
              <w:rPr>
                <w:rFonts w:ascii="Arial" w:cs="Arial" w:eastAsia="Arial" w:hAnsi="Arial"/>
                <w:sz w:val="13"/>
                <w:szCs w:val="13"/>
                <w:b w:val="1"/>
                <w:bCs w:val="1"/>
                <w:color w:val="FFFFFF"/>
              </w:rPr>
              <w:t>Under Non-Equity Incentive</w:t>
            </w:r>
          </w:p>
        </w:tc>
        <w:tc>
          <w:tcPr>
            <w:tcW w:w="2000" w:type="dxa"/>
            <w:vAlign w:val="bottom"/>
            <w:tcBorders>
              <w:right w:val="single" w:sz="8" w:color="007CBA"/>
            </w:tcBorders>
            <w:gridSpan w:val="3"/>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Under Equity Incentive</w:t>
            </w:r>
          </w:p>
        </w:tc>
        <w:tc>
          <w:tcPr>
            <w:tcW w:w="68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of Shares</w:t>
            </w:r>
          </w:p>
        </w:tc>
        <w:tc>
          <w:tcPr>
            <w:tcW w:w="820" w:type="dxa"/>
            <w:vAlign w:val="bottom"/>
            <w:shd w:val="clear" w:color="auto" w:fill="007CBA"/>
          </w:tcPr>
          <w:p>
            <w:pPr>
              <w:jc w:val="center"/>
              <w:ind w:right="10"/>
              <w:spacing w:after="0" w:line="147" w:lineRule="exact"/>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57"/>
        </w:trPr>
        <w:tc>
          <w:tcPr>
            <w:tcW w:w="4300" w:type="dxa"/>
            <w:vAlign w:val="bottom"/>
            <w:tcBorders>
              <w:right w:val="single" w:sz="8" w:color="007CBA"/>
            </w:tcBorders>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spacing w:after="0"/>
              <w:rPr>
                <w:sz w:val="13"/>
                <w:szCs w:val="13"/>
                <w:color w:val="auto"/>
              </w:rPr>
            </w:pPr>
          </w:p>
        </w:tc>
        <w:tc>
          <w:tcPr>
            <w:tcW w:w="700" w:type="dxa"/>
            <w:vAlign w:val="bottom"/>
            <w:shd w:val="clear" w:color="auto" w:fill="007CBA"/>
          </w:tcPr>
          <w:p>
            <w:pPr>
              <w:spacing w:after="0"/>
              <w:rPr>
                <w:sz w:val="13"/>
                <w:szCs w:val="13"/>
                <w:color w:val="auto"/>
              </w:rPr>
            </w:pPr>
          </w:p>
        </w:tc>
        <w:tc>
          <w:tcPr>
            <w:tcW w:w="860" w:type="dxa"/>
            <w:vAlign w:val="bottom"/>
            <w:gridSpan w:val="3"/>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w w:val="99"/>
              </w:rPr>
              <w:t>Plan Awards</w:t>
            </w:r>
          </w:p>
        </w:tc>
        <w:tc>
          <w:tcPr>
            <w:tcW w:w="800" w:type="dxa"/>
            <w:vAlign w:val="bottom"/>
            <w:tcBorders>
              <w:right w:val="single" w:sz="8" w:color="007CBA"/>
            </w:tcBorders>
            <w:shd w:val="clear" w:color="auto" w:fill="007CBA"/>
          </w:tcPr>
          <w:p>
            <w:pPr>
              <w:spacing w:after="0"/>
              <w:rPr>
                <w:sz w:val="13"/>
                <w:szCs w:val="13"/>
                <w:color w:val="auto"/>
              </w:rPr>
            </w:pPr>
          </w:p>
        </w:tc>
        <w:tc>
          <w:tcPr>
            <w:tcW w:w="2000" w:type="dxa"/>
            <w:vAlign w:val="bottom"/>
            <w:tcBorders>
              <w:right w:val="single" w:sz="8" w:color="007CBA"/>
            </w:tcBorders>
            <w:gridSpan w:val="3"/>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w w:val="99"/>
              </w:rPr>
              <w:t>Plan Awards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of Stock</w:t>
            </w:r>
          </w:p>
        </w:tc>
        <w:tc>
          <w:tcPr>
            <w:tcW w:w="820" w:type="dxa"/>
            <w:vAlign w:val="bottom"/>
            <w:shd w:val="clear" w:color="auto" w:fill="007CBA"/>
          </w:tcPr>
          <w:p>
            <w:pPr>
              <w:jc w:val="center"/>
              <w:ind w:right="30"/>
              <w:spacing w:after="0"/>
              <w:rPr>
                <w:sz w:val="20"/>
                <w:szCs w:val="20"/>
                <w:color w:val="auto"/>
              </w:rPr>
            </w:pPr>
            <w:r>
              <w:rPr>
                <w:rFonts w:ascii="Arial" w:cs="Arial" w:eastAsia="Arial" w:hAnsi="Arial"/>
                <w:sz w:val="13"/>
                <w:szCs w:val="13"/>
                <w:b w:val="1"/>
                <w:bCs w:val="1"/>
                <w:color w:val="FFFFFF"/>
              </w:rPr>
              <w:t>and</w:t>
            </w:r>
          </w:p>
        </w:tc>
        <w:tc>
          <w:tcPr>
            <w:tcW w:w="0" w:type="dxa"/>
            <w:vAlign w:val="bottom"/>
          </w:tcPr>
          <w:p>
            <w:pPr>
              <w:spacing w:after="0"/>
              <w:rPr>
                <w:sz w:val="1"/>
                <w:szCs w:val="1"/>
                <w:color w:val="auto"/>
              </w:rPr>
            </w:pPr>
          </w:p>
        </w:tc>
      </w:tr>
      <w:tr>
        <w:trPr>
          <w:trHeight w:val="147"/>
        </w:trPr>
        <w:tc>
          <w:tcPr>
            <w:tcW w:w="4300" w:type="dxa"/>
            <w:vAlign w:val="bottom"/>
            <w:tcBorders>
              <w:right w:val="single" w:sz="8" w:color="007CBA"/>
            </w:tcBorders>
            <w:shd w:val="clear" w:color="auto" w:fill="007CBA"/>
          </w:tcPr>
          <w:p>
            <w:pPr>
              <w:spacing w:after="0"/>
              <w:rPr>
                <w:sz w:val="12"/>
                <w:szCs w:val="12"/>
                <w:color w:val="auto"/>
              </w:rPr>
            </w:pPr>
          </w:p>
        </w:tc>
        <w:tc>
          <w:tcPr>
            <w:tcW w:w="700" w:type="dxa"/>
            <w:vAlign w:val="bottom"/>
            <w:tcBorders>
              <w:right w:val="single" w:sz="8" w:color="007CBA"/>
            </w:tcBorders>
            <w:shd w:val="clear" w:color="auto" w:fill="007CBA"/>
          </w:tcPr>
          <w:p>
            <w:pPr>
              <w:jc w:val="center"/>
              <w:ind w:right="50"/>
              <w:spacing w:after="0" w:line="147" w:lineRule="exact"/>
              <w:rPr>
                <w:sz w:val="20"/>
                <w:szCs w:val="20"/>
                <w:color w:val="auto"/>
              </w:rPr>
            </w:pPr>
            <w:r>
              <w:rPr>
                <w:rFonts w:ascii="Arial" w:cs="Arial" w:eastAsia="Arial" w:hAnsi="Arial"/>
                <w:sz w:val="13"/>
                <w:szCs w:val="13"/>
                <w:b w:val="1"/>
                <w:bCs w:val="1"/>
                <w:color w:val="FFFFFF"/>
                <w:w w:val="97"/>
              </w:rPr>
              <w:t>Grant</w:t>
            </w:r>
          </w:p>
        </w:tc>
        <w:tc>
          <w:tcPr>
            <w:tcW w:w="70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Threshold</w:t>
            </w:r>
          </w:p>
        </w:tc>
        <w:tc>
          <w:tcPr>
            <w:tcW w:w="120" w:type="dxa"/>
            <w:vAlign w:val="bottom"/>
            <w:tcBorders>
              <w:right w:val="single" w:sz="8" w:color="007CBA"/>
            </w:tcBorders>
            <w:shd w:val="clear" w:color="auto" w:fill="007CBA"/>
          </w:tcPr>
          <w:p>
            <w:pPr>
              <w:spacing w:after="0"/>
              <w:rPr>
                <w:sz w:val="12"/>
                <w:szCs w:val="12"/>
                <w:color w:val="auto"/>
              </w:rPr>
            </w:pPr>
          </w:p>
        </w:tc>
        <w:tc>
          <w:tcPr>
            <w:tcW w:w="740" w:type="dxa"/>
            <w:vAlign w:val="bottom"/>
            <w:gridSpan w:val="2"/>
            <w:shd w:val="clear" w:color="auto" w:fill="007CBA"/>
          </w:tcPr>
          <w:p>
            <w:pPr>
              <w:jc w:val="center"/>
              <w:ind w:right="140"/>
              <w:spacing w:after="0" w:line="147" w:lineRule="exact"/>
              <w:rPr>
                <w:sz w:val="20"/>
                <w:szCs w:val="20"/>
                <w:color w:val="auto"/>
              </w:rPr>
            </w:pPr>
            <w:r>
              <w:rPr>
                <w:rFonts w:ascii="Arial" w:cs="Arial" w:eastAsia="Arial" w:hAnsi="Arial"/>
                <w:sz w:val="13"/>
                <w:szCs w:val="13"/>
                <w:b w:val="1"/>
                <w:bCs w:val="1"/>
                <w:color w:val="FFFFFF"/>
              </w:rPr>
              <w:t>Target</w:t>
            </w:r>
          </w:p>
        </w:tc>
        <w:tc>
          <w:tcPr>
            <w:tcW w:w="800" w:type="dxa"/>
            <w:vAlign w:val="bottom"/>
            <w:tcBorders>
              <w:right w:val="single" w:sz="8" w:color="007CBA"/>
            </w:tcBorders>
            <w:shd w:val="clear" w:color="auto" w:fill="007CBA"/>
          </w:tcPr>
          <w:p>
            <w:pPr>
              <w:ind w:left="20"/>
              <w:spacing w:after="0" w:line="147" w:lineRule="exact"/>
              <w:rPr>
                <w:sz w:val="20"/>
                <w:szCs w:val="20"/>
                <w:color w:val="auto"/>
              </w:rPr>
            </w:pPr>
            <w:r>
              <w:rPr>
                <w:rFonts w:ascii="Arial" w:cs="Arial" w:eastAsia="Arial" w:hAnsi="Arial"/>
                <w:sz w:val="13"/>
                <w:szCs w:val="13"/>
                <w:b w:val="1"/>
                <w:bCs w:val="1"/>
                <w:color w:val="FFFFFF"/>
              </w:rPr>
              <w:t>Maximum</w:t>
            </w:r>
          </w:p>
        </w:tc>
        <w:tc>
          <w:tcPr>
            <w:tcW w:w="720" w:type="dxa"/>
            <w:vAlign w:val="bottom"/>
            <w:tcBorders>
              <w:right w:val="single" w:sz="8" w:color="007CBA"/>
            </w:tcBorders>
            <w:shd w:val="clear" w:color="auto" w:fill="007CBA"/>
          </w:tcPr>
          <w:p>
            <w:pPr>
              <w:jc w:val="right"/>
              <w:spacing w:after="0" w:line="147" w:lineRule="exact"/>
              <w:rPr>
                <w:sz w:val="20"/>
                <w:szCs w:val="20"/>
                <w:color w:val="auto"/>
              </w:rPr>
            </w:pPr>
            <w:r>
              <w:rPr>
                <w:rFonts w:ascii="Arial" w:cs="Arial" w:eastAsia="Arial" w:hAnsi="Arial"/>
                <w:sz w:val="13"/>
                <w:szCs w:val="13"/>
                <w:b w:val="1"/>
                <w:bCs w:val="1"/>
                <w:color w:val="FFFFFF"/>
              </w:rPr>
              <w:t>Threshold</w:t>
            </w:r>
          </w:p>
        </w:tc>
        <w:tc>
          <w:tcPr>
            <w:tcW w:w="6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Target</w:t>
            </w:r>
          </w:p>
        </w:tc>
        <w:tc>
          <w:tcPr>
            <w:tcW w:w="680" w:type="dxa"/>
            <w:vAlign w:val="bottom"/>
            <w:tcBorders>
              <w:right w:val="single" w:sz="8" w:color="007CBA"/>
            </w:tcBorders>
            <w:shd w:val="clear" w:color="auto" w:fill="007CBA"/>
          </w:tcPr>
          <w:p>
            <w:pPr>
              <w:jc w:val="right"/>
              <w:spacing w:after="0" w:line="147" w:lineRule="exact"/>
              <w:rPr>
                <w:sz w:val="20"/>
                <w:szCs w:val="20"/>
                <w:color w:val="auto"/>
              </w:rPr>
            </w:pPr>
            <w:r>
              <w:rPr>
                <w:rFonts w:ascii="Arial" w:cs="Arial" w:eastAsia="Arial" w:hAnsi="Arial"/>
                <w:sz w:val="13"/>
                <w:szCs w:val="13"/>
                <w:b w:val="1"/>
                <w:bCs w:val="1"/>
                <w:color w:val="FFFFFF"/>
              </w:rPr>
              <w:t>Maximum</w:t>
            </w:r>
          </w:p>
        </w:tc>
        <w:tc>
          <w:tcPr>
            <w:tcW w:w="68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or Units</w:t>
            </w:r>
          </w:p>
        </w:tc>
        <w:tc>
          <w:tcPr>
            <w:tcW w:w="820" w:type="dxa"/>
            <w:vAlign w:val="bottom"/>
            <w:shd w:val="clear" w:color="auto" w:fill="007CBA"/>
          </w:tcPr>
          <w:p>
            <w:pPr>
              <w:jc w:val="center"/>
              <w:ind w:right="10"/>
              <w:spacing w:after="0" w:line="147"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77"/>
        </w:trPr>
        <w:tc>
          <w:tcPr>
            <w:tcW w:w="43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Name</w:t>
            </w:r>
          </w:p>
        </w:tc>
        <w:tc>
          <w:tcPr>
            <w:tcW w:w="700" w:type="dxa"/>
            <w:vAlign w:val="bottom"/>
            <w:tcBorders>
              <w:right w:val="single" w:sz="8" w:color="007CBA"/>
            </w:tcBorders>
            <w:shd w:val="clear" w:color="auto" w:fill="007CBA"/>
          </w:tcPr>
          <w:p>
            <w:pPr>
              <w:jc w:val="center"/>
              <w:ind w:right="50"/>
              <w:spacing w:after="0"/>
              <w:rPr>
                <w:sz w:val="20"/>
                <w:szCs w:val="20"/>
                <w:color w:val="auto"/>
              </w:rPr>
            </w:pPr>
            <w:r>
              <w:rPr>
                <w:rFonts w:ascii="Arial" w:cs="Arial" w:eastAsia="Arial" w:hAnsi="Arial"/>
                <w:sz w:val="13"/>
                <w:szCs w:val="13"/>
                <w:b w:val="1"/>
                <w:bCs w:val="1"/>
                <w:color w:val="FFFFFF"/>
              </w:rPr>
              <w:t>Date</w:t>
            </w:r>
          </w:p>
        </w:tc>
        <w:tc>
          <w:tcPr>
            <w:tcW w:w="70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2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ind w:left="260"/>
              <w:spacing w:after="0"/>
              <w:rPr>
                <w:sz w:val="20"/>
                <w:szCs w:val="20"/>
                <w:color w:val="auto"/>
              </w:rPr>
            </w:pPr>
            <w:r>
              <w:rPr>
                <w:rFonts w:ascii="Arial" w:cs="Arial" w:eastAsia="Arial" w:hAnsi="Arial"/>
                <w:sz w:val="13"/>
                <w:szCs w:val="13"/>
                <w:b w:val="1"/>
                <w:bCs w:val="1"/>
                <w:color w:val="FFFFFF"/>
              </w:rPr>
              <w:t>($)</w:t>
            </w:r>
          </w:p>
        </w:tc>
        <w:tc>
          <w:tcPr>
            <w:tcW w:w="7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007CBA"/>
            </w:tcBorders>
            <w:shd w:val="clear" w:color="auto" w:fill="007CBA"/>
          </w:tcPr>
          <w:p>
            <w:pPr>
              <w:jc w:val="right"/>
              <w:ind w:right="170"/>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7CBA"/>
          </w:tcPr>
          <w:p>
            <w:pPr>
              <w:jc w:val="center"/>
              <w:ind w:right="10"/>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11"/>
                <w:szCs w:val="11"/>
                <w:b w:val="1"/>
                <w:bCs w:val="1"/>
                <w:color w:val="FFFFFF"/>
              </w:rPr>
              <w:t>4</w:t>
            </w:r>
          </w:p>
        </w:tc>
        <w:tc>
          <w:tcPr>
            <w:tcW w:w="0" w:type="dxa"/>
            <w:vAlign w:val="bottom"/>
          </w:tcPr>
          <w:p>
            <w:pPr>
              <w:spacing w:after="0"/>
              <w:rPr>
                <w:sz w:val="1"/>
                <w:szCs w:val="1"/>
                <w:color w:val="auto"/>
              </w:rPr>
            </w:pPr>
          </w:p>
        </w:tc>
      </w:tr>
      <w:tr>
        <w:trPr>
          <w:trHeight w:val="173"/>
        </w:trPr>
        <w:tc>
          <w:tcPr>
            <w:tcW w:w="430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(a)</w:t>
            </w:r>
          </w:p>
        </w:tc>
        <w:tc>
          <w:tcPr>
            <w:tcW w:w="700" w:type="dxa"/>
            <w:vAlign w:val="bottom"/>
            <w:tcBorders>
              <w:right w:val="single" w:sz="8" w:color="007CBA"/>
            </w:tcBorders>
            <w:shd w:val="clear" w:color="auto" w:fill="007CBA"/>
          </w:tcPr>
          <w:p>
            <w:pPr>
              <w:jc w:val="center"/>
              <w:ind w:right="50"/>
              <w:spacing w:after="0"/>
              <w:rPr>
                <w:sz w:val="20"/>
                <w:szCs w:val="20"/>
                <w:color w:val="auto"/>
              </w:rPr>
            </w:pPr>
            <w:r>
              <w:rPr>
                <w:rFonts w:ascii="Arial" w:cs="Arial" w:eastAsia="Arial" w:hAnsi="Arial"/>
                <w:sz w:val="13"/>
                <w:szCs w:val="13"/>
                <w:b w:val="1"/>
                <w:bCs w:val="1"/>
                <w:color w:val="FFFFFF"/>
              </w:rPr>
              <w:t>(b)</w:t>
            </w:r>
          </w:p>
        </w:tc>
        <w:tc>
          <w:tcPr>
            <w:tcW w:w="70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(c)</w:t>
            </w:r>
          </w:p>
        </w:tc>
        <w:tc>
          <w:tcPr>
            <w:tcW w:w="120" w:type="dxa"/>
            <w:vAlign w:val="bottom"/>
            <w:tcBorders>
              <w:right w:val="single" w:sz="8" w:color="007CBA"/>
            </w:tcBorders>
            <w:shd w:val="clear" w:color="auto" w:fill="007CBA"/>
          </w:tcPr>
          <w:p>
            <w:pPr>
              <w:spacing w:after="0"/>
              <w:rPr>
                <w:sz w:val="15"/>
                <w:szCs w:val="15"/>
                <w:color w:val="auto"/>
              </w:rPr>
            </w:pPr>
          </w:p>
        </w:tc>
        <w:tc>
          <w:tcPr>
            <w:tcW w:w="740" w:type="dxa"/>
            <w:vAlign w:val="bottom"/>
            <w:gridSpan w:val="2"/>
            <w:shd w:val="clear" w:color="auto" w:fill="007CBA"/>
          </w:tcPr>
          <w:p>
            <w:pPr>
              <w:jc w:val="center"/>
              <w:ind w:right="140"/>
              <w:spacing w:after="0"/>
              <w:rPr>
                <w:sz w:val="20"/>
                <w:szCs w:val="20"/>
                <w:color w:val="auto"/>
              </w:rPr>
            </w:pPr>
            <w:r>
              <w:rPr>
                <w:rFonts w:ascii="Arial" w:cs="Arial" w:eastAsia="Arial" w:hAnsi="Arial"/>
                <w:sz w:val="13"/>
                <w:szCs w:val="13"/>
                <w:b w:val="1"/>
                <w:bCs w:val="1"/>
                <w:color w:val="FFFFFF"/>
                <w:w w:val="96"/>
              </w:rPr>
              <w:t>(d)</w:t>
            </w:r>
          </w:p>
        </w:tc>
        <w:tc>
          <w:tcPr>
            <w:tcW w:w="800" w:type="dxa"/>
            <w:vAlign w:val="bottom"/>
            <w:tcBorders>
              <w:right w:val="single" w:sz="8" w:color="007CBA"/>
            </w:tcBorders>
            <w:shd w:val="clear" w:color="auto" w:fill="007CBA"/>
          </w:tcPr>
          <w:p>
            <w:pPr>
              <w:ind w:left="260"/>
              <w:spacing w:after="0"/>
              <w:rPr>
                <w:sz w:val="20"/>
                <w:szCs w:val="20"/>
                <w:color w:val="auto"/>
              </w:rPr>
            </w:pPr>
            <w:r>
              <w:rPr>
                <w:rFonts w:ascii="Arial" w:cs="Arial" w:eastAsia="Arial" w:hAnsi="Arial"/>
                <w:sz w:val="13"/>
                <w:szCs w:val="13"/>
                <w:b w:val="1"/>
                <w:bCs w:val="1"/>
                <w:color w:val="FFFFFF"/>
              </w:rPr>
              <w:t>(e)</w:t>
            </w:r>
          </w:p>
        </w:tc>
        <w:tc>
          <w:tcPr>
            <w:tcW w:w="720" w:type="dxa"/>
            <w:vAlign w:val="bottom"/>
            <w:tcBorders>
              <w:right w:val="single" w:sz="8" w:color="007CBA"/>
            </w:tcBorders>
            <w:shd w:val="clear" w:color="auto" w:fill="007CBA"/>
          </w:tcPr>
          <w:p>
            <w:pPr>
              <w:jc w:val="right"/>
              <w:ind w:right="231"/>
              <w:spacing w:after="0"/>
              <w:rPr>
                <w:sz w:val="20"/>
                <w:szCs w:val="20"/>
                <w:color w:val="auto"/>
              </w:rPr>
            </w:pPr>
            <w:r>
              <w:rPr>
                <w:rFonts w:ascii="Arial" w:cs="Arial" w:eastAsia="Arial" w:hAnsi="Arial"/>
                <w:sz w:val="13"/>
                <w:szCs w:val="13"/>
                <w:b w:val="1"/>
                <w:bCs w:val="1"/>
                <w:color w:val="FFFFFF"/>
              </w:rPr>
              <w:t>(f)</w:t>
            </w:r>
          </w:p>
        </w:tc>
        <w:tc>
          <w:tcPr>
            <w:tcW w:w="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(g)</w:t>
            </w:r>
          </w:p>
        </w:tc>
        <w:tc>
          <w:tcPr>
            <w:tcW w:w="680" w:type="dxa"/>
            <w:vAlign w:val="bottom"/>
            <w:tcBorders>
              <w:right w:val="single" w:sz="8" w:color="007CBA"/>
            </w:tcBorders>
            <w:shd w:val="clear" w:color="auto" w:fill="007CBA"/>
          </w:tcPr>
          <w:p>
            <w:pPr>
              <w:jc w:val="right"/>
              <w:ind w:right="170"/>
              <w:spacing w:after="0"/>
              <w:rPr>
                <w:sz w:val="20"/>
                <w:szCs w:val="20"/>
                <w:color w:val="auto"/>
              </w:rPr>
            </w:pPr>
            <w:r>
              <w:rPr>
                <w:rFonts w:ascii="Arial" w:cs="Arial" w:eastAsia="Arial" w:hAnsi="Arial"/>
                <w:sz w:val="13"/>
                <w:szCs w:val="13"/>
                <w:b w:val="1"/>
                <w:bCs w:val="1"/>
                <w:color w:val="FFFFFF"/>
              </w:rPr>
              <w:t>(h)</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7"/>
              </w:rPr>
              <w:t>(i)</w:t>
            </w:r>
          </w:p>
        </w:tc>
        <w:tc>
          <w:tcPr>
            <w:tcW w:w="820" w:type="dxa"/>
            <w:vAlign w:val="bottom"/>
            <w:shd w:val="clear" w:color="auto" w:fill="007CBA"/>
          </w:tcPr>
          <w:p>
            <w:pPr>
              <w:jc w:val="center"/>
              <w:ind w:right="10"/>
              <w:spacing w:after="0"/>
              <w:rPr>
                <w:sz w:val="20"/>
                <w:szCs w:val="20"/>
                <w:color w:val="auto"/>
              </w:rPr>
            </w:pPr>
            <w:r>
              <w:rPr>
                <w:rFonts w:ascii="Arial" w:cs="Arial" w:eastAsia="Arial" w:hAnsi="Arial"/>
                <w:sz w:val="13"/>
                <w:szCs w:val="13"/>
                <w:b w:val="1"/>
                <w:bCs w:val="1"/>
                <w:color w:val="FFFFFF"/>
              </w:rPr>
              <w:t>(l)</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2/19/20</w:t>
            </w:r>
            <w:r>
              <w:rPr>
                <w:rFonts w:ascii="Arial" w:cs="Arial" w:eastAsia="Arial" w:hAnsi="Arial"/>
                <w:sz w:val="24"/>
                <w:szCs w:val="24"/>
                <w:color w:val="auto"/>
                <w:vertAlign w:val="superscript"/>
              </w:rPr>
              <w:t>1</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jc w:val="center"/>
              <w:ind w:right="10"/>
              <w:spacing w:after="0"/>
              <w:rPr>
                <w:sz w:val="20"/>
                <w:szCs w:val="20"/>
                <w:color w:val="auto"/>
              </w:rPr>
            </w:pPr>
            <w:r>
              <w:rPr>
                <w:rFonts w:ascii="Arial" w:cs="Arial" w:eastAsia="Arial" w:hAnsi="Arial"/>
                <w:sz w:val="14"/>
                <w:szCs w:val="14"/>
                <w:color w:val="auto"/>
              </w:rPr>
              <w:t>742,084</w:t>
            </w: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4"/>
                <w:szCs w:val="14"/>
                <w:color w:val="auto"/>
              </w:rPr>
              <w:t>3,750,000</w:t>
            </w:r>
          </w:p>
        </w:tc>
        <w:tc>
          <w:tcPr>
            <w:tcW w:w="720" w:type="dxa"/>
            <w:vAlign w:val="bottom"/>
            <w:tcBorders>
              <w:right w:val="single" w:sz="8" w:color="007CBA"/>
            </w:tcBorders>
            <w:shd w:val="clear" w:color="auto" w:fill="E5F1F8"/>
          </w:tcPr>
          <w:p>
            <w:pPr>
              <w:spacing w:after="0"/>
              <w:rPr>
                <w:sz w:val="23"/>
                <w:szCs w:val="23"/>
                <w:color w:val="auto"/>
              </w:rPr>
            </w:pPr>
          </w:p>
        </w:tc>
        <w:tc>
          <w:tcPr>
            <w:tcW w:w="6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4"/>
                <w:szCs w:val="14"/>
                <w:color w:val="auto"/>
              </w:rPr>
              <w:t>3,586</w:t>
            </w:r>
          </w:p>
        </w:tc>
        <w:tc>
          <w:tcPr>
            <w:tcW w:w="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18,122</w:t>
            </w:r>
          </w:p>
        </w:tc>
        <w:tc>
          <w:tcPr>
            <w:tcW w:w="680" w:type="dxa"/>
            <w:vAlign w:val="bottom"/>
            <w:tcBorders>
              <w:right w:val="single" w:sz="8" w:color="007CBA"/>
            </w:tcBorders>
            <w:shd w:val="clear" w:color="auto" w:fill="E5F1F8"/>
          </w:tcPr>
          <w:p>
            <w:pPr>
              <w:spacing w:after="0"/>
              <w:rPr>
                <w:sz w:val="23"/>
                <w:szCs w:val="23"/>
                <w:color w:val="auto"/>
              </w:rPr>
            </w:pP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927,591</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spacing w:after="0"/>
              <w:rPr>
                <w:sz w:val="23"/>
                <w:szCs w:val="23"/>
                <w:color w:val="auto"/>
              </w:rPr>
            </w:pP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2</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5,270</w:t>
            </w:r>
          </w:p>
        </w:tc>
        <w:tc>
          <w:tcPr>
            <w:tcW w:w="6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4"/>
                <w:szCs w:val="14"/>
                <w:color w:val="auto"/>
              </w:rPr>
              <w:t>13,175</w:t>
            </w:r>
          </w:p>
        </w:tc>
        <w:tc>
          <w:tcPr>
            <w:tcW w:w="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31,620</w:t>
            </w:r>
          </w:p>
        </w:tc>
        <w:tc>
          <w:tcPr>
            <w:tcW w:w="680" w:type="dxa"/>
            <w:vAlign w:val="bottom"/>
            <w:tcBorders>
              <w:right w:val="single" w:sz="8" w:color="007CBA"/>
            </w:tcBorders>
            <w:shd w:val="clear" w:color="auto" w:fill="E5F1F8"/>
          </w:tcPr>
          <w:p>
            <w:pPr>
              <w:spacing w:after="0"/>
              <w:rPr>
                <w:sz w:val="23"/>
                <w:szCs w:val="23"/>
                <w:color w:val="auto"/>
              </w:rPr>
            </w:pP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2,668,596</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spacing w:after="0"/>
              <w:rPr>
                <w:sz w:val="23"/>
                <w:szCs w:val="23"/>
                <w:color w:val="auto"/>
              </w:rPr>
            </w:pP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3</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600" w:type="dxa"/>
            <w:vAlign w:val="bottom"/>
            <w:tcBorders>
              <w:right w:val="single" w:sz="8" w:color="007CBA"/>
            </w:tcBorders>
            <w:shd w:val="clear" w:color="auto" w:fill="E5F1F8"/>
          </w:tcPr>
          <w:p>
            <w:pPr>
              <w:spacing w:after="0"/>
              <w:rPr>
                <w:sz w:val="23"/>
                <w:szCs w:val="23"/>
                <w:color w:val="auto"/>
              </w:rPr>
            </w:pPr>
          </w:p>
        </w:tc>
        <w:tc>
          <w:tcPr>
            <w:tcW w:w="680" w:type="dxa"/>
            <w:vAlign w:val="bottom"/>
            <w:tcBorders>
              <w:right w:val="single" w:sz="8" w:color="007CBA"/>
            </w:tcBorders>
            <w:shd w:val="clear" w:color="auto" w:fill="E5F1F8"/>
          </w:tcPr>
          <w:p>
            <w:pPr>
              <w:spacing w:after="0"/>
              <w:rPr>
                <w:sz w:val="23"/>
                <w:szCs w:val="23"/>
                <w:color w:val="auto"/>
              </w:rPr>
            </w:pPr>
          </w:p>
        </w:tc>
        <w:tc>
          <w:tcPr>
            <w:tcW w:w="680" w:type="dxa"/>
            <w:vAlign w:val="bottom"/>
            <w:tcBorders>
              <w:right w:val="single" w:sz="8" w:color="007CBA"/>
            </w:tcBorders>
            <w:shd w:val="clear" w:color="auto" w:fill="E5F1F8"/>
          </w:tcPr>
          <w:p>
            <w:pPr>
              <w:jc w:val="right"/>
              <w:ind w:right="52"/>
              <w:spacing w:after="0"/>
              <w:rPr>
                <w:sz w:val="20"/>
                <w:szCs w:val="20"/>
                <w:color w:val="auto"/>
              </w:rPr>
            </w:pPr>
            <w:r>
              <w:rPr>
                <w:rFonts w:ascii="Arial" w:cs="Arial" w:eastAsia="Arial" w:hAnsi="Arial"/>
                <w:sz w:val="14"/>
                <w:szCs w:val="14"/>
                <w:color w:val="auto"/>
              </w:rPr>
              <w:t>11,318</w:t>
            </w: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2,176,112</w:t>
            </w:r>
          </w:p>
        </w:tc>
        <w:tc>
          <w:tcPr>
            <w:tcW w:w="0" w:type="dxa"/>
            <w:vAlign w:val="bottom"/>
          </w:tcPr>
          <w:p>
            <w:pPr>
              <w:spacing w:after="0"/>
              <w:rPr>
                <w:sz w:val="1"/>
                <w:szCs w:val="1"/>
                <w:color w:val="auto"/>
              </w:rPr>
            </w:pPr>
          </w:p>
        </w:tc>
      </w:tr>
      <w:tr>
        <w:trPr>
          <w:trHeight w:val="317"/>
        </w:trPr>
        <w:tc>
          <w:tcPr>
            <w:tcW w:w="430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700" w:type="dxa"/>
            <w:vAlign w:val="bottom"/>
            <w:tcBorders>
              <w:right w:val="single" w:sz="8" w:color="007CBA"/>
            </w:tcBorders>
          </w:tcPr>
          <w:p>
            <w:pPr>
              <w:jc w:val="right"/>
              <w:ind w:right="10"/>
              <w:spacing w:after="0"/>
              <w:rPr>
                <w:sz w:val="20"/>
                <w:szCs w:val="20"/>
                <w:color w:val="auto"/>
              </w:rPr>
            </w:pPr>
            <w:r>
              <w:rPr>
                <w:rFonts w:ascii="Arial" w:cs="Arial" w:eastAsia="Arial" w:hAnsi="Arial"/>
                <w:sz w:val="14"/>
                <w:szCs w:val="14"/>
                <w:color w:val="auto"/>
              </w:rPr>
              <w:t>2/19/20</w:t>
            </w:r>
            <w:r>
              <w:rPr>
                <w:rFonts w:ascii="Arial" w:cs="Arial" w:eastAsia="Arial" w:hAnsi="Arial"/>
                <w:sz w:val="24"/>
                <w:szCs w:val="24"/>
                <w:color w:val="auto"/>
                <w:vertAlign w:val="superscript"/>
              </w:rPr>
              <w:t>1</w:t>
            </w:r>
          </w:p>
        </w:tc>
        <w:tc>
          <w:tcPr>
            <w:tcW w:w="700" w:type="dxa"/>
            <w:vAlign w:val="bottom"/>
          </w:tcPr>
          <w:p>
            <w:pPr>
              <w:spacing w:after="0"/>
              <w:rPr>
                <w:sz w:val="24"/>
                <w:szCs w:val="24"/>
                <w:color w:val="auto"/>
              </w:rPr>
            </w:pPr>
          </w:p>
        </w:tc>
        <w:tc>
          <w:tcPr>
            <w:tcW w:w="120" w:type="dxa"/>
            <w:vAlign w:val="bottom"/>
            <w:tcBorders>
              <w:right w:val="single" w:sz="8" w:color="007CBA"/>
            </w:tcBorders>
          </w:tcPr>
          <w:p>
            <w:pPr>
              <w:spacing w:after="0"/>
              <w:rPr>
                <w:sz w:val="24"/>
                <w:szCs w:val="24"/>
                <w:color w:val="auto"/>
              </w:rPr>
            </w:pPr>
          </w:p>
        </w:tc>
        <w:tc>
          <w:tcPr>
            <w:tcW w:w="720" w:type="dxa"/>
            <w:vAlign w:val="bottom"/>
            <w:tcBorders>
              <w:right w:val="single" w:sz="8" w:color="007CBA"/>
            </w:tcBorders>
          </w:tcPr>
          <w:p>
            <w:pPr>
              <w:jc w:val="center"/>
              <w:ind w:right="10"/>
              <w:spacing w:after="0"/>
              <w:rPr>
                <w:sz w:val="20"/>
                <w:szCs w:val="20"/>
                <w:color w:val="auto"/>
              </w:rPr>
            </w:pPr>
            <w:r>
              <w:rPr>
                <w:rFonts w:ascii="Arial" w:cs="Arial" w:eastAsia="Arial" w:hAnsi="Arial"/>
                <w:sz w:val="14"/>
                <w:szCs w:val="14"/>
                <w:color w:val="auto"/>
              </w:rPr>
              <w:t>311,380</w:t>
            </w:r>
          </w:p>
        </w:tc>
        <w:tc>
          <w:tcPr>
            <w:tcW w:w="20" w:type="dxa"/>
            <w:vAlign w:val="bottom"/>
          </w:tcPr>
          <w:p>
            <w:pPr>
              <w:spacing w:after="0"/>
              <w:rPr>
                <w:sz w:val="24"/>
                <w:szCs w:val="24"/>
                <w:color w:val="auto"/>
              </w:rPr>
            </w:pPr>
          </w:p>
        </w:tc>
        <w:tc>
          <w:tcPr>
            <w:tcW w:w="800" w:type="dxa"/>
            <w:vAlign w:val="bottom"/>
            <w:tcBorders>
              <w:right w:val="single" w:sz="8" w:color="007CBA"/>
            </w:tcBorders>
          </w:tcPr>
          <w:p>
            <w:pPr>
              <w:ind w:left="40"/>
              <w:spacing w:after="0"/>
              <w:rPr>
                <w:sz w:val="20"/>
                <w:szCs w:val="20"/>
                <w:color w:val="auto"/>
              </w:rPr>
            </w:pPr>
            <w:r>
              <w:rPr>
                <w:rFonts w:ascii="Arial" w:cs="Arial" w:eastAsia="Arial" w:hAnsi="Arial"/>
                <w:sz w:val="14"/>
                <w:szCs w:val="14"/>
                <w:color w:val="auto"/>
              </w:rPr>
              <w:t>6,000,000</w:t>
            </w:r>
          </w:p>
        </w:tc>
        <w:tc>
          <w:tcPr>
            <w:tcW w:w="720" w:type="dxa"/>
            <w:vAlign w:val="bottom"/>
            <w:tcBorders>
              <w:right w:val="single" w:sz="8" w:color="007CBA"/>
            </w:tcBorders>
          </w:tcPr>
          <w:p>
            <w:pPr>
              <w:spacing w:after="0"/>
              <w:rPr>
                <w:sz w:val="24"/>
                <w:szCs w:val="24"/>
                <w:color w:val="auto"/>
              </w:rPr>
            </w:pPr>
          </w:p>
        </w:tc>
        <w:tc>
          <w:tcPr>
            <w:tcW w:w="600" w:type="dxa"/>
            <w:vAlign w:val="bottom"/>
            <w:tcBorders>
              <w:right w:val="single" w:sz="8" w:color="007CBA"/>
            </w:tcBorders>
          </w:tcPr>
          <w:p>
            <w:pPr>
              <w:jc w:val="right"/>
              <w:ind w:right="70"/>
              <w:spacing w:after="0"/>
              <w:rPr>
                <w:sz w:val="20"/>
                <w:szCs w:val="20"/>
                <w:color w:val="auto"/>
              </w:rPr>
            </w:pPr>
            <w:r>
              <w:rPr>
                <w:rFonts w:ascii="Arial" w:cs="Arial" w:eastAsia="Arial" w:hAnsi="Arial"/>
                <w:sz w:val="14"/>
                <w:szCs w:val="14"/>
                <w:color w:val="auto"/>
              </w:rPr>
              <w:t>377</w:t>
            </w:r>
          </w:p>
        </w:tc>
        <w:tc>
          <w:tcPr>
            <w:tcW w:w="680" w:type="dxa"/>
            <w:vAlign w:val="bottom"/>
            <w:tcBorders>
              <w:right w:val="single" w:sz="8" w:color="007CBA"/>
            </w:tcBorders>
          </w:tcPr>
          <w:p>
            <w:pPr>
              <w:jc w:val="right"/>
              <w:ind w:right="50"/>
              <w:spacing w:after="0"/>
              <w:rPr>
                <w:sz w:val="20"/>
                <w:szCs w:val="20"/>
                <w:color w:val="auto"/>
              </w:rPr>
            </w:pPr>
            <w:r>
              <w:rPr>
                <w:rFonts w:ascii="Arial" w:cs="Arial" w:eastAsia="Arial" w:hAnsi="Arial"/>
                <w:sz w:val="14"/>
                <w:szCs w:val="14"/>
                <w:color w:val="auto"/>
              </w:rPr>
              <w:t>7,249</w:t>
            </w:r>
          </w:p>
        </w:tc>
        <w:tc>
          <w:tcPr>
            <w:tcW w:w="680" w:type="dxa"/>
            <w:vAlign w:val="bottom"/>
            <w:tcBorders>
              <w:right w:val="single" w:sz="8" w:color="007CBA"/>
            </w:tcBorders>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97,519</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tcPr>
          <w:p>
            <w:pPr>
              <w:spacing w:after="0"/>
              <w:rPr>
                <w:sz w:val="23"/>
                <w:szCs w:val="23"/>
                <w:color w:val="auto"/>
              </w:rPr>
            </w:pPr>
          </w:p>
        </w:tc>
        <w:tc>
          <w:tcPr>
            <w:tcW w:w="700" w:type="dxa"/>
            <w:vAlign w:val="bottom"/>
            <w:tcBorders>
              <w:right w:val="single" w:sz="8" w:color="007CBA"/>
            </w:tcBorders>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2</w:t>
            </w:r>
          </w:p>
        </w:tc>
        <w:tc>
          <w:tcPr>
            <w:tcW w:w="700" w:type="dxa"/>
            <w:vAlign w:val="bottom"/>
          </w:tcPr>
          <w:p>
            <w:pPr>
              <w:spacing w:after="0"/>
              <w:rPr>
                <w:sz w:val="23"/>
                <w:szCs w:val="23"/>
                <w:color w:val="auto"/>
              </w:rPr>
            </w:pPr>
          </w:p>
        </w:tc>
        <w:tc>
          <w:tcPr>
            <w:tcW w:w="120" w:type="dxa"/>
            <w:vAlign w:val="bottom"/>
            <w:tcBorders>
              <w:right w:val="single" w:sz="8" w:color="007CBA"/>
            </w:tcBorders>
          </w:tcPr>
          <w:p>
            <w:pPr>
              <w:spacing w:after="0"/>
              <w:rPr>
                <w:sz w:val="23"/>
                <w:szCs w:val="23"/>
                <w:color w:val="auto"/>
              </w:rPr>
            </w:pPr>
          </w:p>
        </w:tc>
        <w:tc>
          <w:tcPr>
            <w:tcW w:w="720" w:type="dxa"/>
            <w:vAlign w:val="bottom"/>
            <w:tcBorders>
              <w:right w:val="single" w:sz="8" w:color="007CBA"/>
            </w:tcBorders>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right w:val="single" w:sz="8" w:color="007CBA"/>
            </w:tcBorders>
          </w:tcPr>
          <w:p>
            <w:pPr>
              <w:spacing w:after="0"/>
              <w:rPr>
                <w:sz w:val="23"/>
                <w:szCs w:val="23"/>
                <w:color w:val="auto"/>
              </w:rPr>
            </w:pPr>
          </w:p>
        </w:tc>
        <w:tc>
          <w:tcPr>
            <w:tcW w:w="7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1,053</w:t>
            </w:r>
          </w:p>
        </w:tc>
        <w:tc>
          <w:tcPr>
            <w:tcW w:w="600" w:type="dxa"/>
            <w:vAlign w:val="bottom"/>
            <w:tcBorders>
              <w:right w:val="single" w:sz="8" w:color="007CBA"/>
            </w:tcBorders>
          </w:tcPr>
          <w:p>
            <w:pPr>
              <w:jc w:val="right"/>
              <w:ind w:right="70"/>
              <w:spacing w:after="0"/>
              <w:rPr>
                <w:sz w:val="20"/>
                <w:szCs w:val="20"/>
                <w:color w:val="auto"/>
              </w:rPr>
            </w:pPr>
            <w:r>
              <w:rPr>
                <w:rFonts w:ascii="Arial" w:cs="Arial" w:eastAsia="Arial" w:hAnsi="Arial"/>
                <w:sz w:val="14"/>
                <w:szCs w:val="14"/>
                <w:color w:val="auto"/>
              </w:rPr>
              <w:t>2,632</w:t>
            </w:r>
          </w:p>
        </w:tc>
        <w:tc>
          <w:tcPr>
            <w:tcW w:w="680" w:type="dxa"/>
            <w:vAlign w:val="bottom"/>
            <w:tcBorders>
              <w:right w:val="single" w:sz="8" w:color="007CBA"/>
            </w:tcBorders>
          </w:tcPr>
          <w:p>
            <w:pPr>
              <w:jc w:val="right"/>
              <w:ind w:right="50"/>
              <w:spacing w:after="0"/>
              <w:rPr>
                <w:sz w:val="20"/>
                <w:szCs w:val="20"/>
                <w:color w:val="auto"/>
              </w:rPr>
            </w:pPr>
            <w:r>
              <w:rPr>
                <w:rFonts w:ascii="Arial" w:cs="Arial" w:eastAsia="Arial" w:hAnsi="Arial"/>
                <w:sz w:val="14"/>
                <w:szCs w:val="14"/>
                <w:color w:val="auto"/>
              </w:rPr>
              <w:t>6,317</w:t>
            </w:r>
          </w:p>
        </w:tc>
        <w:tc>
          <w:tcPr>
            <w:tcW w:w="680" w:type="dxa"/>
            <w:vAlign w:val="bottom"/>
            <w:tcBorders>
              <w:right w:val="single" w:sz="8" w:color="007CBA"/>
            </w:tcBorders>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533,112</w:t>
            </w:r>
          </w:p>
        </w:tc>
        <w:tc>
          <w:tcPr>
            <w:tcW w:w="0" w:type="dxa"/>
            <w:vAlign w:val="bottom"/>
          </w:tcPr>
          <w:p>
            <w:pPr>
              <w:spacing w:after="0"/>
              <w:rPr>
                <w:sz w:val="1"/>
                <w:szCs w:val="1"/>
                <w:color w:val="auto"/>
              </w:rPr>
            </w:pPr>
          </w:p>
        </w:tc>
      </w:tr>
      <w:tr>
        <w:trPr>
          <w:trHeight w:val="216"/>
        </w:trPr>
        <w:tc>
          <w:tcPr>
            <w:tcW w:w="4300" w:type="dxa"/>
            <w:vAlign w:val="bottom"/>
            <w:tcBorders>
              <w:right w:val="single" w:sz="8" w:color="007CBA"/>
            </w:tcBorders>
          </w:tcPr>
          <w:p>
            <w:pPr>
              <w:spacing w:after="0"/>
              <w:rPr>
                <w:sz w:val="18"/>
                <w:szCs w:val="18"/>
                <w:color w:val="auto"/>
              </w:rPr>
            </w:pPr>
          </w:p>
        </w:tc>
        <w:tc>
          <w:tcPr>
            <w:tcW w:w="700" w:type="dxa"/>
            <w:vAlign w:val="bottom"/>
            <w:tcBorders>
              <w:right w:val="single" w:sz="8" w:color="007CBA"/>
            </w:tcBorders>
          </w:tcPr>
          <w:p>
            <w:pPr>
              <w:jc w:val="right"/>
              <w:ind w:right="10"/>
              <w:spacing w:after="0" w:line="21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3</w:t>
            </w:r>
          </w:p>
        </w:tc>
        <w:tc>
          <w:tcPr>
            <w:tcW w:w="700" w:type="dxa"/>
            <w:vAlign w:val="bottom"/>
          </w:tcPr>
          <w:p>
            <w:pPr>
              <w:spacing w:after="0"/>
              <w:rPr>
                <w:sz w:val="18"/>
                <w:szCs w:val="18"/>
                <w:color w:val="auto"/>
              </w:rPr>
            </w:pPr>
          </w:p>
        </w:tc>
        <w:tc>
          <w:tcPr>
            <w:tcW w:w="120" w:type="dxa"/>
            <w:vAlign w:val="bottom"/>
            <w:tcBorders>
              <w:right w:val="single" w:sz="8" w:color="007CBA"/>
            </w:tcBorders>
          </w:tcPr>
          <w:p>
            <w:pPr>
              <w:spacing w:after="0"/>
              <w:rPr>
                <w:sz w:val="18"/>
                <w:szCs w:val="18"/>
                <w:color w:val="auto"/>
              </w:rPr>
            </w:pPr>
          </w:p>
        </w:tc>
        <w:tc>
          <w:tcPr>
            <w:tcW w:w="720" w:type="dxa"/>
            <w:vAlign w:val="bottom"/>
            <w:tcBorders>
              <w:right w:val="single" w:sz="8" w:color="007CBA"/>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720" w:type="dxa"/>
            <w:vAlign w:val="bottom"/>
            <w:tcBorders>
              <w:right w:val="single" w:sz="8" w:color="007CBA"/>
            </w:tcBorders>
          </w:tcPr>
          <w:p>
            <w:pPr>
              <w:spacing w:after="0"/>
              <w:rPr>
                <w:sz w:val="18"/>
                <w:szCs w:val="18"/>
                <w:color w:val="auto"/>
              </w:rPr>
            </w:pPr>
          </w:p>
        </w:tc>
        <w:tc>
          <w:tcPr>
            <w:tcW w:w="600" w:type="dxa"/>
            <w:vAlign w:val="bottom"/>
            <w:tcBorders>
              <w:right w:val="single" w:sz="8" w:color="007CBA"/>
            </w:tcBorders>
          </w:tcPr>
          <w:p>
            <w:pPr>
              <w:spacing w:after="0"/>
              <w:rPr>
                <w:sz w:val="18"/>
                <w:szCs w:val="18"/>
                <w:color w:val="auto"/>
              </w:rPr>
            </w:pPr>
          </w:p>
        </w:tc>
        <w:tc>
          <w:tcPr>
            <w:tcW w:w="680" w:type="dxa"/>
            <w:vAlign w:val="bottom"/>
            <w:tcBorders>
              <w:right w:val="single" w:sz="8" w:color="007CBA"/>
            </w:tcBorders>
          </w:tcPr>
          <w:p>
            <w:pPr>
              <w:spacing w:after="0"/>
              <w:rPr>
                <w:sz w:val="18"/>
                <w:szCs w:val="18"/>
                <w:color w:val="auto"/>
              </w:rPr>
            </w:pPr>
          </w:p>
        </w:tc>
        <w:tc>
          <w:tcPr>
            <w:tcW w:w="680" w:type="dxa"/>
            <w:vAlign w:val="bottom"/>
            <w:tcBorders>
              <w:right w:val="single" w:sz="8" w:color="007CBA"/>
            </w:tcBorders>
          </w:tcPr>
          <w:p>
            <w:pPr>
              <w:jc w:val="right"/>
              <w:ind w:right="52"/>
              <w:spacing w:after="0"/>
              <w:rPr>
                <w:sz w:val="20"/>
                <w:szCs w:val="20"/>
                <w:color w:val="auto"/>
              </w:rPr>
            </w:pPr>
            <w:r>
              <w:rPr>
                <w:rFonts w:ascii="Arial" w:cs="Arial" w:eastAsia="Arial" w:hAnsi="Arial"/>
                <w:sz w:val="14"/>
                <w:szCs w:val="14"/>
                <w:color w:val="auto"/>
              </w:rPr>
              <w:t>2,261</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434,722</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2/19/20</w:t>
            </w:r>
            <w:r>
              <w:rPr>
                <w:rFonts w:ascii="Arial" w:cs="Arial" w:eastAsia="Arial" w:hAnsi="Arial"/>
                <w:sz w:val="24"/>
                <w:szCs w:val="24"/>
                <w:color w:val="auto"/>
                <w:vertAlign w:val="superscript"/>
              </w:rPr>
              <w:t>1</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jc w:val="center"/>
              <w:ind w:right="10"/>
              <w:spacing w:after="0"/>
              <w:rPr>
                <w:sz w:val="20"/>
                <w:szCs w:val="20"/>
                <w:color w:val="auto"/>
              </w:rPr>
            </w:pPr>
            <w:r>
              <w:rPr>
                <w:rFonts w:ascii="Arial" w:cs="Arial" w:eastAsia="Arial" w:hAnsi="Arial"/>
                <w:sz w:val="14"/>
                <w:szCs w:val="14"/>
                <w:color w:val="auto"/>
              </w:rPr>
              <w:t>316,634</w:t>
            </w: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4"/>
                <w:szCs w:val="14"/>
                <w:color w:val="auto"/>
              </w:rPr>
              <w:t>5,250,000</w:t>
            </w:r>
          </w:p>
        </w:tc>
        <w:tc>
          <w:tcPr>
            <w:tcW w:w="720" w:type="dxa"/>
            <w:vAlign w:val="bottom"/>
            <w:tcBorders>
              <w:right w:val="single" w:sz="8" w:color="007CBA"/>
            </w:tcBorders>
            <w:shd w:val="clear" w:color="auto" w:fill="E5F1F8"/>
          </w:tcPr>
          <w:p>
            <w:pPr>
              <w:spacing w:after="0"/>
              <w:rPr>
                <w:sz w:val="23"/>
                <w:szCs w:val="23"/>
                <w:color w:val="auto"/>
              </w:rPr>
            </w:pPr>
          </w:p>
        </w:tc>
        <w:tc>
          <w:tcPr>
            <w:tcW w:w="6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4"/>
                <w:szCs w:val="14"/>
                <w:color w:val="auto"/>
              </w:rPr>
              <w:t>656</w:t>
            </w:r>
          </w:p>
        </w:tc>
        <w:tc>
          <w:tcPr>
            <w:tcW w:w="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10,873</w:t>
            </w:r>
          </w:p>
        </w:tc>
        <w:tc>
          <w:tcPr>
            <w:tcW w:w="680" w:type="dxa"/>
            <w:vAlign w:val="bottom"/>
            <w:tcBorders>
              <w:right w:val="single" w:sz="8" w:color="007CBA"/>
            </w:tcBorders>
            <w:shd w:val="clear" w:color="auto" w:fill="E5F1F8"/>
          </w:tcPr>
          <w:p>
            <w:pPr>
              <w:spacing w:after="0"/>
              <w:rPr>
                <w:sz w:val="23"/>
                <w:szCs w:val="23"/>
                <w:color w:val="auto"/>
              </w:rPr>
            </w:pP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169,688</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spacing w:after="0"/>
              <w:rPr>
                <w:sz w:val="23"/>
                <w:szCs w:val="23"/>
                <w:color w:val="auto"/>
              </w:rPr>
            </w:pP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2</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1,143</w:t>
            </w:r>
          </w:p>
        </w:tc>
        <w:tc>
          <w:tcPr>
            <w:tcW w:w="6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4"/>
                <w:szCs w:val="14"/>
                <w:color w:val="auto"/>
              </w:rPr>
              <w:t>2,857</w:t>
            </w:r>
          </w:p>
        </w:tc>
        <w:tc>
          <w:tcPr>
            <w:tcW w:w="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6,857</w:t>
            </w:r>
          </w:p>
        </w:tc>
        <w:tc>
          <w:tcPr>
            <w:tcW w:w="680" w:type="dxa"/>
            <w:vAlign w:val="bottom"/>
            <w:tcBorders>
              <w:right w:val="single" w:sz="8" w:color="007CBA"/>
            </w:tcBorders>
            <w:shd w:val="clear" w:color="auto" w:fill="E5F1F8"/>
          </w:tcPr>
          <w:p>
            <w:pPr>
              <w:spacing w:after="0"/>
              <w:rPr>
                <w:sz w:val="23"/>
                <w:szCs w:val="23"/>
                <w:color w:val="auto"/>
              </w:rPr>
            </w:pP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578,685</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spacing w:after="0"/>
              <w:rPr>
                <w:sz w:val="23"/>
                <w:szCs w:val="23"/>
                <w:color w:val="auto"/>
              </w:rPr>
            </w:pP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3</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600" w:type="dxa"/>
            <w:vAlign w:val="bottom"/>
            <w:tcBorders>
              <w:right w:val="single" w:sz="8" w:color="007CBA"/>
            </w:tcBorders>
            <w:shd w:val="clear" w:color="auto" w:fill="E5F1F8"/>
          </w:tcPr>
          <w:p>
            <w:pPr>
              <w:spacing w:after="0"/>
              <w:rPr>
                <w:sz w:val="23"/>
                <w:szCs w:val="23"/>
                <w:color w:val="auto"/>
              </w:rPr>
            </w:pPr>
          </w:p>
        </w:tc>
        <w:tc>
          <w:tcPr>
            <w:tcW w:w="680" w:type="dxa"/>
            <w:vAlign w:val="bottom"/>
            <w:tcBorders>
              <w:right w:val="single" w:sz="8" w:color="007CBA"/>
            </w:tcBorders>
            <w:shd w:val="clear" w:color="auto" w:fill="E5F1F8"/>
          </w:tcPr>
          <w:p>
            <w:pPr>
              <w:spacing w:after="0"/>
              <w:rPr>
                <w:sz w:val="23"/>
                <w:szCs w:val="23"/>
                <w:color w:val="auto"/>
              </w:rPr>
            </w:pPr>
          </w:p>
        </w:tc>
        <w:tc>
          <w:tcPr>
            <w:tcW w:w="680" w:type="dxa"/>
            <w:vAlign w:val="bottom"/>
            <w:tcBorders>
              <w:right w:val="single" w:sz="8" w:color="007CBA"/>
            </w:tcBorders>
            <w:shd w:val="clear" w:color="auto" w:fill="E5F1F8"/>
          </w:tcPr>
          <w:p>
            <w:pPr>
              <w:jc w:val="right"/>
              <w:ind w:right="52"/>
              <w:spacing w:after="0"/>
              <w:rPr>
                <w:sz w:val="20"/>
                <w:szCs w:val="20"/>
                <w:color w:val="auto"/>
              </w:rPr>
            </w:pPr>
            <w:r>
              <w:rPr>
                <w:rFonts w:ascii="Arial" w:cs="Arial" w:eastAsia="Arial" w:hAnsi="Arial"/>
                <w:sz w:val="14"/>
                <w:szCs w:val="14"/>
                <w:color w:val="auto"/>
              </w:rPr>
              <w:t>2,455</w:t>
            </w: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472,023</w:t>
            </w:r>
          </w:p>
        </w:tc>
        <w:tc>
          <w:tcPr>
            <w:tcW w:w="0" w:type="dxa"/>
            <w:vAlign w:val="bottom"/>
          </w:tcPr>
          <w:p>
            <w:pPr>
              <w:spacing w:after="0"/>
              <w:rPr>
                <w:sz w:val="1"/>
                <w:szCs w:val="1"/>
                <w:color w:val="auto"/>
              </w:rPr>
            </w:pPr>
          </w:p>
        </w:tc>
      </w:tr>
      <w:tr>
        <w:trPr>
          <w:trHeight w:val="317"/>
        </w:trPr>
        <w:tc>
          <w:tcPr>
            <w:tcW w:w="430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Craig M. LaTorre</w:t>
            </w:r>
          </w:p>
        </w:tc>
        <w:tc>
          <w:tcPr>
            <w:tcW w:w="700" w:type="dxa"/>
            <w:vAlign w:val="bottom"/>
            <w:tcBorders>
              <w:right w:val="single" w:sz="8" w:color="007CBA"/>
            </w:tcBorders>
          </w:tcPr>
          <w:p>
            <w:pPr>
              <w:jc w:val="right"/>
              <w:ind w:right="10"/>
              <w:spacing w:after="0"/>
              <w:rPr>
                <w:sz w:val="20"/>
                <w:szCs w:val="20"/>
                <w:color w:val="auto"/>
              </w:rPr>
            </w:pPr>
            <w:r>
              <w:rPr>
                <w:rFonts w:ascii="Arial" w:cs="Arial" w:eastAsia="Arial" w:hAnsi="Arial"/>
                <w:sz w:val="14"/>
                <w:szCs w:val="14"/>
                <w:color w:val="auto"/>
              </w:rPr>
              <w:t>2/19/20</w:t>
            </w:r>
            <w:r>
              <w:rPr>
                <w:rFonts w:ascii="Arial" w:cs="Arial" w:eastAsia="Arial" w:hAnsi="Arial"/>
                <w:sz w:val="24"/>
                <w:szCs w:val="24"/>
                <w:color w:val="auto"/>
                <w:vertAlign w:val="superscript"/>
              </w:rPr>
              <w:t>1</w:t>
            </w:r>
          </w:p>
        </w:tc>
        <w:tc>
          <w:tcPr>
            <w:tcW w:w="700" w:type="dxa"/>
            <w:vAlign w:val="bottom"/>
          </w:tcPr>
          <w:p>
            <w:pPr>
              <w:spacing w:after="0"/>
              <w:rPr>
                <w:sz w:val="24"/>
                <w:szCs w:val="24"/>
                <w:color w:val="auto"/>
              </w:rPr>
            </w:pPr>
          </w:p>
        </w:tc>
        <w:tc>
          <w:tcPr>
            <w:tcW w:w="120" w:type="dxa"/>
            <w:vAlign w:val="bottom"/>
            <w:tcBorders>
              <w:right w:val="single" w:sz="8" w:color="007CBA"/>
            </w:tcBorders>
          </w:tcPr>
          <w:p>
            <w:pPr>
              <w:spacing w:after="0"/>
              <w:rPr>
                <w:sz w:val="24"/>
                <w:szCs w:val="24"/>
                <w:color w:val="auto"/>
              </w:rPr>
            </w:pPr>
          </w:p>
        </w:tc>
        <w:tc>
          <w:tcPr>
            <w:tcW w:w="720" w:type="dxa"/>
            <w:vAlign w:val="bottom"/>
            <w:tcBorders>
              <w:right w:val="single" w:sz="8" w:color="007CBA"/>
            </w:tcBorders>
          </w:tcPr>
          <w:p>
            <w:pPr>
              <w:jc w:val="center"/>
              <w:ind w:right="10"/>
              <w:spacing w:after="0"/>
              <w:rPr>
                <w:sz w:val="20"/>
                <w:szCs w:val="20"/>
                <w:color w:val="auto"/>
              </w:rPr>
            </w:pPr>
            <w:r>
              <w:rPr>
                <w:rFonts w:ascii="Arial" w:cs="Arial" w:eastAsia="Arial" w:hAnsi="Arial"/>
                <w:sz w:val="14"/>
                <w:szCs w:val="14"/>
                <w:color w:val="auto"/>
              </w:rPr>
              <w:t>255,500</w:t>
            </w:r>
          </w:p>
        </w:tc>
        <w:tc>
          <w:tcPr>
            <w:tcW w:w="20" w:type="dxa"/>
            <w:vAlign w:val="bottom"/>
          </w:tcPr>
          <w:p>
            <w:pPr>
              <w:spacing w:after="0"/>
              <w:rPr>
                <w:sz w:val="24"/>
                <w:szCs w:val="24"/>
                <w:color w:val="auto"/>
              </w:rPr>
            </w:pPr>
          </w:p>
        </w:tc>
        <w:tc>
          <w:tcPr>
            <w:tcW w:w="800" w:type="dxa"/>
            <w:vAlign w:val="bottom"/>
            <w:tcBorders>
              <w:right w:val="single" w:sz="8" w:color="007CBA"/>
            </w:tcBorders>
          </w:tcPr>
          <w:p>
            <w:pPr>
              <w:ind w:left="40"/>
              <w:spacing w:after="0"/>
              <w:rPr>
                <w:sz w:val="20"/>
                <w:szCs w:val="20"/>
                <w:color w:val="auto"/>
              </w:rPr>
            </w:pPr>
            <w:r>
              <w:rPr>
                <w:rFonts w:ascii="Arial" w:cs="Arial" w:eastAsia="Arial" w:hAnsi="Arial"/>
                <w:sz w:val="14"/>
                <w:szCs w:val="14"/>
                <w:color w:val="auto"/>
              </w:rPr>
              <w:t>6,000,000</w:t>
            </w:r>
          </w:p>
        </w:tc>
        <w:tc>
          <w:tcPr>
            <w:tcW w:w="720" w:type="dxa"/>
            <w:vAlign w:val="bottom"/>
            <w:tcBorders>
              <w:right w:val="single" w:sz="8" w:color="007CBA"/>
            </w:tcBorders>
          </w:tcPr>
          <w:p>
            <w:pPr>
              <w:spacing w:after="0"/>
              <w:rPr>
                <w:sz w:val="24"/>
                <w:szCs w:val="24"/>
                <w:color w:val="auto"/>
              </w:rPr>
            </w:pPr>
          </w:p>
        </w:tc>
        <w:tc>
          <w:tcPr>
            <w:tcW w:w="600" w:type="dxa"/>
            <w:vAlign w:val="bottom"/>
            <w:tcBorders>
              <w:right w:val="single" w:sz="8" w:color="007CBA"/>
            </w:tcBorders>
          </w:tcPr>
          <w:p>
            <w:pPr>
              <w:jc w:val="right"/>
              <w:ind w:right="70"/>
              <w:spacing w:after="0"/>
              <w:rPr>
                <w:sz w:val="20"/>
                <w:szCs w:val="20"/>
                <w:color w:val="auto"/>
              </w:rPr>
            </w:pPr>
            <w:r>
              <w:rPr>
                <w:rFonts w:ascii="Arial" w:cs="Arial" w:eastAsia="Arial" w:hAnsi="Arial"/>
                <w:sz w:val="14"/>
                <w:szCs w:val="14"/>
                <w:color w:val="auto"/>
              </w:rPr>
              <w:t>309</w:t>
            </w:r>
          </w:p>
        </w:tc>
        <w:tc>
          <w:tcPr>
            <w:tcW w:w="680" w:type="dxa"/>
            <w:vAlign w:val="bottom"/>
            <w:tcBorders>
              <w:right w:val="single" w:sz="8" w:color="007CBA"/>
            </w:tcBorders>
          </w:tcPr>
          <w:p>
            <w:pPr>
              <w:jc w:val="right"/>
              <w:ind w:right="50"/>
              <w:spacing w:after="0"/>
              <w:rPr>
                <w:sz w:val="20"/>
                <w:szCs w:val="20"/>
                <w:color w:val="auto"/>
              </w:rPr>
            </w:pPr>
            <w:r>
              <w:rPr>
                <w:rFonts w:ascii="Arial" w:cs="Arial" w:eastAsia="Arial" w:hAnsi="Arial"/>
                <w:sz w:val="14"/>
                <w:szCs w:val="14"/>
                <w:color w:val="auto"/>
              </w:rPr>
              <w:t>7,249</w:t>
            </w:r>
          </w:p>
        </w:tc>
        <w:tc>
          <w:tcPr>
            <w:tcW w:w="680" w:type="dxa"/>
            <w:vAlign w:val="bottom"/>
            <w:tcBorders>
              <w:right w:val="single" w:sz="8" w:color="007CBA"/>
            </w:tcBorders>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79,929</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tcPr>
          <w:p>
            <w:pPr>
              <w:spacing w:after="0"/>
              <w:rPr>
                <w:sz w:val="23"/>
                <w:szCs w:val="23"/>
                <w:color w:val="auto"/>
              </w:rPr>
            </w:pPr>
          </w:p>
        </w:tc>
        <w:tc>
          <w:tcPr>
            <w:tcW w:w="700" w:type="dxa"/>
            <w:vAlign w:val="bottom"/>
            <w:tcBorders>
              <w:right w:val="single" w:sz="8" w:color="007CBA"/>
            </w:tcBorders>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2</w:t>
            </w:r>
          </w:p>
        </w:tc>
        <w:tc>
          <w:tcPr>
            <w:tcW w:w="700" w:type="dxa"/>
            <w:vAlign w:val="bottom"/>
          </w:tcPr>
          <w:p>
            <w:pPr>
              <w:spacing w:after="0"/>
              <w:rPr>
                <w:sz w:val="23"/>
                <w:szCs w:val="23"/>
                <w:color w:val="auto"/>
              </w:rPr>
            </w:pPr>
          </w:p>
        </w:tc>
        <w:tc>
          <w:tcPr>
            <w:tcW w:w="120" w:type="dxa"/>
            <w:vAlign w:val="bottom"/>
            <w:tcBorders>
              <w:right w:val="single" w:sz="8" w:color="007CBA"/>
            </w:tcBorders>
          </w:tcPr>
          <w:p>
            <w:pPr>
              <w:spacing w:after="0"/>
              <w:rPr>
                <w:sz w:val="23"/>
                <w:szCs w:val="23"/>
                <w:color w:val="auto"/>
              </w:rPr>
            </w:pPr>
          </w:p>
        </w:tc>
        <w:tc>
          <w:tcPr>
            <w:tcW w:w="720" w:type="dxa"/>
            <w:vAlign w:val="bottom"/>
            <w:tcBorders>
              <w:right w:val="single" w:sz="8" w:color="007CBA"/>
            </w:tcBorders>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right w:val="single" w:sz="8" w:color="007CBA"/>
            </w:tcBorders>
          </w:tcPr>
          <w:p>
            <w:pPr>
              <w:spacing w:after="0"/>
              <w:rPr>
                <w:sz w:val="23"/>
                <w:szCs w:val="23"/>
                <w:color w:val="auto"/>
              </w:rPr>
            </w:pPr>
          </w:p>
        </w:tc>
        <w:tc>
          <w:tcPr>
            <w:tcW w:w="720" w:type="dxa"/>
            <w:vAlign w:val="bottom"/>
            <w:tcBorders>
              <w:right w:val="single" w:sz="8" w:color="007CBA"/>
            </w:tcBorders>
          </w:tcPr>
          <w:p>
            <w:pPr>
              <w:jc w:val="right"/>
              <w:ind w:right="91"/>
              <w:spacing w:after="0"/>
              <w:rPr>
                <w:sz w:val="20"/>
                <w:szCs w:val="20"/>
                <w:color w:val="auto"/>
              </w:rPr>
            </w:pPr>
            <w:r>
              <w:rPr>
                <w:rFonts w:ascii="Arial" w:cs="Arial" w:eastAsia="Arial" w:hAnsi="Arial"/>
                <w:sz w:val="14"/>
                <w:szCs w:val="14"/>
                <w:color w:val="auto"/>
              </w:rPr>
              <w:t>417</w:t>
            </w:r>
          </w:p>
        </w:tc>
        <w:tc>
          <w:tcPr>
            <w:tcW w:w="600" w:type="dxa"/>
            <w:vAlign w:val="bottom"/>
            <w:tcBorders>
              <w:right w:val="single" w:sz="8" w:color="007CBA"/>
            </w:tcBorders>
          </w:tcPr>
          <w:p>
            <w:pPr>
              <w:jc w:val="right"/>
              <w:ind w:right="70"/>
              <w:spacing w:after="0"/>
              <w:rPr>
                <w:sz w:val="20"/>
                <w:szCs w:val="20"/>
                <w:color w:val="auto"/>
              </w:rPr>
            </w:pPr>
            <w:r>
              <w:rPr>
                <w:rFonts w:ascii="Arial" w:cs="Arial" w:eastAsia="Arial" w:hAnsi="Arial"/>
                <w:sz w:val="14"/>
                <w:szCs w:val="14"/>
                <w:color w:val="auto"/>
              </w:rPr>
              <w:t>1,042</w:t>
            </w:r>
          </w:p>
        </w:tc>
        <w:tc>
          <w:tcPr>
            <w:tcW w:w="680" w:type="dxa"/>
            <w:vAlign w:val="bottom"/>
            <w:tcBorders>
              <w:right w:val="single" w:sz="8" w:color="007CBA"/>
            </w:tcBorders>
          </w:tcPr>
          <w:p>
            <w:pPr>
              <w:jc w:val="right"/>
              <w:ind w:right="50"/>
              <w:spacing w:after="0"/>
              <w:rPr>
                <w:sz w:val="20"/>
                <w:szCs w:val="20"/>
                <w:color w:val="auto"/>
              </w:rPr>
            </w:pPr>
            <w:r>
              <w:rPr>
                <w:rFonts w:ascii="Arial" w:cs="Arial" w:eastAsia="Arial" w:hAnsi="Arial"/>
                <w:sz w:val="14"/>
                <w:szCs w:val="14"/>
                <w:color w:val="auto"/>
              </w:rPr>
              <w:t>2,501</w:t>
            </w:r>
          </w:p>
        </w:tc>
        <w:tc>
          <w:tcPr>
            <w:tcW w:w="680" w:type="dxa"/>
            <w:vAlign w:val="bottom"/>
            <w:tcBorders>
              <w:right w:val="single" w:sz="8" w:color="007CBA"/>
            </w:tcBorders>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211,057</w:t>
            </w:r>
          </w:p>
        </w:tc>
        <w:tc>
          <w:tcPr>
            <w:tcW w:w="0" w:type="dxa"/>
            <w:vAlign w:val="bottom"/>
          </w:tcPr>
          <w:p>
            <w:pPr>
              <w:spacing w:after="0"/>
              <w:rPr>
                <w:sz w:val="1"/>
                <w:szCs w:val="1"/>
                <w:color w:val="auto"/>
              </w:rPr>
            </w:pPr>
          </w:p>
        </w:tc>
      </w:tr>
      <w:tr>
        <w:trPr>
          <w:trHeight w:val="216"/>
        </w:trPr>
        <w:tc>
          <w:tcPr>
            <w:tcW w:w="4300" w:type="dxa"/>
            <w:vAlign w:val="bottom"/>
            <w:tcBorders>
              <w:right w:val="single" w:sz="8" w:color="007CBA"/>
            </w:tcBorders>
          </w:tcPr>
          <w:p>
            <w:pPr>
              <w:spacing w:after="0"/>
              <w:rPr>
                <w:sz w:val="18"/>
                <w:szCs w:val="18"/>
                <w:color w:val="auto"/>
              </w:rPr>
            </w:pPr>
          </w:p>
        </w:tc>
        <w:tc>
          <w:tcPr>
            <w:tcW w:w="700" w:type="dxa"/>
            <w:vAlign w:val="bottom"/>
            <w:tcBorders>
              <w:right w:val="single" w:sz="8" w:color="007CBA"/>
            </w:tcBorders>
          </w:tcPr>
          <w:p>
            <w:pPr>
              <w:jc w:val="right"/>
              <w:ind w:right="10"/>
              <w:spacing w:after="0" w:line="21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3</w:t>
            </w:r>
          </w:p>
        </w:tc>
        <w:tc>
          <w:tcPr>
            <w:tcW w:w="700" w:type="dxa"/>
            <w:vAlign w:val="bottom"/>
          </w:tcPr>
          <w:p>
            <w:pPr>
              <w:spacing w:after="0"/>
              <w:rPr>
                <w:sz w:val="18"/>
                <w:szCs w:val="18"/>
                <w:color w:val="auto"/>
              </w:rPr>
            </w:pPr>
          </w:p>
        </w:tc>
        <w:tc>
          <w:tcPr>
            <w:tcW w:w="120" w:type="dxa"/>
            <w:vAlign w:val="bottom"/>
            <w:tcBorders>
              <w:right w:val="single" w:sz="8" w:color="007CBA"/>
            </w:tcBorders>
          </w:tcPr>
          <w:p>
            <w:pPr>
              <w:spacing w:after="0"/>
              <w:rPr>
                <w:sz w:val="18"/>
                <w:szCs w:val="18"/>
                <w:color w:val="auto"/>
              </w:rPr>
            </w:pPr>
          </w:p>
        </w:tc>
        <w:tc>
          <w:tcPr>
            <w:tcW w:w="720" w:type="dxa"/>
            <w:vAlign w:val="bottom"/>
            <w:tcBorders>
              <w:right w:val="single" w:sz="8" w:color="007CBA"/>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720" w:type="dxa"/>
            <w:vAlign w:val="bottom"/>
            <w:tcBorders>
              <w:right w:val="single" w:sz="8" w:color="007CBA"/>
            </w:tcBorders>
          </w:tcPr>
          <w:p>
            <w:pPr>
              <w:spacing w:after="0"/>
              <w:rPr>
                <w:sz w:val="18"/>
                <w:szCs w:val="18"/>
                <w:color w:val="auto"/>
              </w:rPr>
            </w:pPr>
          </w:p>
        </w:tc>
        <w:tc>
          <w:tcPr>
            <w:tcW w:w="600" w:type="dxa"/>
            <w:vAlign w:val="bottom"/>
            <w:tcBorders>
              <w:right w:val="single" w:sz="8" w:color="007CBA"/>
            </w:tcBorders>
          </w:tcPr>
          <w:p>
            <w:pPr>
              <w:spacing w:after="0"/>
              <w:rPr>
                <w:sz w:val="18"/>
                <w:szCs w:val="18"/>
                <w:color w:val="auto"/>
              </w:rPr>
            </w:pPr>
          </w:p>
        </w:tc>
        <w:tc>
          <w:tcPr>
            <w:tcW w:w="680" w:type="dxa"/>
            <w:vAlign w:val="bottom"/>
            <w:tcBorders>
              <w:right w:val="single" w:sz="8" w:color="007CBA"/>
            </w:tcBorders>
          </w:tcPr>
          <w:p>
            <w:pPr>
              <w:spacing w:after="0"/>
              <w:rPr>
                <w:sz w:val="18"/>
                <w:szCs w:val="18"/>
                <w:color w:val="auto"/>
              </w:rPr>
            </w:pPr>
          </w:p>
        </w:tc>
        <w:tc>
          <w:tcPr>
            <w:tcW w:w="680" w:type="dxa"/>
            <w:vAlign w:val="bottom"/>
            <w:tcBorders>
              <w:right w:val="single" w:sz="8" w:color="007CBA"/>
            </w:tcBorders>
          </w:tcPr>
          <w:p>
            <w:pPr>
              <w:jc w:val="right"/>
              <w:ind w:right="52"/>
              <w:spacing w:after="0"/>
              <w:rPr>
                <w:sz w:val="20"/>
                <w:szCs w:val="20"/>
                <w:color w:val="auto"/>
              </w:rPr>
            </w:pPr>
            <w:r>
              <w:rPr>
                <w:rFonts w:ascii="Arial" w:cs="Arial" w:eastAsia="Arial" w:hAnsi="Arial"/>
                <w:sz w:val="14"/>
                <w:szCs w:val="14"/>
                <w:color w:val="auto"/>
              </w:rPr>
              <w:t>2,188</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420,687</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2/19/20</w:t>
            </w:r>
            <w:r>
              <w:rPr>
                <w:rFonts w:ascii="Arial" w:cs="Arial" w:eastAsia="Arial" w:hAnsi="Arial"/>
                <w:sz w:val="24"/>
                <w:szCs w:val="24"/>
                <w:color w:val="auto"/>
                <w:vertAlign w:val="superscript"/>
              </w:rPr>
              <w:t>1</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jc w:val="center"/>
              <w:ind w:right="10"/>
              <w:spacing w:after="0"/>
              <w:rPr>
                <w:sz w:val="20"/>
                <w:szCs w:val="20"/>
                <w:color w:val="auto"/>
              </w:rPr>
            </w:pPr>
            <w:r>
              <w:rPr>
                <w:rFonts w:ascii="Arial" w:cs="Arial" w:eastAsia="Arial" w:hAnsi="Arial"/>
                <w:sz w:val="14"/>
                <w:szCs w:val="14"/>
                <w:color w:val="auto"/>
              </w:rPr>
              <w:t>220,874</w:t>
            </w: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4"/>
                <w:szCs w:val="14"/>
                <w:color w:val="auto"/>
              </w:rPr>
              <w:t>6,000,000</w:t>
            </w:r>
          </w:p>
        </w:tc>
        <w:tc>
          <w:tcPr>
            <w:tcW w:w="720" w:type="dxa"/>
            <w:vAlign w:val="bottom"/>
            <w:tcBorders>
              <w:right w:val="single" w:sz="8" w:color="007CBA"/>
            </w:tcBorders>
            <w:shd w:val="clear" w:color="auto" w:fill="E5F1F8"/>
          </w:tcPr>
          <w:p>
            <w:pPr>
              <w:spacing w:after="0"/>
              <w:rPr>
                <w:sz w:val="23"/>
                <w:szCs w:val="23"/>
                <w:color w:val="auto"/>
              </w:rPr>
            </w:pPr>
          </w:p>
        </w:tc>
        <w:tc>
          <w:tcPr>
            <w:tcW w:w="6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4"/>
                <w:szCs w:val="14"/>
                <w:color w:val="auto"/>
              </w:rPr>
              <w:t>267</w:t>
            </w:r>
          </w:p>
        </w:tc>
        <w:tc>
          <w:tcPr>
            <w:tcW w:w="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7,249</w:t>
            </w:r>
          </w:p>
        </w:tc>
        <w:tc>
          <w:tcPr>
            <w:tcW w:w="680" w:type="dxa"/>
            <w:vAlign w:val="bottom"/>
            <w:tcBorders>
              <w:right w:val="single" w:sz="8" w:color="007CBA"/>
            </w:tcBorders>
            <w:shd w:val="clear" w:color="auto" w:fill="E5F1F8"/>
          </w:tcPr>
          <w:p>
            <w:pPr>
              <w:spacing w:after="0"/>
              <w:rPr>
                <w:sz w:val="23"/>
                <w:szCs w:val="23"/>
                <w:color w:val="auto"/>
              </w:rPr>
            </w:pP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69,065</w:t>
            </w:r>
          </w:p>
        </w:tc>
        <w:tc>
          <w:tcPr>
            <w:tcW w:w="0" w:type="dxa"/>
            <w:vAlign w:val="bottom"/>
          </w:tcPr>
          <w:p>
            <w:pPr>
              <w:spacing w:after="0"/>
              <w:rPr>
                <w:sz w:val="1"/>
                <w:szCs w:val="1"/>
                <w:color w:val="auto"/>
              </w:rPr>
            </w:pPr>
          </w:p>
        </w:tc>
      </w:tr>
      <w:tr>
        <w:trPr>
          <w:trHeight w:val="267"/>
        </w:trPr>
        <w:tc>
          <w:tcPr>
            <w:tcW w:w="4300" w:type="dxa"/>
            <w:vAlign w:val="bottom"/>
            <w:tcBorders>
              <w:right w:val="single" w:sz="8" w:color="007CBA"/>
            </w:tcBorders>
            <w:shd w:val="clear" w:color="auto" w:fill="E5F1F8"/>
          </w:tcPr>
          <w:p>
            <w:pPr>
              <w:spacing w:after="0"/>
              <w:rPr>
                <w:sz w:val="23"/>
                <w:szCs w:val="23"/>
                <w:color w:val="auto"/>
              </w:rPr>
            </w:pPr>
          </w:p>
        </w:tc>
        <w:tc>
          <w:tcPr>
            <w:tcW w:w="700" w:type="dxa"/>
            <w:vAlign w:val="bottom"/>
            <w:tcBorders>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2</w:t>
            </w:r>
          </w:p>
        </w:tc>
        <w:tc>
          <w:tcPr>
            <w:tcW w:w="700" w:type="dxa"/>
            <w:vAlign w:val="bottom"/>
            <w:shd w:val="clear" w:color="auto" w:fill="E5F1F8"/>
          </w:tcPr>
          <w:p>
            <w:pPr>
              <w:spacing w:after="0"/>
              <w:rPr>
                <w:sz w:val="23"/>
                <w:szCs w:val="23"/>
                <w:color w:val="auto"/>
              </w:rPr>
            </w:pPr>
          </w:p>
        </w:tc>
        <w:tc>
          <w:tcPr>
            <w:tcW w:w="12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spacing w:after="0"/>
              <w:rPr>
                <w:sz w:val="23"/>
                <w:szCs w:val="23"/>
                <w:color w:val="auto"/>
              </w:rPr>
            </w:pPr>
          </w:p>
        </w:tc>
        <w:tc>
          <w:tcPr>
            <w:tcW w:w="20" w:type="dxa"/>
            <w:vAlign w:val="bottom"/>
            <w:shd w:val="clear" w:color="auto" w:fill="E5F1F8"/>
          </w:tcPr>
          <w:p>
            <w:pPr>
              <w:spacing w:after="0"/>
              <w:rPr>
                <w:sz w:val="23"/>
                <w:szCs w:val="23"/>
                <w:color w:val="auto"/>
              </w:rPr>
            </w:pPr>
          </w:p>
        </w:tc>
        <w:tc>
          <w:tcPr>
            <w:tcW w:w="800" w:type="dxa"/>
            <w:vAlign w:val="bottom"/>
            <w:tcBorders>
              <w:right w:val="single" w:sz="8" w:color="007CBA"/>
            </w:tcBorders>
            <w:shd w:val="clear" w:color="auto" w:fill="E5F1F8"/>
          </w:tcPr>
          <w:p>
            <w:pPr>
              <w:spacing w:after="0"/>
              <w:rPr>
                <w:sz w:val="23"/>
                <w:szCs w:val="23"/>
                <w:color w:val="auto"/>
              </w:rPr>
            </w:pPr>
          </w:p>
        </w:tc>
        <w:tc>
          <w:tcPr>
            <w:tcW w:w="720" w:type="dxa"/>
            <w:vAlign w:val="bottom"/>
            <w:tcBorders>
              <w:right w:val="single" w:sz="8" w:color="007CBA"/>
            </w:tcBorders>
            <w:shd w:val="clear" w:color="auto" w:fill="E5F1F8"/>
          </w:tcPr>
          <w:p>
            <w:pPr>
              <w:jc w:val="right"/>
              <w:ind w:right="91"/>
              <w:spacing w:after="0"/>
              <w:rPr>
                <w:sz w:val="20"/>
                <w:szCs w:val="20"/>
                <w:color w:val="auto"/>
              </w:rPr>
            </w:pPr>
            <w:r>
              <w:rPr>
                <w:rFonts w:ascii="Arial" w:cs="Arial" w:eastAsia="Arial" w:hAnsi="Arial"/>
                <w:sz w:val="14"/>
                <w:szCs w:val="14"/>
                <w:color w:val="auto"/>
              </w:rPr>
              <w:t>591</w:t>
            </w:r>
          </w:p>
        </w:tc>
        <w:tc>
          <w:tcPr>
            <w:tcW w:w="6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4"/>
                <w:szCs w:val="14"/>
                <w:color w:val="auto"/>
              </w:rPr>
              <w:t>1,477</w:t>
            </w:r>
          </w:p>
        </w:tc>
        <w:tc>
          <w:tcPr>
            <w:tcW w:w="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3,545</w:t>
            </w:r>
          </w:p>
        </w:tc>
        <w:tc>
          <w:tcPr>
            <w:tcW w:w="680" w:type="dxa"/>
            <w:vAlign w:val="bottom"/>
            <w:tcBorders>
              <w:right w:val="single" w:sz="8" w:color="007CBA"/>
            </w:tcBorders>
            <w:shd w:val="clear" w:color="auto" w:fill="E5F1F8"/>
          </w:tcPr>
          <w:p>
            <w:pPr>
              <w:spacing w:after="0"/>
              <w:rPr>
                <w:sz w:val="23"/>
                <w:szCs w:val="23"/>
                <w:color w:val="auto"/>
              </w:rPr>
            </w:pPr>
          </w:p>
        </w:tc>
        <w:tc>
          <w:tcPr>
            <w:tcW w:w="82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299,166</w:t>
            </w:r>
          </w:p>
        </w:tc>
        <w:tc>
          <w:tcPr>
            <w:tcW w:w="0" w:type="dxa"/>
            <w:vAlign w:val="bottom"/>
          </w:tcPr>
          <w:p>
            <w:pPr>
              <w:spacing w:after="0"/>
              <w:rPr>
                <w:sz w:val="1"/>
                <w:szCs w:val="1"/>
                <w:color w:val="auto"/>
              </w:rPr>
            </w:pPr>
          </w:p>
        </w:tc>
      </w:tr>
      <w:tr>
        <w:trPr>
          <w:trHeight w:val="267"/>
        </w:trPr>
        <w:tc>
          <w:tcPr>
            <w:tcW w:w="4300" w:type="dxa"/>
            <w:vAlign w:val="bottom"/>
            <w:tcBorders>
              <w:bottom w:val="single" w:sz="8" w:color="007CBA"/>
              <w:right w:val="single" w:sz="8" w:color="007CBA"/>
            </w:tcBorders>
            <w:shd w:val="clear" w:color="auto" w:fill="E5F1F8"/>
          </w:tcPr>
          <w:p>
            <w:pPr>
              <w:spacing w:after="0"/>
              <w:rPr>
                <w:sz w:val="23"/>
                <w:szCs w:val="23"/>
                <w:color w:val="auto"/>
              </w:rPr>
            </w:pPr>
          </w:p>
        </w:tc>
        <w:tc>
          <w:tcPr>
            <w:tcW w:w="700" w:type="dxa"/>
            <w:vAlign w:val="bottom"/>
            <w:tcBorders>
              <w:bottom w:val="single" w:sz="8" w:color="007CBA"/>
              <w:right w:val="single" w:sz="8" w:color="007CBA"/>
            </w:tcBorders>
            <w:shd w:val="clear" w:color="auto" w:fill="E5F1F8"/>
          </w:tcPr>
          <w:p>
            <w:pPr>
              <w:jc w:val="right"/>
              <w:ind w:right="10"/>
              <w:spacing w:after="0" w:line="266"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3</w:t>
            </w:r>
          </w:p>
        </w:tc>
        <w:tc>
          <w:tcPr>
            <w:tcW w:w="700" w:type="dxa"/>
            <w:vAlign w:val="bottom"/>
            <w:tcBorders>
              <w:bottom w:val="single" w:sz="8" w:color="007CBA"/>
            </w:tcBorders>
            <w:shd w:val="clear" w:color="auto" w:fill="E5F1F8"/>
          </w:tcPr>
          <w:p>
            <w:pPr>
              <w:spacing w:after="0"/>
              <w:rPr>
                <w:sz w:val="23"/>
                <w:szCs w:val="23"/>
                <w:color w:val="auto"/>
              </w:rPr>
            </w:pPr>
          </w:p>
        </w:tc>
        <w:tc>
          <w:tcPr>
            <w:tcW w:w="120" w:type="dxa"/>
            <w:vAlign w:val="bottom"/>
            <w:tcBorders>
              <w:bottom w:val="single" w:sz="8" w:color="007CBA"/>
              <w:right w:val="single" w:sz="8" w:color="007CBA"/>
            </w:tcBorders>
            <w:shd w:val="clear" w:color="auto" w:fill="E5F1F8"/>
          </w:tcPr>
          <w:p>
            <w:pPr>
              <w:spacing w:after="0"/>
              <w:rPr>
                <w:sz w:val="23"/>
                <w:szCs w:val="23"/>
                <w:color w:val="auto"/>
              </w:rPr>
            </w:pPr>
          </w:p>
        </w:tc>
        <w:tc>
          <w:tcPr>
            <w:tcW w:w="720" w:type="dxa"/>
            <w:vAlign w:val="bottom"/>
            <w:tcBorders>
              <w:bottom w:val="single" w:sz="8" w:color="007CBA"/>
              <w:right w:val="single" w:sz="8" w:color="007CBA"/>
            </w:tcBorders>
            <w:shd w:val="clear" w:color="auto" w:fill="E5F1F8"/>
          </w:tcPr>
          <w:p>
            <w:pPr>
              <w:spacing w:after="0"/>
              <w:rPr>
                <w:sz w:val="23"/>
                <w:szCs w:val="23"/>
                <w:color w:val="auto"/>
              </w:rPr>
            </w:pPr>
          </w:p>
        </w:tc>
        <w:tc>
          <w:tcPr>
            <w:tcW w:w="20" w:type="dxa"/>
            <w:vAlign w:val="bottom"/>
            <w:tcBorders>
              <w:bottom w:val="single" w:sz="8" w:color="007CBA"/>
            </w:tcBorders>
            <w:shd w:val="clear" w:color="auto" w:fill="E5F1F8"/>
          </w:tcPr>
          <w:p>
            <w:pPr>
              <w:spacing w:after="0"/>
              <w:rPr>
                <w:sz w:val="23"/>
                <w:szCs w:val="23"/>
                <w:color w:val="auto"/>
              </w:rPr>
            </w:pPr>
          </w:p>
        </w:tc>
        <w:tc>
          <w:tcPr>
            <w:tcW w:w="800" w:type="dxa"/>
            <w:vAlign w:val="bottom"/>
            <w:tcBorders>
              <w:bottom w:val="single" w:sz="8" w:color="007CBA"/>
              <w:right w:val="single" w:sz="8" w:color="007CBA"/>
            </w:tcBorders>
            <w:shd w:val="clear" w:color="auto" w:fill="E5F1F8"/>
          </w:tcPr>
          <w:p>
            <w:pPr>
              <w:spacing w:after="0"/>
              <w:rPr>
                <w:sz w:val="23"/>
                <w:szCs w:val="23"/>
                <w:color w:val="auto"/>
              </w:rPr>
            </w:pPr>
          </w:p>
        </w:tc>
        <w:tc>
          <w:tcPr>
            <w:tcW w:w="720" w:type="dxa"/>
            <w:vAlign w:val="bottom"/>
            <w:tcBorders>
              <w:bottom w:val="single" w:sz="8" w:color="007CBA"/>
              <w:right w:val="single" w:sz="8" w:color="007CBA"/>
            </w:tcBorders>
            <w:shd w:val="clear" w:color="auto" w:fill="E5F1F8"/>
          </w:tcPr>
          <w:p>
            <w:pPr>
              <w:spacing w:after="0"/>
              <w:rPr>
                <w:sz w:val="23"/>
                <w:szCs w:val="23"/>
                <w:color w:val="auto"/>
              </w:rPr>
            </w:pPr>
          </w:p>
        </w:tc>
        <w:tc>
          <w:tcPr>
            <w:tcW w:w="600" w:type="dxa"/>
            <w:vAlign w:val="bottom"/>
            <w:tcBorders>
              <w:bottom w:val="single" w:sz="8" w:color="007CBA"/>
              <w:right w:val="single" w:sz="8" w:color="007CBA"/>
            </w:tcBorders>
            <w:shd w:val="clear" w:color="auto" w:fill="E5F1F8"/>
          </w:tcPr>
          <w:p>
            <w:pPr>
              <w:spacing w:after="0"/>
              <w:rPr>
                <w:sz w:val="23"/>
                <w:szCs w:val="23"/>
                <w:color w:val="auto"/>
              </w:rPr>
            </w:pPr>
          </w:p>
        </w:tc>
        <w:tc>
          <w:tcPr>
            <w:tcW w:w="680" w:type="dxa"/>
            <w:vAlign w:val="bottom"/>
            <w:tcBorders>
              <w:bottom w:val="single" w:sz="8" w:color="007CBA"/>
              <w:right w:val="single" w:sz="8" w:color="007CBA"/>
            </w:tcBorders>
            <w:shd w:val="clear" w:color="auto" w:fill="E5F1F8"/>
          </w:tcPr>
          <w:p>
            <w:pPr>
              <w:spacing w:after="0"/>
              <w:rPr>
                <w:sz w:val="23"/>
                <w:szCs w:val="23"/>
                <w:color w:val="auto"/>
              </w:rPr>
            </w:pPr>
          </w:p>
        </w:tc>
        <w:tc>
          <w:tcPr>
            <w:tcW w:w="680" w:type="dxa"/>
            <w:vAlign w:val="bottom"/>
            <w:tcBorders>
              <w:bottom w:val="single" w:sz="8" w:color="007CBA"/>
              <w:right w:val="single" w:sz="8" w:color="007CBA"/>
            </w:tcBorders>
            <w:shd w:val="clear" w:color="auto" w:fill="E5F1F8"/>
          </w:tcPr>
          <w:p>
            <w:pPr>
              <w:jc w:val="right"/>
              <w:ind w:right="52"/>
              <w:spacing w:after="0"/>
              <w:rPr>
                <w:sz w:val="20"/>
                <w:szCs w:val="20"/>
                <w:color w:val="auto"/>
              </w:rPr>
            </w:pPr>
            <w:r>
              <w:rPr>
                <w:rFonts w:ascii="Arial" w:cs="Arial" w:eastAsia="Arial" w:hAnsi="Arial"/>
                <w:sz w:val="14"/>
                <w:szCs w:val="14"/>
                <w:color w:val="auto"/>
              </w:rPr>
              <w:t>1,269</w:t>
            </w:r>
          </w:p>
        </w:tc>
        <w:tc>
          <w:tcPr>
            <w:tcW w:w="820" w:type="dxa"/>
            <w:vAlign w:val="bottom"/>
            <w:tcBorders>
              <w:bottom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243,991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-2876550</wp:posOffset>
            </wp:positionV>
            <wp:extent cx="27419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spacing w:after="0" w:line="65" w:lineRule="exact"/>
        <w:rPr>
          <w:sz w:val="20"/>
          <w:szCs w:val="20"/>
          <w:color w:val="auto"/>
        </w:rPr>
      </w:pPr>
    </w:p>
    <w:p>
      <w:pPr>
        <w:jc w:val="both"/>
        <w:ind w:left="400" w:hanging="213"/>
        <w:spacing w:after="0" w:line="218" w:lineRule="auto"/>
        <w:tabs>
          <w:tab w:leader="none" w:pos="400" w:val="left"/>
        </w:tabs>
        <w:numPr>
          <w:ilvl w:val="0"/>
          <w:numId w:val="142"/>
        </w:numPr>
        <w:rPr>
          <w:rFonts w:ascii="Arial" w:cs="Arial" w:eastAsia="Arial" w:hAnsi="Arial"/>
          <w:sz w:val="24"/>
          <w:szCs w:val="24"/>
          <w:color w:val="auto"/>
          <w:vertAlign w:val="superscript"/>
        </w:rPr>
      </w:pPr>
      <w:r>
        <w:rPr>
          <w:rFonts w:ascii="Arial" w:cs="Arial" w:eastAsia="Arial" w:hAnsi="Arial"/>
          <w:sz w:val="14"/>
          <w:szCs w:val="14"/>
          <w:color w:val="auto"/>
        </w:rPr>
        <w:t>The amounts shown in this row reflect the annual bonus that could have been earned in 2019, payable in 2020, pursuant to the Executive Cash Incentive Plan. For each named executive officer, the amounts shown in columns (d) and (e) reflect the portion of the annual bonus that would have been paid in cash if, respectively, target and maximum performance was achieved for the year (i.e., after reduction for the total portion that would be deferred pursuant to the Incentive Stock Plan pursuant to both mandatory and voluntary deferrals). The amounts shown in columns (g) and (h) reflect the portion of the annual bonus that would have been deferred pursuant to the Incentive Stock Plan if, respectively, target and maximum performance was achieved for the year, inclusive of the 20% discount. Participants in the Incentive Stock Plan for 2019 were approved on May 9, 2019. These awards are discussed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on page 48. The actual amounts paid are reflected in the Summary Compensation Table on page 57.</w:t>
      </w:r>
    </w:p>
    <w:p>
      <w:pPr>
        <w:spacing w:after="0" w:line="71" w:lineRule="exact"/>
        <w:rPr>
          <w:sz w:val="20"/>
          <w:szCs w:val="20"/>
          <w:color w:val="auto"/>
        </w:rPr>
      </w:pPr>
    </w:p>
    <w:p>
      <w:pPr>
        <w:ind w:left="400" w:hanging="213"/>
        <w:spacing w:after="0" w:line="181" w:lineRule="auto"/>
        <w:tabs>
          <w:tab w:leader="none" w:pos="400" w:val="left"/>
        </w:tabs>
        <w:numPr>
          <w:ilvl w:val="0"/>
          <w:numId w:val="143"/>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2019-2021. These awards are discussed under the heading “</w:t>
      </w:r>
      <w:r>
        <w:rPr>
          <w:rFonts w:ascii="Arial" w:cs="Arial" w:eastAsia="Arial" w:hAnsi="Arial"/>
          <w:sz w:val="14"/>
          <w:szCs w:val="14"/>
          <w:i w:val="1"/>
          <w:iCs w:val="1"/>
          <w:color w:val="auto"/>
        </w:rPr>
        <w:t>2019 Long-Term Incentive Compensation</w:t>
      </w:r>
      <w:r>
        <w:rPr>
          <w:rFonts w:ascii="Arial" w:cs="Arial" w:eastAsia="Arial" w:hAnsi="Arial"/>
          <w:sz w:val="14"/>
          <w:szCs w:val="14"/>
          <w:color w:val="auto"/>
        </w:rPr>
        <w:t>” on pages 48 to 50.</w:t>
      </w:r>
    </w:p>
    <w:p>
      <w:pPr>
        <w:spacing w:after="0" w:line="70" w:lineRule="exact"/>
        <w:rPr>
          <w:sz w:val="20"/>
          <w:szCs w:val="20"/>
          <w:color w:val="auto"/>
        </w:rPr>
      </w:pPr>
    </w:p>
    <w:p>
      <w:pPr>
        <w:jc w:val="both"/>
        <w:ind w:left="400" w:hanging="213"/>
        <w:spacing w:after="0" w:line="196" w:lineRule="auto"/>
        <w:tabs>
          <w:tab w:leader="none" w:pos="400" w:val="left"/>
        </w:tabs>
        <w:numPr>
          <w:ilvl w:val="0"/>
          <w:numId w:val="144"/>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(i) reflect the number of RSUs granted in 2019 to each of the named executive officers pursuant to the Stock Plan. These awards are discussed under the heading “</w:t>
      </w:r>
      <w:r>
        <w:rPr>
          <w:rFonts w:ascii="Arial" w:cs="Arial" w:eastAsia="Arial" w:hAnsi="Arial"/>
          <w:sz w:val="14"/>
          <w:szCs w:val="14"/>
          <w:i w:val="1"/>
          <w:iCs w:val="1"/>
          <w:color w:val="auto"/>
        </w:rPr>
        <w:t>2019 Long-Term Incentive Compensation”</w:t>
      </w:r>
      <w:r>
        <w:rPr>
          <w:rFonts w:ascii="Arial" w:cs="Arial" w:eastAsia="Arial" w:hAnsi="Arial"/>
          <w:sz w:val="14"/>
          <w:szCs w:val="14"/>
          <w:color w:val="auto"/>
        </w:rPr>
        <w:t xml:space="preserve"> on pages 48 to 50. These awards are also included in column (e) of the Summary Compensation Table on page 57.</w:t>
      </w:r>
    </w:p>
    <w:p>
      <w:pPr>
        <w:spacing w:after="0" w:line="71" w:lineRule="exact"/>
        <w:rPr>
          <w:sz w:val="20"/>
          <w:szCs w:val="20"/>
          <w:color w:val="auto"/>
        </w:rPr>
      </w:pPr>
    </w:p>
    <w:p>
      <w:pPr>
        <w:ind w:left="400" w:hanging="213"/>
        <w:spacing w:after="0" w:line="181" w:lineRule="auto"/>
        <w:tabs>
          <w:tab w:leader="none" w:pos="40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(l) reflect the grant date fair value of each equity award computed in accordance with FASB ASC Topic 718. No options to purchase shares of Martin Marietta’s common stock were granted in 2019.</w:t>
      </w:r>
    </w:p>
    <w:p>
      <w:pPr>
        <w:sectPr>
          <w:pgSz w:w="11900" w:h="16838" w:orient="portrait"/>
          <w:cols w:equalWidth="0" w:num="1">
            <w:col w:w="11060"/>
          </w:cols>
          <w:pgMar w:left="320" w:top="455" w:right="519" w:bottom="1440" w:gutter="0" w:footer="0" w:header="0"/>
        </w:sectPr>
      </w:pPr>
    </w:p>
    <w:p>
      <w:pPr>
        <w:spacing w:after="0" w:line="254" w:lineRule="exact"/>
        <w:rPr>
          <w:sz w:val="20"/>
          <w:szCs w:val="20"/>
          <w:color w:val="auto"/>
        </w:rPr>
      </w:pPr>
    </w:p>
    <w:p>
      <w:pPr>
        <w:jc w:val="both"/>
        <w:ind w:left="200"/>
        <w:spacing w:after="0" w:line="265" w:lineRule="auto"/>
        <w:rPr>
          <w:sz w:val="20"/>
          <w:szCs w:val="20"/>
          <w:color w:val="auto"/>
        </w:rPr>
      </w:pPr>
      <w:r>
        <w:rPr>
          <w:rFonts w:ascii="Arial" w:cs="Arial" w:eastAsia="Arial" w:hAnsi="Arial"/>
          <w:sz w:val="15"/>
          <w:szCs w:val="15"/>
          <w:color w:val="auto"/>
        </w:rPr>
        <w:t>Stock-based incentive awards have been a significant component of Martin Marietta’s management compensation. In 1998, the Board of Directors adopted and Martin Marietta’s shareholders approved the Stock Plan. In 2016, the Board of Directors and the shareholders approved amendments to the plan increasing the number of shares of Martin Marietta’s common stock available for equity awards. They also approved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amendments to the plan designed to more directly tie long-term compensation incentives to Martin Marietta’s performance and enhance flexibility in structuring long-term incentive compensation packages by providing a mix of different types of long-term stock-based incentives. In addition, dividend equivalents that would have been paid in cash during the vesting period will be paid only if and when an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180340</wp:posOffset>
            </wp:positionV>
            <wp:extent cx="406400" cy="2451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88"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59</w:t>
            </w:r>
          </w:p>
        </w:tc>
      </w:tr>
    </w:tbl>
    <w:p>
      <w:pPr>
        <w:sectPr>
          <w:pgSz w:w="11900" w:h="16838" w:orient="portrait"/>
          <w:cols w:equalWidth="0" w:num="1">
            <w:col w:w="11060"/>
          </w:cols>
          <w:pgMar w:left="320" w:top="455" w:right="5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Grants of Plan-Based Awards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As amended, the Stock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Since 2016, Martin Marietta’s long-term compensation program consists of a mix of RSUs and PSUs for senior level employees and other select employees.</w:t>
      </w:r>
    </w:p>
    <w:p>
      <w:pPr>
        <w:spacing w:after="0" w:line="178"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 xml:space="preserve">Vesting of the awards granted in 2019 is based on the achievement by Martin Marietta of performance measures described under </w:t>
      </w:r>
      <w:r>
        <w:rPr>
          <w:rFonts w:ascii="Arial" w:cs="Arial" w:eastAsia="Arial" w:hAnsi="Arial"/>
          <w:sz w:val="16"/>
          <w:szCs w:val="16"/>
          <w:i w:val="1"/>
          <w:iCs w:val="1"/>
          <w:color w:val="auto"/>
        </w:rPr>
        <w:t xml:space="preserve">“2019 Long-Term Incentive Compensation” </w:t>
      </w:r>
      <w:r>
        <w:rPr>
          <w:rFonts w:ascii="Arial" w:cs="Arial" w:eastAsia="Arial" w:hAnsi="Arial"/>
          <w:sz w:val="16"/>
          <w:szCs w:val="16"/>
          <w:color w:val="auto"/>
        </w:rPr>
        <w:t>on pages 48 to 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 maximum of 5,800,000 shares of Martin Marietta’s common stock are authorized under the plan for grants to key employees. Each award under the plan is evidenced by an award agreement setting forth the number and type of stock-based incentives subject to the award and such other terms and conditions applicable to the award as determined by the Committee. No employee may receive annual grants for more than 300,000 shares of common stock with respect to (i) full-value awards or (ii) stock options or stock appreciation rights.</w:t>
      </w:r>
    </w:p>
    <w:p>
      <w:pPr>
        <w:spacing w:after="0" w:line="762"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3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Outstanding Equity Awards at Fiscal Year-End</w:t>
      </w:r>
    </w:p>
    <w:p>
      <w:pPr>
        <w:spacing w:after="0" w:line="143"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table below shows for each of the named executive officers information with respect to the unexercised stock options (columns (b), (c), (e), and (f)), stock unit awards (columns (g) and (h)) that have not vested, and equity incentive plan awards (columns (i) and (j)) outstanding on December 31, 2019.</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360"/>
        </w:trPr>
        <w:tc>
          <w:tcPr>
            <w:tcW w:w="3240" w:type="dxa"/>
            <w:vAlign w:val="bottom"/>
            <w:tcBorders>
              <w:right w:val="single" w:sz="8" w:color="007CBA"/>
            </w:tcBorders>
            <w:shd w:val="clear" w:color="auto" w:fill="007CBA"/>
          </w:tcPr>
          <w:p>
            <w:pPr>
              <w:spacing w:after="0"/>
              <w:rPr>
                <w:sz w:val="24"/>
                <w:szCs w:val="24"/>
                <w:color w:val="auto"/>
              </w:rPr>
            </w:pPr>
          </w:p>
        </w:tc>
        <w:tc>
          <w:tcPr>
            <w:tcW w:w="1920" w:type="dxa"/>
            <w:vAlign w:val="bottom"/>
            <w:tcBorders>
              <w:right w:val="single" w:sz="8" w:color="007CBA"/>
            </w:tcBorders>
            <w:gridSpan w:val="2"/>
            <w:shd w:val="clear" w:color="auto" w:fill="007CBA"/>
          </w:tcPr>
          <w:p>
            <w:pPr>
              <w:ind w:left="600"/>
              <w:spacing w:after="0"/>
              <w:rPr>
                <w:sz w:val="20"/>
                <w:szCs w:val="20"/>
                <w:color w:val="auto"/>
              </w:rPr>
            </w:pPr>
            <w:r>
              <w:rPr>
                <w:rFonts w:ascii="Arial" w:cs="Arial" w:eastAsia="Arial" w:hAnsi="Arial"/>
                <w:sz w:val="13"/>
                <w:szCs w:val="13"/>
                <w:b w:val="1"/>
                <w:bCs w:val="1"/>
                <w:color w:val="FFFFFF"/>
              </w:rPr>
              <w:t>OPTION AWARDS</w:t>
            </w:r>
          </w:p>
        </w:tc>
        <w:tc>
          <w:tcPr>
            <w:tcW w:w="660" w:type="dxa"/>
            <w:vAlign w:val="bottom"/>
            <w:tcBorders>
              <w:right w:val="single" w:sz="8" w:color="007CBA"/>
            </w:tcBorders>
            <w:shd w:val="clear" w:color="auto" w:fill="007CBA"/>
          </w:tcPr>
          <w:p>
            <w:pPr>
              <w:spacing w:after="0"/>
              <w:rPr>
                <w:sz w:val="24"/>
                <w:szCs w:val="24"/>
                <w:color w:val="auto"/>
              </w:rPr>
            </w:pPr>
          </w:p>
        </w:tc>
        <w:tc>
          <w:tcPr>
            <w:tcW w:w="900" w:type="dxa"/>
            <w:vAlign w:val="bottom"/>
            <w:tcBorders>
              <w:right w:val="single" w:sz="8" w:color="007CBA"/>
            </w:tcBorders>
            <w:shd w:val="clear" w:color="auto" w:fill="007CBA"/>
          </w:tcPr>
          <w:p>
            <w:pPr>
              <w:spacing w:after="0"/>
              <w:rPr>
                <w:sz w:val="24"/>
                <w:szCs w:val="24"/>
                <w:color w:val="auto"/>
              </w:rPr>
            </w:pPr>
          </w:p>
        </w:tc>
        <w:tc>
          <w:tcPr>
            <w:tcW w:w="920" w:type="dxa"/>
            <w:vAlign w:val="bottom"/>
            <w:tcBorders>
              <w:right w:val="single" w:sz="8" w:color="007CBA"/>
            </w:tcBorders>
            <w:shd w:val="clear" w:color="auto" w:fill="007CBA"/>
          </w:tcPr>
          <w:p>
            <w:pPr>
              <w:spacing w:after="0"/>
              <w:rPr>
                <w:sz w:val="24"/>
                <w:szCs w:val="24"/>
                <w:color w:val="auto"/>
              </w:rPr>
            </w:pPr>
          </w:p>
        </w:tc>
        <w:tc>
          <w:tcPr>
            <w:tcW w:w="2200" w:type="dxa"/>
            <w:vAlign w:val="bottom"/>
            <w:tcBorders>
              <w:right w:val="single" w:sz="8" w:color="007CBA"/>
            </w:tcBorders>
            <w:gridSpan w:val="2"/>
            <w:shd w:val="clear" w:color="auto" w:fill="007CBA"/>
          </w:tcPr>
          <w:p>
            <w:pPr>
              <w:jc w:val="right"/>
              <w:ind w:right="435"/>
              <w:spacing w:after="0"/>
              <w:rPr>
                <w:sz w:val="20"/>
                <w:szCs w:val="20"/>
                <w:color w:val="auto"/>
              </w:rPr>
            </w:pPr>
            <w:r>
              <w:rPr>
                <w:rFonts w:ascii="Arial" w:cs="Arial" w:eastAsia="Arial" w:hAnsi="Arial"/>
                <w:sz w:val="13"/>
                <w:szCs w:val="13"/>
                <w:b w:val="1"/>
                <w:bCs w:val="1"/>
                <w:color w:val="FFFFFF"/>
              </w:rPr>
              <w:t>STOCK AWARDS</w:t>
            </w:r>
          </w:p>
        </w:tc>
        <w:tc>
          <w:tcPr>
            <w:tcW w:w="1020" w:type="dxa"/>
            <w:vAlign w:val="bottom"/>
            <w:vMerge w:val="restart"/>
            <w:shd w:val="clear" w:color="auto" w:fill="007CBA"/>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3"/>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20" w:type="dxa"/>
            <w:vAlign w:val="bottom"/>
            <w:vMerge w:val="continue"/>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Equity</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Incentive Plan</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Value or</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Awards:</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Market</w:t>
            </w: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Number of</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Number of</w:t>
            </w:r>
          </w:p>
        </w:tc>
        <w:tc>
          <w:tcPr>
            <w:tcW w:w="10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Number of</w:t>
            </w: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Number</w:t>
            </w:r>
          </w:p>
        </w:tc>
        <w:tc>
          <w:tcPr>
            <w:tcW w:w="10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w w:val="98"/>
              </w:rPr>
              <w:t>Value of</w:t>
            </w: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Unearned</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Units or</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Securities</w:t>
            </w:r>
          </w:p>
        </w:tc>
        <w:tc>
          <w:tcPr>
            <w:tcW w:w="10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Securities</w:t>
            </w: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of Shares</w:t>
            </w:r>
          </w:p>
        </w:tc>
        <w:tc>
          <w:tcPr>
            <w:tcW w:w="10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Shares or</w:t>
            </w: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Shares, Units</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Other</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Underlying</w:t>
            </w:r>
          </w:p>
        </w:tc>
        <w:tc>
          <w:tcPr>
            <w:tcW w:w="10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Underlying</w:t>
            </w:r>
          </w:p>
        </w:tc>
        <w:tc>
          <w:tcPr>
            <w:tcW w:w="6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or Units of</w:t>
            </w:r>
          </w:p>
        </w:tc>
        <w:tc>
          <w:tcPr>
            <w:tcW w:w="10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Units of</w:t>
            </w: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or Other</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Rights</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Unexercised</w:t>
            </w:r>
          </w:p>
        </w:tc>
        <w:tc>
          <w:tcPr>
            <w:tcW w:w="10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Unexercised</w:t>
            </w:r>
          </w:p>
        </w:tc>
        <w:tc>
          <w:tcPr>
            <w:tcW w:w="66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Option</w:t>
            </w:r>
          </w:p>
        </w:tc>
        <w:tc>
          <w:tcPr>
            <w:tcW w:w="9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Stock</w:t>
            </w:r>
          </w:p>
        </w:tc>
        <w:tc>
          <w:tcPr>
            <w:tcW w:w="10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Stock</w:t>
            </w: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Rights That</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That</w:t>
            </w:r>
          </w:p>
        </w:tc>
        <w:tc>
          <w:tcPr>
            <w:tcW w:w="0" w:type="dxa"/>
            <w:vAlign w:val="bottom"/>
          </w:tcPr>
          <w:p>
            <w:pPr>
              <w:spacing w:after="0"/>
              <w:rPr>
                <w:sz w:val="1"/>
                <w:szCs w:val="1"/>
                <w:color w:val="auto"/>
              </w:rPr>
            </w:pPr>
          </w:p>
        </w:tc>
      </w:tr>
      <w:tr>
        <w:trPr>
          <w:trHeight w:val="150"/>
        </w:trPr>
        <w:tc>
          <w:tcPr>
            <w:tcW w:w="3240" w:type="dxa"/>
            <w:vAlign w:val="bottom"/>
            <w:tcBorders>
              <w:right w:val="single" w:sz="8" w:color="007CBA"/>
            </w:tcBorders>
            <w:shd w:val="clear" w:color="auto" w:fill="007CBA"/>
          </w:tcPr>
          <w:p>
            <w:pPr>
              <w:spacing w:after="0"/>
              <w:rPr>
                <w:sz w:val="13"/>
                <w:szCs w:val="13"/>
                <w:color w:val="auto"/>
              </w:rPr>
            </w:pP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Options</w:t>
            </w:r>
          </w:p>
        </w:tc>
        <w:tc>
          <w:tcPr>
            <w:tcW w:w="10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Options</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Exercise</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Option</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That Have</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9"/>
              </w:rPr>
              <w:t>That Have</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Have</w:t>
            </w:r>
          </w:p>
        </w:tc>
        <w:tc>
          <w:tcPr>
            <w:tcW w:w="102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47"/>
        </w:trPr>
        <w:tc>
          <w:tcPr>
            <w:tcW w:w="324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w:t>
            </w:r>
          </w:p>
        </w:tc>
        <w:tc>
          <w:tcPr>
            <w:tcW w:w="10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w:t>
            </w:r>
          </w:p>
        </w:tc>
        <w:tc>
          <w:tcPr>
            <w:tcW w:w="66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Price</w:t>
            </w:r>
          </w:p>
        </w:tc>
        <w:tc>
          <w:tcPr>
            <w:tcW w:w="9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Expiration</w:t>
            </w:r>
          </w:p>
        </w:tc>
        <w:tc>
          <w:tcPr>
            <w:tcW w:w="92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Not Vested</w:t>
            </w:r>
          </w:p>
        </w:tc>
        <w:tc>
          <w:tcPr>
            <w:tcW w:w="10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w w:val="99"/>
              </w:rPr>
              <w:t>Not Vested</w:t>
            </w:r>
            <w:r>
              <w:rPr>
                <w:rFonts w:ascii="Arial" w:cs="Arial" w:eastAsia="Arial" w:hAnsi="Arial"/>
                <w:sz w:val="11"/>
                <w:szCs w:val="11"/>
                <w:b w:val="1"/>
                <w:bCs w:val="1"/>
                <w:color w:val="FFFFFF"/>
                <w:w w:val="99"/>
              </w:rPr>
              <w:t>1</w:t>
            </w:r>
          </w:p>
        </w:tc>
        <w:tc>
          <w:tcPr>
            <w:tcW w:w="1200" w:type="dxa"/>
            <w:vAlign w:val="bottom"/>
            <w:tcBorders>
              <w:right w:val="single" w:sz="8" w:color="007CBA"/>
            </w:tcBorders>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Not Vested</w:t>
            </w:r>
          </w:p>
        </w:tc>
        <w:tc>
          <w:tcPr>
            <w:tcW w:w="1020" w:type="dxa"/>
            <w:vAlign w:val="bottom"/>
            <w:shd w:val="clear" w:color="auto" w:fill="007CBA"/>
          </w:tcPr>
          <w:p>
            <w:pPr>
              <w:jc w:val="center"/>
              <w:spacing w:after="0" w:line="147"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1"/>
                <w:szCs w:val="11"/>
                <w:b w:val="1"/>
                <w:bCs w:val="1"/>
                <w:color w:val="FFFFFF"/>
              </w:rPr>
              <w:t>1</w:t>
            </w:r>
          </w:p>
        </w:tc>
        <w:tc>
          <w:tcPr>
            <w:tcW w:w="0" w:type="dxa"/>
            <w:vAlign w:val="bottom"/>
          </w:tcPr>
          <w:p>
            <w:pPr>
              <w:spacing w:after="0"/>
              <w:rPr>
                <w:sz w:val="1"/>
                <w:szCs w:val="1"/>
                <w:color w:val="auto"/>
              </w:rPr>
            </w:pPr>
          </w:p>
        </w:tc>
      </w:tr>
      <w:tr>
        <w:trPr>
          <w:trHeight w:val="173"/>
        </w:trPr>
        <w:tc>
          <w:tcPr>
            <w:tcW w:w="32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Name</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Exercisable</w:t>
            </w:r>
          </w:p>
        </w:tc>
        <w:tc>
          <w:tcPr>
            <w:tcW w:w="10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Unexercisable</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9"/>
              </w:rPr>
              <w:t>Date</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0"/>
        </w:trPr>
        <w:tc>
          <w:tcPr>
            <w:tcW w:w="32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(a)</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(b)</w:t>
            </w:r>
          </w:p>
        </w:tc>
        <w:tc>
          <w:tcPr>
            <w:tcW w:w="10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(c)</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(e)</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(f)</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(g)</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(h)</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(i)</w:t>
            </w:r>
          </w:p>
        </w:tc>
        <w:tc>
          <w:tcPr>
            <w:tcW w:w="102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7"/>
              </w:rPr>
              <w:t>(j)</w:t>
            </w:r>
          </w:p>
        </w:tc>
        <w:tc>
          <w:tcPr>
            <w:tcW w:w="0" w:type="dxa"/>
            <w:vAlign w:val="bottom"/>
          </w:tcPr>
          <w:p>
            <w:pPr>
              <w:spacing w:after="0"/>
              <w:rPr>
                <w:sz w:val="1"/>
                <w:szCs w:val="1"/>
                <w:color w:val="auto"/>
              </w:rPr>
            </w:pPr>
          </w:p>
        </w:tc>
      </w:tr>
      <w:tr>
        <w:trPr>
          <w:trHeight w:val="224"/>
        </w:trPr>
        <w:tc>
          <w:tcPr>
            <w:tcW w:w="32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900" w:type="dxa"/>
            <w:vAlign w:val="bottom"/>
            <w:tcBorders>
              <w:right w:val="single" w:sz="8" w:color="007CBA"/>
            </w:tcBorders>
            <w:shd w:val="clear" w:color="auto" w:fill="E5F1F8"/>
          </w:tcPr>
          <w:p>
            <w:pPr>
              <w:jc w:val="right"/>
              <w:ind w:right="132"/>
              <w:spacing w:after="0"/>
              <w:rPr>
                <w:sz w:val="20"/>
                <w:szCs w:val="20"/>
                <w:color w:val="auto"/>
              </w:rPr>
            </w:pPr>
            <w:r>
              <w:rPr>
                <w:rFonts w:ascii="Arial" w:cs="Arial" w:eastAsia="Arial" w:hAnsi="Arial"/>
                <w:sz w:val="14"/>
                <w:szCs w:val="14"/>
                <w:color w:val="auto"/>
              </w:rPr>
              <w:t>10,000</w:t>
            </w:r>
          </w:p>
        </w:tc>
        <w:tc>
          <w:tcPr>
            <w:tcW w:w="10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60" w:type="dxa"/>
            <w:vAlign w:val="bottom"/>
            <w:tcBorders>
              <w:right w:val="single" w:sz="8" w:color="007CBA"/>
            </w:tcBorders>
            <w:shd w:val="clear" w:color="auto" w:fill="E5F1F8"/>
          </w:tcPr>
          <w:p>
            <w:pPr>
              <w:jc w:val="right"/>
              <w:ind w:right="11"/>
              <w:spacing w:after="0"/>
              <w:rPr>
                <w:sz w:val="20"/>
                <w:szCs w:val="20"/>
                <w:color w:val="auto"/>
              </w:rPr>
            </w:pPr>
            <w:r>
              <w:rPr>
                <w:rFonts w:ascii="Arial" w:cs="Arial" w:eastAsia="Arial" w:hAnsi="Arial"/>
                <w:sz w:val="14"/>
                <w:szCs w:val="14"/>
                <w:color w:val="auto"/>
              </w:rPr>
              <w:t>69.12</w:t>
            </w:r>
          </w:p>
        </w:tc>
        <w:tc>
          <w:tcPr>
            <w:tcW w:w="900" w:type="dxa"/>
            <w:vAlign w:val="bottom"/>
            <w:tcBorders>
              <w:right w:val="single" w:sz="8" w:color="007CBA"/>
            </w:tcBorders>
            <w:shd w:val="clear" w:color="auto" w:fill="E5F1F8"/>
          </w:tcPr>
          <w:p>
            <w:pPr>
              <w:jc w:val="right"/>
              <w:ind w:right="71"/>
              <w:spacing w:after="0"/>
              <w:rPr>
                <w:sz w:val="20"/>
                <w:szCs w:val="20"/>
                <w:color w:val="auto"/>
              </w:rPr>
            </w:pPr>
            <w:r>
              <w:rPr>
                <w:rFonts w:ascii="Arial" w:cs="Arial" w:eastAsia="Arial" w:hAnsi="Arial"/>
                <w:sz w:val="14"/>
                <w:szCs w:val="14"/>
                <w:color w:val="auto"/>
              </w:rPr>
              <w:t>5/24/2020</w:t>
            </w:r>
          </w:p>
        </w:tc>
        <w:tc>
          <w:tcPr>
            <w:tcW w:w="920" w:type="dxa"/>
            <w:vAlign w:val="bottom"/>
            <w:tcBorders>
              <w:right w:val="single" w:sz="8" w:color="007CBA"/>
            </w:tcBorders>
            <w:shd w:val="clear" w:color="auto" w:fill="E5F1F8"/>
          </w:tcPr>
          <w:p>
            <w:pPr>
              <w:jc w:val="right"/>
              <w:ind w:right="117"/>
              <w:spacing w:after="0" w:line="224" w:lineRule="exact"/>
              <w:rPr>
                <w:sz w:val="20"/>
                <w:szCs w:val="20"/>
                <w:color w:val="auto"/>
              </w:rPr>
            </w:pPr>
            <w:r>
              <w:rPr>
                <w:rFonts w:ascii="Arial" w:cs="Arial" w:eastAsia="Arial" w:hAnsi="Arial"/>
                <w:sz w:val="14"/>
                <w:szCs w:val="14"/>
                <w:color w:val="auto"/>
              </w:rPr>
              <w:t>3,251</w:t>
            </w:r>
            <w:r>
              <w:rPr>
                <w:rFonts w:ascii="Arial" w:cs="Arial" w:eastAsia="Arial" w:hAnsi="Arial"/>
                <w:sz w:val="24"/>
                <w:szCs w:val="24"/>
                <w:color w:val="auto"/>
                <w:vertAlign w:val="superscript"/>
              </w:rPr>
              <w:t>2</w:t>
            </w:r>
          </w:p>
        </w:tc>
        <w:tc>
          <w:tcPr>
            <w:tcW w:w="100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4"/>
                <w:szCs w:val="14"/>
                <w:color w:val="auto"/>
              </w:rPr>
              <w:t>909,110</w:t>
            </w:r>
          </w:p>
        </w:tc>
        <w:tc>
          <w:tcPr>
            <w:tcW w:w="1200" w:type="dxa"/>
            <w:vAlign w:val="bottom"/>
            <w:tcBorders>
              <w:right w:val="single" w:sz="8" w:color="007CBA"/>
            </w:tcBorders>
            <w:shd w:val="clear" w:color="auto" w:fill="E5F1F8"/>
          </w:tcPr>
          <w:p>
            <w:pPr>
              <w:jc w:val="right"/>
              <w:ind w:right="255"/>
              <w:spacing w:after="0" w:line="224" w:lineRule="exact"/>
              <w:rPr>
                <w:sz w:val="20"/>
                <w:szCs w:val="20"/>
                <w:color w:val="auto"/>
              </w:rPr>
            </w:pPr>
            <w:r>
              <w:rPr>
                <w:rFonts w:ascii="Arial" w:cs="Arial" w:eastAsia="Arial" w:hAnsi="Arial"/>
                <w:sz w:val="14"/>
                <w:szCs w:val="14"/>
                <w:color w:val="auto"/>
              </w:rPr>
              <w:t>11,355</w:t>
            </w:r>
            <w:r>
              <w:rPr>
                <w:rFonts w:ascii="Arial" w:cs="Arial" w:eastAsia="Arial" w:hAnsi="Arial"/>
                <w:sz w:val="24"/>
                <w:szCs w:val="24"/>
                <w:color w:val="auto"/>
                <w:vertAlign w:val="superscript"/>
              </w:rPr>
              <w:t>7</w:t>
            </w:r>
          </w:p>
        </w:tc>
        <w:tc>
          <w:tcPr>
            <w:tcW w:w="1020" w:type="dxa"/>
            <w:vAlign w:val="bottom"/>
            <w:shd w:val="clear" w:color="auto" w:fill="E5F1F8"/>
          </w:tcPr>
          <w:p>
            <w:pPr>
              <w:jc w:val="right"/>
              <w:ind w:right="32"/>
              <w:spacing w:after="0"/>
              <w:rPr>
                <w:sz w:val="20"/>
                <w:szCs w:val="20"/>
                <w:color w:val="auto"/>
              </w:rPr>
            </w:pPr>
            <w:r>
              <w:rPr>
                <w:rFonts w:ascii="Arial" w:cs="Arial" w:eastAsia="Arial" w:hAnsi="Arial"/>
                <w:sz w:val="14"/>
                <w:szCs w:val="14"/>
                <w:color w:val="auto"/>
              </w:rPr>
              <w:t>3,175,312</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5,692</w:t>
            </w:r>
            <w:r>
              <w:rPr>
                <w:rFonts w:ascii="Arial" w:cs="Arial" w:eastAsia="Arial" w:hAnsi="Arial"/>
                <w:sz w:val="18"/>
                <w:szCs w:val="18"/>
                <w:color w:val="auto"/>
                <w:vertAlign w:val="superscript"/>
              </w:rPr>
              <w:t>3</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1,591,711</w:t>
            </w:r>
          </w:p>
        </w:tc>
        <w:tc>
          <w:tcPr>
            <w:tcW w:w="1200" w:type="dxa"/>
            <w:vAlign w:val="bottom"/>
            <w:tcBorders>
              <w:right w:val="single" w:sz="8" w:color="007CBA"/>
            </w:tcBorders>
            <w:shd w:val="clear" w:color="auto" w:fill="E5F1F8"/>
          </w:tcPr>
          <w:p>
            <w:pPr>
              <w:jc w:val="right"/>
              <w:ind w:right="255"/>
              <w:spacing w:after="0" w:line="160" w:lineRule="exact"/>
              <w:rPr>
                <w:sz w:val="20"/>
                <w:szCs w:val="20"/>
                <w:color w:val="auto"/>
              </w:rPr>
            </w:pPr>
            <w:r>
              <w:rPr>
                <w:rFonts w:ascii="Arial" w:cs="Arial" w:eastAsia="Arial" w:hAnsi="Arial"/>
                <w:sz w:val="11"/>
                <w:szCs w:val="11"/>
                <w:color w:val="auto"/>
              </w:rPr>
              <w:t>9,940</w:t>
            </w:r>
            <w:r>
              <w:rPr>
                <w:rFonts w:ascii="Arial" w:cs="Arial" w:eastAsia="Arial" w:hAnsi="Arial"/>
                <w:sz w:val="18"/>
                <w:szCs w:val="18"/>
                <w:color w:val="auto"/>
                <w:vertAlign w:val="superscript"/>
              </w:rPr>
              <w:t>8</w:t>
            </w:r>
          </w:p>
        </w:tc>
        <w:tc>
          <w:tcPr>
            <w:tcW w:w="1020" w:type="dxa"/>
            <w:vAlign w:val="bottom"/>
            <w:shd w:val="clear" w:color="auto" w:fill="E5F1F8"/>
          </w:tcPr>
          <w:p>
            <w:pPr>
              <w:jc w:val="right"/>
              <w:ind w:right="32"/>
              <w:spacing w:after="0" w:line="160" w:lineRule="exact"/>
              <w:rPr>
                <w:sz w:val="20"/>
                <w:szCs w:val="20"/>
                <w:color w:val="auto"/>
              </w:rPr>
            </w:pPr>
            <w:r>
              <w:rPr>
                <w:rFonts w:ascii="Arial" w:cs="Arial" w:eastAsia="Arial" w:hAnsi="Arial"/>
                <w:sz w:val="14"/>
                <w:szCs w:val="14"/>
                <w:color w:val="auto"/>
              </w:rPr>
              <w:t>2,779,622</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11,318</w:t>
            </w:r>
            <w:r>
              <w:rPr>
                <w:rFonts w:ascii="Arial" w:cs="Arial" w:eastAsia="Arial" w:hAnsi="Arial"/>
                <w:sz w:val="18"/>
                <w:szCs w:val="18"/>
                <w:color w:val="auto"/>
                <w:vertAlign w:val="superscript"/>
              </w:rPr>
              <w:t>4</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3,164,966</w:t>
            </w:r>
          </w:p>
        </w:tc>
        <w:tc>
          <w:tcPr>
            <w:tcW w:w="1200" w:type="dxa"/>
            <w:vAlign w:val="bottom"/>
            <w:tcBorders>
              <w:right w:val="single" w:sz="8" w:color="007CBA"/>
            </w:tcBorders>
            <w:shd w:val="clear" w:color="auto" w:fill="E5F1F8"/>
          </w:tcPr>
          <w:p>
            <w:pPr>
              <w:jc w:val="right"/>
              <w:ind w:right="255"/>
              <w:spacing w:after="0" w:line="160" w:lineRule="exact"/>
              <w:rPr>
                <w:sz w:val="20"/>
                <w:szCs w:val="20"/>
                <w:color w:val="auto"/>
              </w:rPr>
            </w:pPr>
            <w:r>
              <w:rPr>
                <w:rFonts w:ascii="Arial" w:cs="Arial" w:eastAsia="Arial" w:hAnsi="Arial"/>
                <w:sz w:val="11"/>
                <w:szCs w:val="11"/>
                <w:color w:val="auto"/>
              </w:rPr>
              <w:t>13,175</w:t>
            </w:r>
            <w:r>
              <w:rPr>
                <w:rFonts w:ascii="Arial" w:cs="Arial" w:eastAsia="Arial" w:hAnsi="Arial"/>
                <w:sz w:val="18"/>
                <w:szCs w:val="18"/>
                <w:color w:val="auto"/>
                <w:vertAlign w:val="superscript"/>
              </w:rPr>
              <w:t>9</w:t>
            </w:r>
          </w:p>
        </w:tc>
        <w:tc>
          <w:tcPr>
            <w:tcW w:w="1020" w:type="dxa"/>
            <w:vAlign w:val="bottom"/>
            <w:shd w:val="clear" w:color="auto" w:fill="E5F1F8"/>
          </w:tcPr>
          <w:p>
            <w:pPr>
              <w:jc w:val="right"/>
              <w:ind w:right="32"/>
              <w:spacing w:after="0" w:line="160" w:lineRule="exact"/>
              <w:rPr>
                <w:sz w:val="20"/>
                <w:szCs w:val="20"/>
                <w:color w:val="auto"/>
              </w:rPr>
            </w:pPr>
            <w:r>
              <w:rPr>
                <w:rFonts w:ascii="Arial" w:cs="Arial" w:eastAsia="Arial" w:hAnsi="Arial"/>
                <w:sz w:val="14"/>
                <w:szCs w:val="14"/>
                <w:color w:val="auto"/>
              </w:rPr>
              <w:t>3,684,257</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5,893</w:t>
            </w:r>
            <w:r>
              <w:rPr>
                <w:rFonts w:ascii="Arial" w:cs="Arial" w:eastAsia="Arial" w:hAnsi="Arial"/>
                <w:sz w:val="18"/>
                <w:szCs w:val="18"/>
                <w:color w:val="auto"/>
                <w:vertAlign w:val="superscript"/>
              </w:rPr>
              <w:t>5</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1,647,919</w:t>
            </w:r>
          </w:p>
        </w:tc>
        <w:tc>
          <w:tcPr>
            <w:tcW w:w="1200" w:type="dxa"/>
            <w:vAlign w:val="bottom"/>
            <w:tcBorders>
              <w:right w:val="single" w:sz="8" w:color="007CBA"/>
            </w:tcBorders>
            <w:shd w:val="clear" w:color="auto" w:fill="E5F1F8"/>
          </w:tcPr>
          <w:p>
            <w:pPr>
              <w:spacing w:after="0"/>
              <w:rPr>
                <w:sz w:val="13"/>
                <w:szCs w:val="13"/>
                <w:color w:val="auto"/>
              </w:rPr>
            </w:pPr>
          </w:p>
        </w:tc>
        <w:tc>
          <w:tcPr>
            <w:tcW w:w="102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Borders>
              <w:right w:val="single" w:sz="8" w:color="007CBA"/>
            </w:tcBorders>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1020" w:type="dxa"/>
            <w:vAlign w:val="bottom"/>
            <w:tcBorders>
              <w:right w:val="single" w:sz="8" w:color="007CBA"/>
            </w:tcBorders>
            <w:shd w:val="clear" w:color="auto" w:fill="E5F1F8"/>
          </w:tcPr>
          <w:p>
            <w:pPr>
              <w:spacing w:after="0"/>
              <w:rPr>
                <w:sz w:val="15"/>
                <w:szCs w:val="15"/>
                <w:color w:val="auto"/>
              </w:rPr>
            </w:pPr>
          </w:p>
        </w:tc>
        <w:tc>
          <w:tcPr>
            <w:tcW w:w="660" w:type="dxa"/>
            <w:vAlign w:val="bottom"/>
            <w:tcBorders>
              <w:right w:val="single" w:sz="8" w:color="007CBA"/>
            </w:tcBorders>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920" w:type="dxa"/>
            <w:vAlign w:val="bottom"/>
            <w:tcBorders>
              <w:right w:val="single" w:sz="8" w:color="007CBA"/>
            </w:tcBorders>
            <w:shd w:val="clear" w:color="auto" w:fill="E5F1F8"/>
          </w:tcPr>
          <w:p>
            <w:pPr>
              <w:jc w:val="right"/>
              <w:ind w:right="117"/>
              <w:spacing w:after="0" w:line="176" w:lineRule="exact"/>
              <w:rPr>
                <w:sz w:val="20"/>
                <w:szCs w:val="20"/>
                <w:color w:val="auto"/>
              </w:rPr>
            </w:pPr>
            <w:r>
              <w:rPr>
                <w:rFonts w:ascii="Arial" w:cs="Arial" w:eastAsia="Arial" w:hAnsi="Arial"/>
                <w:sz w:val="12"/>
                <w:szCs w:val="12"/>
                <w:color w:val="auto"/>
              </w:rPr>
              <w:t>6,827</w:t>
            </w:r>
            <w:r>
              <w:rPr>
                <w:rFonts w:ascii="Arial" w:cs="Arial" w:eastAsia="Arial" w:hAnsi="Arial"/>
                <w:sz w:val="20"/>
                <w:szCs w:val="20"/>
                <w:color w:val="auto"/>
                <w:vertAlign w:val="superscript"/>
              </w:rPr>
              <w:t>6</w:t>
            </w:r>
          </w:p>
        </w:tc>
        <w:tc>
          <w:tcPr>
            <w:tcW w:w="100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4"/>
                <w:szCs w:val="14"/>
                <w:color w:val="auto"/>
              </w:rPr>
              <w:t>1,909,102</w:t>
            </w:r>
          </w:p>
        </w:tc>
        <w:tc>
          <w:tcPr>
            <w:tcW w:w="1200" w:type="dxa"/>
            <w:vAlign w:val="bottom"/>
            <w:tcBorders>
              <w:right w:val="single" w:sz="8" w:color="007CBA"/>
            </w:tcBorders>
            <w:shd w:val="clear" w:color="auto" w:fill="E5F1F8"/>
          </w:tcPr>
          <w:p>
            <w:pPr>
              <w:spacing w:after="0"/>
              <w:rPr>
                <w:sz w:val="15"/>
                <w:szCs w:val="15"/>
                <w:color w:val="auto"/>
              </w:rPr>
            </w:pPr>
          </w:p>
        </w:tc>
        <w:tc>
          <w:tcPr>
            <w:tcW w:w="102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900" w:type="dxa"/>
            <w:vAlign w:val="bottom"/>
            <w:tcBorders>
              <w:right w:val="single" w:sz="8" w:color="007CBA"/>
            </w:tcBorders>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660" w:type="dxa"/>
            <w:vAlign w:val="bottom"/>
            <w:tcBorders>
              <w:right w:val="single" w:sz="8" w:color="007CBA"/>
            </w:tcBorders>
          </w:tcPr>
          <w:p>
            <w:pPr>
              <w:spacing w:after="0"/>
              <w:rPr>
                <w:sz w:val="19"/>
                <w:szCs w:val="19"/>
                <w:color w:val="auto"/>
              </w:rPr>
            </w:pPr>
          </w:p>
        </w:tc>
        <w:tc>
          <w:tcPr>
            <w:tcW w:w="900" w:type="dxa"/>
            <w:vAlign w:val="bottom"/>
            <w:tcBorders>
              <w:right w:val="single" w:sz="8" w:color="007CBA"/>
            </w:tcBorders>
          </w:tcPr>
          <w:p>
            <w:pPr>
              <w:spacing w:after="0"/>
              <w:rPr>
                <w:sz w:val="19"/>
                <w:szCs w:val="19"/>
                <w:color w:val="auto"/>
              </w:rPr>
            </w:pPr>
          </w:p>
        </w:tc>
        <w:tc>
          <w:tcPr>
            <w:tcW w:w="920" w:type="dxa"/>
            <w:vAlign w:val="bottom"/>
            <w:tcBorders>
              <w:right w:val="single" w:sz="8" w:color="007CBA"/>
            </w:tcBorders>
          </w:tcPr>
          <w:p>
            <w:pPr>
              <w:jc w:val="right"/>
              <w:ind w:right="97"/>
              <w:spacing w:after="0" w:line="224" w:lineRule="exact"/>
              <w:rPr>
                <w:sz w:val="20"/>
                <w:szCs w:val="20"/>
                <w:color w:val="auto"/>
              </w:rPr>
            </w:pPr>
            <w:r>
              <w:rPr>
                <w:rFonts w:ascii="Arial" w:cs="Arial" w:eastAsia="Arial" w:hAnsi="Arial"/>
                <w:sz w:val="14"/>
                <w:szCs w:val="14"/>
                <w:color w:val="auto"/>
              </w:rPr>
              <w:t>4,047</w:t>
            </w:r>
            <w:r>
              <w:rPr>
                <w:rFonts w:ascii="Arial" w:cs="Arial" w:eastAsia="Arial" w:hAnsi="Arial"/>
                <w:sz w:val="24"/>
                <w:szCs w:val="24"/>
                <w:color w:val="auto"/>
                <w:vertAlign w:val="superscript"/>
              </w:rPr>
              <w:t>10</w:t>
            </w:r>
          </w:p>
        </w:tc>
        <w:tc>
          <w:tcPr>
            <w:tcW w:w="1000" w:type="dxa"/>
            <w:vAlign w:val="bottom"/>
            <w:tcBorders>
              <w:right w:val="single" w:sz="8" w:color="007CBA"/>
            </w:tcBorders>
          </w:tcPr>
          <w:p>
            <w:pPr>
              <w:jc w:val="right"/>
              <w:ind w:right="90"/>
              <w:spacing w:after="0"/>
              <w:rPr>
                <w:sz w:val="20"/>
                <w:szCs w:val="20"/>
                <w:color w:val="auto"/>
              </w:rPr>
            </w:pPr>
            <w:r>
              <w:rPr>
                <w:rFonts w:ascii="Arial" w:cs="Arial" w:eastAsia="Arial" w:hAnsi="Arial"/>
                <w:sz w:val="14"/>
                <w:szCs w:val="14"/>
                <w:color w:val="auto"/>
              </w:rPr>
              <w:t>1,131,703</w:t>
            </w:r>
          </w:p>
        </w:tc>
        <w:tc>
          <w:tcPr>
            <w:tcW w:w="1200" w:type="dxa"/>
            <w:vAlign w:val="bottom"/>
            <w:tcBorders>
              <w:right w:val="single" w:sz="8" w:color="007CBA"/>
            </w:tcBorders>
          </w:tcPr>
          <w:p>
            <w:pPr>
              <w:jc w:val="right"/>
              <w:ind w:right="255"/>
              <w:spacing w:after="0" w:line="224" w:lineRule="exact"/>
              <w:rPr>
                <w:sz w:val="20"/>
                <w:szCs w:val="20"/>
                <w:color w:val="auto"/>
              </w:rPr>
            </w:pPr>
            <w:r>
              <w:rPr>
                <w:rFonts w:ascii="Arial" w:cs="Arial" w:eastAsia="Arial" w:hAnsi="Arial"/>
                <w:sz w:val="14"/>
                <w:szCs w:val="14"/>
                <w:color w:val="auto"/>
              </w:rPr>
              <w:t>1,956</w:t>
            </w:r>
            <w:r>
              <w:rPr>
                <w:rFonts w:ascii="Arial" w:cs="Arial" w:eastAsia="Arial" w:hAnsi="Arial"/>
                <w:sz w:val="24"/>
                <w:szCs w:val="24"/>
                <w:color w:val="auto"/>
                <w:vertAlign w:val="superscript"/>
              </w:rPr>
              <w:t>8</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546,976</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tcPr>
          <w:p>
            <w:pPr>
              <w:spacing w:after="0"/>
              <w:rPr>
                <w:sz w:val="13"/>
                <w:szCs w:val="13"/>
                <w:color w:val="auto"/>
              </w:rPr>
            </w:pPr>
          </w:p>
        </w:tc>
        <w:tc>
          <w:tcPr>
            <w:tcW w:w="900" w:type="dxa"/>
            <w:vAlign w:val="bottom"/>
            <w:tcBorders>
              <w:right w:val="single" w:sz="8" w:color="007CBA"/>
            </w:tcBorders>
          </w:tcPr>
          <w:p>
            <w:pPr>
              <w:spacing w:after="0"/>
              <w:rPr>
                <w:sz w:val="13"/>
                <w:szCs w:val="13"/>
                <w:color w:val="auto"/>
              </w:rPr>
            </w:pPr>
          </w:p>
        </w:tc>
        <w:tc>
          <w:tcPr>
            <w:tcW w:w="1020" w:type="dxa"/>
            <w:vAlign w:val="bottom"/>
            <w:tcBorders>
              <w:right w:val="single" w:sz="8" w:color="007CBA"/>
            </w:tcBorders>
          </w:tcPr>
          <w:p>
            <w:pPr>
              <w:spacing w:after="0"/>
              <w:rPr>
                <w:sz w:val="13"/>
                <w:szCs w:val="13"/>
                <w:color w:val="auto"/>
              </w:rPr>
            </w:pPr>
          </w:p>
        </w:tc>
        <w:tc>
          <w:tcPr>
            <w:tcW w:w="660" w:type="dxa"/>
            <w:vAlign w:val="bottom"/>
            <w:tcBorders>
              <w:right w:val="single" w:sz="8" w:color="007CBA"/>
            </w:tcBorders>
          </w:tcPr>
          <w:p>
            <w:pPr>
              <w:spacing w:after="0"/>
              <w:rPr>
                <w:sz w:val="13"/>
                <w:szCs w:val="13"/>
                <w:color w:val="auto"/>
              </w:rPr>
            </w:pPr>
          </w:p>
        </w:tc>
        <w:tc>
          <w:tcPr>
            <w:tcW w:w="90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jc w:val="right"/>
              <w:ind w:right="117"/>
              <w:spacing w:after="0" w:line="160" w:lineRule="exact"/>
              <w:rPr>
                <w:sz w:val="20"/>
                <w:szCs w:val="20"/>
                <w:color w:val="auto"/>
              </w:rPr>
            </w:pPr>
            <w:r>
              <w:rPr>
                <w:rFonts w:ascii="Arial" w:cs="Arial" w:eastAsia="Arial" w:hAnsi="Arial"/>
                <w:sz w:val="11"/>
                <w:szCs w:val="11"/>
                <w:color w:val="auto"/>
              </w:rPr>
              <w:t>1,120</w:t>
            </w:r>
            <w:r>
              <w:rPr>
                <w:rFonts w:ascii="Arial" w:cs="Arial" w:eastAsia="Arial" w:hAnsi="Arial"/>
                <w:sz w:val="18"/>
                <w:szCs w:val="18"/>
                <w:color w:val="auto"/>
                <w:vertAlign w:val="superscript"/>
              </w:rPr>
              <w:t>3</w:t>
            </w:r>
          </w:p>
        </w:tc>
        <w:tc>
          <w:tcPr>
            <w:tcW w:w="1000" w:type="dxa"/>
            <w:vAlign w:val="bottom"/>
            <w:tcBorders>
              <w:right w:val="single" w:sz="8" w:color="007CBA"/>
            </w:tcBorders>
          </w:tcPr>
          <w:p>
            <w:pPr>
              <w:jc w:val="right"/>
              <w:ind w:right="90"/>
              <w:spacing w:after="0" w:line="160" w:lineRule="exact"/>
              <w:rPr>
                <w:sz w:val="20"/>
                <w:szCs w:val="20"/>
                <w:color w:val="auto"/>
              </w:rPr>
            </w:pPr>
            <w:r>
              <w:rPr>
                <w:rFonts w:ascii="Arial" w:cs="Arial" w:eastAsia="Arial" w:hAnsi="Arial"/>
                <w:sz w:val="14"/>
                <w:szCs w:val="14"/>
                <w:color w:val="auto"/>
              </w:rPr>
              <w:t>313,197</w:t>
            </w:r>
          </w:p>
        </w:tc>
        <w:tc>
          <w:tcPr>
            <w:tcW w:w="1200" w:type="dxa"/>
            <w:vAlign w:val="bottom"/>
            <w:tcBorders>
              <w:right w:val="single" w:sz="8" w:color="007CBA"/>
            </w:tcBorders>
          </w:tcPr>
          <w:p>
            <w:pPr>
              <w:jc w:val="right"/>
              <w:ind w:right="255"/>
              <w:spacing w:after="0" w:line="160" w:lineRule="exact"/>
              <w:rPr>
                <w:sz w:val="20"/>
                <w:szCs w:val="20"/>
                <w:color w:val="auto"/>
              </w:rPr>
            </w:pPr>
            <w:r>
              <w:rPr>
                <w:rFonts w:ascii="Arial" w:cs="Arial" w:eastAsia="Arial" w:hAnsi="Arial"/>
                <w:sz w:val="11"/>
                <w:szCs w:val="11"/>
                <w:color w:val="auto"/>
              </w:rPr>
              <w:t>2,632</w:t>
            </w:r>
            <w:r>
              <w:rPr>
                <w:rFonts w:ascii="Arial" w:cs="Arial" w:eastAsia="Arial" w:hAnsi="Arial"/>
                <w:sz w:val="18"/>
                <w:szCs w:val="18"/>
                <w:color w:val="auto"/>
                <w:vertAlign w:val="superscript"/>
              </w:rPr>
              <w:t>9</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736,012</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tcPr>
          <w:p>
            <w:pPr>
              <w:spacing w:after="0"/>
              <w:rPr>
                <w:sz w:val="13"/>
                <w:szCs w:val="13"/>
                <w:color w:val="auto"/>
              </w:rPr>
            </w:pPr>
          </w:p>
        </w:tc>
        <w:tc>
          <w:tcPr>
            <w:tcW w:w="900" w:type="dxa"/>
            <w:vAlign w:val="bottom"/>
            <w:tcBorders>
              <w:right w:val="single" w:sz="8" w:color="007CBA"/>
            </w:tcBorders>
          </w:tcPr>
          <w:p>
            <w:pPr>
              <w:spacing w:after="0"/>
              <w:rPr>
                <w:sz w:val="13"/>
                <w:szCs w:val="13"/>
                <w:color w:val="auto"/>
              </w:rPr>
            </w:pPr>
          </w:p>
        </w:tc>
        <w:tc>
          <w:tcPr>
            <w:tcW w:w="1020" w:type="dxa"/>
            <w:vAlign w:val="bottom"/>
            <w:tcBorders>
              <w:right w:val="single" w:sz="8" w:color="007CBA"/>
            </w:tcBorders>
          </w:tcPr>
          <w:p>
            <w:pPr>
              <w:spacing w:after="0"/>
              <w:rPr>
                <w:sz w:val="13"/>
                <w:szCs w:val="13"/>
                <w:color w:val="auto"/>
              </w:rPr>
            </w:pPr>
          </w:p>
        </w:tc>
        <w:tc>
          <w:tcPr>
            <w:tcW w:w="660" w:type="dxa"/>
            <w:vAlign w:val="bottom"/>
            <w:tcBorders>
              <w:right w:val="single" w:sz="8" w:color="007CBA"/>
            </w:tcBorders>
          </w:tcPr>
          <w:p>
            <w:pPr>
              <w:spacing w:after="0"/>
              <w:rPr>
                <w:sz w:val="13"/>
                <w:szCs w:val="13"/>
                <w:color w:val="auto"/>
              </w:rPr>
            </w:pPr>
          </w:p>
        </w:tc>
        <w:tc>
          <w:tcPr>
            <w:tcW w:w="90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jc w:val="right"/>
              <w:ind w:right="117"/>
              <w:spacing w:after="0" w:line="160" w:lineRule="exact"/>
              <w:rPr>
                <w:sz w:val="20"/>
                <w:szCs w:val="20"/>
                <w:color w:val="auto"/>
              </w:rPr>
            </w:pPr>
            <w:r>
              <w:rPr>
                <w:rFonts w:ascii="Arial" w:cs="Arial" w:eastAsia="Arial" w:hAnsi="Arial"/>
                <w:sz w:val="11"/>
                <w:szCs w:val="11"/>
                <w:color w:val="auto"/>
              </w:rPr>
              <w:t>2,261</w:t>
            </w:r>
            <w:r>
              <w:rPr>
                <w:rFonts w:ascii="Arial" w:cs="Arial" w:eastAsia="Arial" w:hAnsi="Arial"/>
                <w:sz w:val="18"/>
                <w:szCs w:val="18"/>
                <w:color w:val="auto"/>
                <w:vertAlign w:val="superscript"/>
              </w:rPr>
              <w:t>4</w:t>
            </w:r>
          </w:p>
        </w:tc>
        <w:tc>
          <w:tcPr>
            <w:tcW w:w="1000" w:type="dxa"/>
            <w:vAlign w:val="bottom"/>
            <w:tcBorders>
              <w:right w:val="single" w:sz="8" w:color="007CBA"/>
            </w:tcBorders>
          </w:tcPr>
          <w:p>
            <w:pPr>
              <w:jc w:val="right"/>
              <w:ind w:right="90"/>
              <w:spacing w:after="0" w:line="160" w:lineRule="exact"/>
              <w:rPr>
                <w:sz w:val="20"/>
                <w:szCs w:val="20"/>
                <w:color w:val="auto"/>
              </w:rPr>
            </w:pPr>
            <w:r>
              <w:rPr>
                <w:rFonts w:ascii="Arial" w:cs="Arial" w:eastAsia="Arial" w:hAnsi="Arial"/>
                <w:sz w:val="14"/>
                <w:szCs w:val="14"/>
                <w:color w:val="auto"/>
              </w:rPr>
              <w:t>632,266</w:t>
            </w:r>
          </w:p>
        </w:tc>
        <w:tc>
          <w:tcPr>
            <w:tcW w:w="1200" w:type="dxa"/>
            <w:vAlign w:val="bottom"/>
            <w:tcBorders>
              <w:right w:val="single" w:sz="8" w:color="007CBA"/>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Borders>
              <w:right w:val="single" w:sz="8" w:color="007CBA"/>
            </w:tcBorders>
          </w:tcPr>
          <w:p>
            <w:pPr>
              <w:spacing w:after="0"/>
              <w:rPr>
                <w:sz w:val="15"/>
                <w:szCs w:val="15"/>
                <w:color w:val="auto"/>
              </w:rPr>
            </w:pPr>
          </w:p>
        </w:tc>
        <w:tc>
          <w:tcPr>
            <w:tcW w:w="900" w:type="dxa"/>
            <w:vAlign w:val="bottom"/>
            <w:tcBorders>
              <w:right w:val="single" w:sz="8" w:color="007CBA"/>
            </w:tcBorders>
          </w:tcPr>
          <w:p>
            <w:pPr>
              <w:spacing w:after="0"/>
              <w:rPr>
                <w:sz w:val="15"/>
                <w:szCs w:val="15"/>
                <w:color w:val="auto"/>
              </w:rPr>
            </w:pPr>
          </w:p>
        </w:tc>
        <w:tc>
          <w:tcPr>
            <w:tcW w:w="1020" w:type="dxa"/>
            <w:vAlign w:val="bottom"/>
            <w:tcBorders>
              <w:right w:val="single" w:sz="8" w:color="007CBA"/>
            </w:tcBorders>
          </w:tcPr>
          <w:p>
            <w:pPr>
              <w:spacing w:after="0"/>
              <w:rPr>
                <w:sz w:val="15"/>
                <w:szCs w:val="15"/>
                <w:color w:val="auto"/>
              </w:rPr>
            </w:pPr>
          </w:p>
        </w:tc>
        <w:tc>
          <w:tcPr>
            <w:tcW w:w="660" w:type="dxa"/>
            <w:vAlign w:val="bottom"/>
            <w:tcBorders>
              <w:right w:val="single" w:sz="8" w:color="007CBA"/>
            </w:tcBorders>
          </w:tcPr>
          <w:p>
            <w:pPr>
              <w:spacing w:after="0"/>
              <w:rPr>
                <w:sz w:val="15"/>
                <w:szCs w:val="15"/>
                <w:color w:val="auto"/>
              </w:rPr>
            </w:pPr>
          </w:p>
        </w:tc>
        <w:tc>
          <w:tcPr>
            <w:tcW w:w="900" w:type="dxa"/>
            <w:vAlign w:val="bottom"/>
            <w:tcBorders>
              <w:right w:val="single" w:sz="8" w:color="007CBA"/>
            </w:tcBorders>
          </w:tcPr>
          <w:p>
            <w:pPr>
              <w:spacing w:after="0"/>
              <w:rPr>
                <w:sz w:val="15"/>
                <w:szCs w:val="15"/>
                <w:color w:val="auto"/>
              </w:rPr>
            </w:pPr>
          </w:p>
        </w:tc>
        <w:tc>
          <w:tcPr>
            <w:tcW w:w="920" w:type="dxa"/>
            <w:vAlign w:val="bottom"/>
            <w:tcBorders>
              <w:right w:val="single" w:sz="8" w:color="007CBA"/>
            </w:tcBorders>
          </w:tcPr>
          <w:p>
            <w:pPr>
              <w:jc w:val="right"/>
              <w:ind w:right="117"/>
              <w:spacing w:after="0" w:line="176" w:lineRule="exact"/>
              <w:rPr>
                <w:sz w:val="20"/>
                <w:szCs w:val="20"/>
                <w:color w:val="auto"/>
              </w:rPr>
            </w:pPr>
            <w:r>
              <w:rPr>
                <w:rFonts w:ascii="Arial" w:cs="Arial" w:eastAsia="Arial" w:hAnsi="Arial"/>
                <w:sz w:val="12"/>
                <w:szCs w:val="12"/>
                <w:color w:val="auto"/>
              </w:rPr>
              <w:t>735</w:t>
            </w:r>
            <w:r>
              <w:rPr>
                <w:rFonts w:ascii="Arial" w:cs="Arial" w:eastAsia="Arial" w:hAnsi="Arial"/>
                <w:sz w:val="20"/>
                <w:szCs w:val="20"/>
                <w:color w:val="auto"/>
                <w:vertAlign w:val="superscript"/>
              </w:rPr>
              <w:t>6</w:t>
            </w:r>
          </w:p>
        </w:tc>
        <w:tc>
          <w:tcPr>
            <w:tcW w:w="1000" w:type="dxa"/>
            <w:vAlign w:val="bottom"/>
            <w:tcBorders>
              <w:right w:val="single" w:sz="8" w:color="007CBA"/>
            </w:tcBorders>
          </w:tcPr>
          <w:p>
            <w:pPr>
              <w:jc w:val="right"/>
              <w:ind w:right="90"/>
              <w:spacing w:after="0"/>
              <w:rPr>
                <w:sz w:val="20"/>
                <w:szCs w:val="20"/>
                <w:color w:val="auto"/>
              </w:rPr>
            </w:pPr>
            <w:r>
              <w:rPr>
                <w:rFonts w:ascii="Arial" w:cs="Arial" w:eastAsia="Arial" w:hAnsi="Arial"/>
                <w:sz w:val="14"/>
                <w:szCs w:val="14"/>
                <w:color w:val="auto"/>
              </w:rPr>
              <w:t>205,535</w:t>
            </w:r>
          </w:p>
        </w:tc>
        <w:tc>
          <w:tcPr>
            <w:tcW w:w="1200" w:type="dxa"/>
            <w:vAlign w:val="bottom"/>
            <w:tcBorders>
              <w:right w:val="single" w:sz="8" w:color="007CBA"/>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900" w:type="dxa"/>
            <w:vAlign w:val="bottom"/>
            <w:tcBorders>
              <w:right w:val="single" w:sz="8" w:color="007CBA"/>
            </w:tcBorders>
            <w:shd w:val="clear" w:color="auto" w:fill="E5F1F8"/>
          </w:tcPr>
          <w:p>
            <w:pPr>
              <w:jc w:val="right"/>
              <w:ind w:right="132"/>
              <w:spacing w:after="0"/>
              <w:rPr>
                <w:sz w:val="20"/>
                <w:szCs w:val="20"/>
                <w:color w:val="auto"/>
              </w:rPr>
            </w:pPr>
            <w:r>
              <w:rPr>
                <w:rFonts w:ascii="Arial" w:cs="Arial" w:eastAsia="Arial" w:hAnsi="Arial"/>
                <w:sz w:val="14"/>
                <w:szCs w:val="14"/>
                <w:color w:val="auto"/>
              </w:rPr>
              <w:t>4,513</w:t>
            </w:r>
          </w:p>
        </w:tc>
        <w:tc>
          <w:tcPr>
            <w:tcW w:w="10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60" w:type="dxa"/>
            <w:vAlign w:val="bottom"/>
            <w:tcBorders>
              <w:right w:val="single" w:sz="8" w:color="007CBA"/>
            </w:tcBorders>
            <w:shd w:val="clear" w:color="auto" w:fill="E5F1F8"/>
          </w:tcPr>
          <w:p>
            <w:pPr>
              <w:jc w:val="right"/>
              <w:ind w:right="11"/>
              <w:spacing w:after="0"/>
              <w:rPr>
                <w:sz w:val="20"/>
                <w:szCs w:val="20"/>
                <w:color w:val="auto"/>
              </w:rPr>
            </w:pPr>
            <w:r>
              <w:rPr>
                <w:rFonts w:ascii="Arial" w:cs="Arial" w:eastAsia="Arial" w:hAnsi="Arial"/>
                <w:sz w:val="14"/>
                <w:szCs w:val="14"/>
                <w:color w:val="auto"/>
              </w:rPr>
              <w:t>69.12</w:t>
            </w:r>
          </w:p>
        </w:tc>
        <w:tc>
          <w:tcPr>
            <w:tcW w:w="900" w:type="dxa"/>
            <w:vAlign w:val="bottom"/>
            <w:tcBorders>
              <w:right w:val="single" w:sz="8" w:color="007CBA"/>
            </w:tcBorders>
            <w:shd w:val="clear" w:color="auto" w:fill="E5F1F8"/>
          </w:tcPr>
          <w:p>
            <w:pPr>
              <w:jc w:val="right"/>
              <w:ind w:right="71"/>
              <w:spacing w:after="0"/>
              <w:rPr>
                <w:sz w:val="20"/>
                <w:szCs w:val="20"/>
                <w:color w:val="auto"/>
              </w:rPr>
            </w:pPr>
            <w:r>
              <w:rPr>
                <w:rFonts w:ascii="Arial" w:cs="Arial" w:eastAsia="Arial" w:hAnsi="Arial"/>
                <w:sz w:val="14"/>
                <w:szCs w:val="14"/>
                <w:color w:val="auto"/>
              </w:rPr>
              <w:t>5/24/2020</w:t>
            </w:r>
          </w:p>
        </w:tc>
        <w:tc>
          <w:tcPr>
            <w:tcW w:w="920" w:type="dxa"/>
            <w:vAlign w:val="bottom"/>
            <w:tcBorders>
              <w:right w:val="single" w:sz="8" w:color="007CBA"/>
            </w:tcBorders>
            <w:shd w:val="clear" w:color="auto" w:fill="E5F1F8"/>
          </w:tcPr>
          <w:p>
            <w:pPr>
              <w:jc w:val="right"/>
              <w:ind w:right="117"/>
              <w:spacing w:after="0" w:line="224" w:lineRule="exact"/>
              <w:rPr>
                <w:sz w:val="20"/>
                <w:szCs w:val="20"/>
                <w:color w:val="auto"/>
              </w:rPr>
            </w:pPr>
            <w:r>
              <w:rPr>
                <w:rFonts w:ascii="Arial" w:cs="Arial" w:eastAsia="Arial" w:hAnsi="Arial"/>
                <w:sz w:val="14"/>
                <w:szCs w:val="14"/>
                <w:color w:val="auto"/>
              </w:rPr>
              <w:t>935</w:t>
            </w:r>
            <w:r>
              <w:rPr>
                <w:rFonts w:ascii="Arial" w:cs="Arial" w:eastAsia="Arial" w:hAnsi="Arial"/>
                <w:sz w:val="24"/>
                <w:szCs w:val="24"/>
                <w:color w:val="auto"/>
                <w:vertAlign w:val="superscript"/>
              </w:rPr>
              <w:t>2</w:t>
            </w:r>
          </w:p>
        </w:tc>
        <w:tc>
          <w:tcPr>
            <w:tcW w:w="100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4"/>
                <w:szCs w:val="14"/>
                <w:color w:val="auto"/>
              </w:rPr>
              <w:t>261,463</w:t>
            </w:r>
          </w:p>
        </w:tc>
        <w:tc>
          <w:tcPr>
            <w:tcW w:w="1200" w:type="dxa"/>
            <w:vAlign w:val="bottom"/>
            <w:tcBorders>
              <w:right w:val="single" w:sz="8" w:color="007CBA"/>
            </w:tcBorders>
            <w:shd w:val="clear" w:color="auto" w:fill="E5F1F8"/>
          </w:tcPr>
          <w:p>
            <w:pPr>
              <w:jc w:val="right"/>
              <w:ind w:right="255"/>
              <w:spacing w:after="0" w:line="224" w:lineRule="exact"/>
              <w:rPr>
                <w:sz w:val="20"/>
                <w:szCs w:val="20"/>
                <w:color w:val="auto"/>
              </w:rPr>
            </w:pPr>
            <w:r>
              <w:rPr>
                <w:rFonts w:ascii="Arial" w:cs="Arial" w:eastAsia="Arial" w:hAnsi="Arial"/>
                <w:sz w:val="14"/>
                <w:szCs w:val="14"/>
                <w:color w:val="auto"/>
              </w:rPr>
              <w:t>3,267</w:t>
            </w:r>
            <w:r>
              <w:rPr>
                <w:rFonts w:ascii="Arial" w:cs="Arial" w:eastAsia="Arial" w:hAnsi="Arial"/>
                <w:sz w:val="24"/>
                <w:szCs w:val="24"/>
                <w:color w:val="auto"/>
                <w:vertAlign w:val="superscript"/>
              </w:rPr>
              <w:t>7</w:t>
            </w:r>
          </w:p>
        </w:tc>
        <w:tc>
          <w:tcPr>
            <w:tcW w:w="1020" w:type="dxa"/>
            <w:vAlign w:val="bottom"/>
            <w:shd w:val="clear" w:color="auto" w:fill="E5F1F8"/>
          </w:tcPr>
          <w:p>
            <w:pPr>
              <w:jc w:val="right"/>
              <w:ind w:right="32"/>
              <w:spacing w:after="0"/>
              <w:rPr>
                <w:sz w:val="20"/>
                <w:szCs w:val="20"/>
                <w:color w:val="auto"/>
              </w:rPr>
            </w:pPr>
            <w:r>
              <w:rPr>
                <w:rFonts w:ascii="Arial" w:cs="Arial" w:eastAsia="Arial" w:hAnsi="Arial"/>
                <w:sz w:val="14"/>
                <w:szCs w:val="14"/>
                <w:color w:val="auto"/>
              </w:rPr>
              <w:t>913,584</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jc w:val="right"/>
              <w:ind w:right="132"/>
              <w:spacing w:after="0" w:line="160" w:lineRule="exact"/>
              <w:rPr>
                <w:sz w:val="20"/>
                <w:szCs w:val="20"/>
                <w:color w:val="auto"/>
              </w:rPr>
            </w:pPr>
            <w:r>
              <w:rPr>
                <w:rFonts w:ascii="Arial" w:cs="Arial" w:eastAsia="Arial" w:hAnsi="Arial"/>
                <w:sz w:val="14"/>
                <w:szCs w:val="14"/>
                <w:color w:val="auto"/>
              </w:rPr>
              <w:t>4,004</w:t>
            </w:r>
          </w:p>
        </w:tc>
        <w:tc>
          <w:tcPr>
            <w:tcW w:w="1020" w:type="dxa"/>
            <w:vAlign w:val="bottom"/>
            <w:tcBorders>
              <w:right w:val="single" w:sz="8" w:color="007CBA"/>
            </w:tcBorders>
            <w:shd w:val="clear" w:color="auto" w:fill="E5F1F8"/>
          </w:tcPr>
          <w:p>
            <w:pPr>
              <w:jc w:val="center"/>
              <w:spacing w:after="0" w:line="160" w:lineRule="exact"/>
              <w:rPr>
                <w:sz w:val="20"/>
                <w:szCs w:val="20"/>
                <w:color w:val="auto"/>
              </w:rPr>
            </w:pPr>
            <w:r>
              <w:rPr>
                <w:rFonts w:ascii="Arial" w:cs="Arial" w:eastAsia="Arial" w:hAnsi="Arial"/>
                <w:sz w:val="14"/>
                <w:szCs w:val="14"/>
                <w:color w:val="auto"/>
              </w:rPr>
              <w:t>0</w:t>
            </w:r>
          </w:p>
        </w:tc>
        <w:tc>
          <w:tcPr>
            <w:tcW w:w="660" w:type="dxa"/>
            <w:vAlign w:val="bottom"/>
            <w:tcBorders>
              <w:right w:val="single" w:sz="8" w:color="007CBA"/>
            </w:tcBorders>
            <w:shd w:val="clear" w:color="auto" w:fill="E5F1F8"/>
          </w:tcPr>
          <w:p>
            <w:pPr>
              <w:jc w:val="right"/>
              <w:ind w:right="11"/>
              <w:spacing w:after="0" w:line="160" w:lineRule="exact"/>
              <w:rPr>
                <w:sz w:val="20"/>
                <w:szCs w:val="20"/>
                <w:color w:val="auto"/>
              </w:rPr>
            </w:pPr>
            <w:r>
              <w:rPr>
                <w:rFonts w:ascii="Arial" w:cs="Arial" w:eastAsia="Arial" w:hAnsi="Arial"/>
                <w:sz w:val="14"/>
                <w:szCs w:val="14"/>
                <w:color w:val="auto"/>
              </w:rPr>
              <w:t>108.24</w:t>
            </w:r>
          </w:p>
        </w:tc>
        <w:tc>
          <w:tcPr>
            <w:tcW w:w="900" w:type="dxa"/>
            <w:vAlign w:val="bottom"/>
            <w:tcBorders>
              <w:right w:val="single" w:sz="8" w:color="007CBA"/>
            </w:tcBorders>
            <w:shd w:val="clear" w:color="auto" w:fill="E5F1F8"/>
          </w:tcPr>
          <w:p>
            <w:pPr>
              <w:jc w:val="right"/>
              <w:ind w:right="71"/>
              <w:spacing w:after="0" w:line="160" w:lineRule="exact"/>
              <w:rPr>
                <w:sz w:val="20"/>
                <w:szCs w:val="20"/>
                <w:color w:val="auto"/>
              </w:rPr>
            </w:pPr>
            <w:r>
              <w:rPr>
                <w:rFonts w:ascii="Arial" w:cs="Arial" w:eastAsia="Arial" w:hAnsi="Arial"/>
                <w:sz w:val="14"/>
                <w:szCs w:val="14"/>
                <w:color w:val="auto"/>
              </w:rPr>
              <w:t>5/23/2023</w:t>
            </w: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1,226</w:t>
            </w:r>
            <w:r>
              <w:rPr>
                <w:rFonts w:ascii="Arial" w:cs="Arial" w:eastAsia="Arial" w:hAnsi="Arial"/>
                <w:sz w:val="18"/>
                <w:szCs w:val="18"/>
                <w:color w:val="auto"/>
                <w:vertAlign w:val="superscript"/>
              </w:rPr>
              <w:t>3</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342,839</w:t>
            </w:r>
          </w:p>
        </w:tc>
        <w:tc>
          <w:tcPr>
            <w:tcW w:w="1200" w:type="dxa"/>
            <w:vAlign w:val="bottom"/>
            <w:tcBorders>
              <w:right w:val="single" w:sz="8" w:color="007CBA"/>
            </w:tcBorders>
            <w:shd w:val="clear" w:color="auto" w:fill="E5F1F8"/>
          </w:tcPr>
          <w:p>
            <w:pPr>
              <w:jc w:val="right"/>
              <w:ind w:right="255"/>
              <w:spacing w:after="0" w:line="160" w:lineRule="exact"/>
              <w:rPr>
                <w:sz w:val="20"/>
                <w:szCs w:val="20"/>
                <w:color w:val="auto"/>
              </w:rPr>
            </w:pPr>
            <w:r>
              <w:rPr>
                <w:rFonts w:ascii="Arial" w:cs="Arial" w:eastAsia="Arial" w:hAnsi="Arial"/>
                <w:sz w:val="11"/>
                <w:szCs w:val="11"/>
                <w:color w:val="auto"/>
              </w:rPr>
              <w:t>2,140</w:t>
            </w:r>
            <w:r>
              <w:rPr>
                <w:rFonts w:ascii="Arial" w:cs="Arial" w:eastAsia="Arial" w:hAnsi="Arial"/>
                <w:sz w:val="18"/>
                <w:szCs w:val="18"/>
                <w:color w:val="auto"/>
                <w:vertAlign w:val="superscript"/>
              </w:rPr>
              <w:t>8</w:t>
            </w:r>
          </w:p>
        </w:tc>
        <w:tc>
          <w:tcPr>
            <w:tcW w:w="1020" w:type="dxa"/>
            <w:vAlign w:val="bottom"/>
            <w:shd w:val="clear" w:color="auto" w:fill="E5F1F8"/>
          </w:tcPr>
          <w:p>
            <w:pPr>
              <w:jc w:val="right"/>
              <w:ind w:right="32"/>
              <w:spacing w:after="0" w:line="160" w:lineRule="exact"/>
              <w:rPr>
                <w:sz w:val="20"/>
                <w:szCs w:val="20"/>
                <w:color w:val="auto"/>
              </w:rPr>
            </w:pPr>
            <w:r>
              <w:rPr>
                <w:rFonts w:ascii="Arial" w:cs="Arial" w:eastAsia="Arial" w:hAnsi="Arial"/>
                <w:sz w:val="14"/>
                <w:szCs w:val="14"/>
                <w:color w:val="auto"/>
              </w:rPr>
              <w:t>598,430</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2,455</w:t>
            </w:r>
            <w:r>
              <w:rPr>
                <w:rFonts w:ascii="Arial" w:cs="Arial" w:eastAsia="Arial" w:hAnsi="Arial"/>
                <w:sz w:val="18"/>
                <w:szCs w:val="18"/>
                <w:color w:val="auto"/>
                <w:vertAlign w:val="superscript"/>
              </w:rPr>
              <w:t>4</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686,516</w:t>
            </w:r>
          </w:p>
        </w:tc>
        <w:tc>
          <w:tcPr>
            <w:tcW w:w="1200" w:type="dxa"/>
            <w:vAlign w:val="bottom"/>
            <w:tcBorders>
              <w:right w:val="single" w:sz="8" w:color="007CBA"/>
            </w:tcBorders>
            <w:shd w:val="clear" w:color="auto" w:fill="E5F1F8"/>
          </w:tcPr>
          <w:p>
            <w:pPr>
              <w:jc w:val="right"/>
              <w:ind w:right="255"/>
              <w:spacing w:after="0" w:line="160" w:lineRule="exact"/>
              <w:rPr>
                <w:sz w:val="20"/>
                <w:szCs w:val="20"/>
                <w:color w:val="auto"/>
              </w:rPr>
            </w:pPr>
            <w:r>
              <w:rPr>
                <w:rFonts w:ascii="Arial" w:cs="Arial" w:eastAsia="Arial" w:hAnsi="Arial"/>
                <w:sz w:val="11"/>
                <w:szCs w:val="11"/>
                <w:color w:val="auto"/>
              </w:rPr>
              <w:t>2,857</w:t>
            </w:r>
            <w:r>
              <w:rPr>
                <w:rFonts w:ascii="Arial" w:cs="Arial" w:eastAsia="Arial" w:hAnsi="Arial"/>
                <w:sz w:val="18"/>
                <w:szCs w:val="18"/>
                <w:color w:val="auto"/>
                <w:vertAlign w:val="superscript"/>
              </w:rPr>
              <w:t>9</w:t>
            </w:r>
          </w:p>
        </w:tc>
        <w:tc>
          <w:tcPr>
            <w:tcW w:w="1020" w:type="dxa"/>
            <w:vAlign w:val="bottom"/>
            <w:shd w:val="clear" w:color="auto" w:fill="E5F1F8"/>
          </w:tcPr>
          <w:p>
            <w:pPr>
              <w:jc w:val="right"/>
              <w:ind w:right="32"/>
              <w:spacing w:after="0" w:line="160" w:lineRule="exact"/>
              <w:rPr>
                <w:sz w:val="20"/>
                <w:szCs w:val="20"/>
                <w:color w:val="auto"/>
              </w:rPr>
            </w:pPr>
            <w:r>
              <w:rPr>
                <w:rFonts w:ascii="Arial" w:cs="Arial" w:eastAsia="Arial" w:hAnsi="Arial"/>
                <w:sz w:val="14"/>
                <w:szCs w:val="14"/>
                <w:color w:val="auto"/>
              </w:rPr>
              <w:t>798,931</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935</w:t>
            </w:r>
            <w:r>
              <w:rPr>
                <w:rFonts w:ascii="Arial" w:cs="Arial" w:eastAsia="Arial" w:hAnsi="Arial"/>
                <w:sz w:val="18"/>
                <w:szCs w:val="18"/>
                <w:color w:val="auto"/>
                <w:vertAlign w:val="superscript"/>
              </w:rPr>
              <w:t>5</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261,463</w:t>
            </w:r>
          </w:p>
        </w:tc>
        <w:tc>
          <w:tcPr>
            <w:tcW w:w="1200" w:type="dxa"/>
            <w:vAlign w:val="bottom"/>
            <w:tcBorders>
              <w:right w:val="single" w:sz="8" w:color="007CBA"/>
            </w:tcBorders>
            <w:shd w:val="clear" w:color="auto" w:fill="E5F1F8"/>
          </w:tcPr>
          <w:p>
            <w:pPr>
              <w:spacing w:after="0"/>
              <w:rPr>
                <w:sz w:val="13"/>
                <w:szCs w:val="13"/>
                <w:color w:val="auto"/>
              </w:rPr>
            </w:pPr>
          </w:p>
        </w:tc>
        <w:tc>
          <w:tcPr>
            <w:tcW w:w="102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Borders>
              <w:right w:val="single" w:sz="8" w:color="007CBA"/>
            </w:tcBorders>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1020" w:type="dxa"/>
            <w:vAlign w:val="bottom"/>
            <w:tcBorders>
              <w:right w:val="single" w:sz="8" w:color="007CBA"/>
            </w:tcBorders>
            <w:shd w:val="clear" w:color="auto" w:fill="E5F1F8"/>
          </w:tcPr>
          <w:p>
            <w:pPr>
              <w:spacing w:after="0"/>
              <w:rPr>
                <w:sz w:val="15"/>
                <w:szCs w:val="15"/>
                <w:color w:val="auto"/>
              </w:rPr>
            </w:pPr>
          </w:p>
        </w:tc>
        <w:tc>
          <w:tcPr>
            <w:tcW w:w="660" w:type="dxa"/>
            <w:vAlign w:val="bottom"/>
            <w:tcBorders>
              <w:right w:val="single" w:sz="8" w:color="007CBA"/>
            </w:tcBorders>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920" w:type="dxa"/>
            <w:vAlign w:val="bottom"/>
            <w:tcBorders>
              <w:right w:val="single" w:sz="8" w:color="007CBA"/>
            </w:tcBorders>
            <w:shd w:val="clear" w:color="auto" w:fill="E5F1F8"/>
          </w:tcPr>
          <w:p>
            <w:pPr>
              <w:jc w:val="right"/>
              <w:ind w:right="117"/>
              <w:spacing w:after="0" w:line="176" w:lineRule="exact"/>
              <w:rPr>
                <w:sz w:val="20"/>
                <w:szCs w:val="20"/>
                <w:color w:val="auto"/>
              </w:rPr>
            </w:pPr>
            <w:r>
              <w:rPr>
                <w:rFonts w:ascii="Arial" w:cs="Arial" w:eastAsia="Arial" w:hAnsi="Arial"/>
                <w:sz w:val="12"/>
                <w:szCs w:val="12"/>
                <w:color w:val="auto"/>
              </w:rPr>
              <w:t>1,385</w:t>
            </w:r>
            <w:r>
              <w:rPr>
                <w:rFonts w:ascii="Arial" w:cs="Arial" w:eastAsia="Arial" w:hAnsi="Arial"/>
                <w:sz w:val="20"/>
                <w:szCs w:val="20"/>
                <w:color w:val="auto"/>
                <w:vertAlign w:val="superscript"/>
              </w:rPr>
              <w:t>6</w:t>
            </w:r>
          </w:p>
        </w:tc>
        <w:tc>
          <w:tcPr>
            <w:tcW w:w="100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4"/>
                <w:szCs w:val="14"/>
                <w:color w:val="auto"/>
              </w:rPr>
              <w:t>387,301</w:t>
            </w:r>
          </w:p>
        </w:tc>
        <w:tc>
          <w:tcPr>
            <w:tcW w:w="1200" w:type="dxa"/>
            <w:vAlign w:val="bottom"/>
            <w:tcBorders>
              <w:right w:val="single" w:sz="8" w:color="007CBA"/>
            </w:tcBorders>
            <w:shd w:val="clear" w:color="auto" w:fill="E5F1F8"/>
          </w:tcPr>
          <w:p>
            <w:pPr>
              <w:spacing w:after="0"/>
              <w:rPr>
                <w:sz w:val="15"/>
                <w:szCs w:val="15"/>
                <w:color w:val="auto"/>
              </w:rPr>
            </w:pPr>
          </w:p>
        </w:tc>
        <w:tc>
          <w:tcPr>
            <w:tcW w:w="102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Craig M. LaTorre</w:t>
            </w:r>
          </w:p>
        </w:tc>
        <w:tc>
          <w:tcPr>
            <w:tcW w:w="900" w:type="dxa"/>
            <w:vAlign w:val="bottom"/>
            <w:tcBorders>
              <w:right w:val="single" w:sz="8" w:color="007CBA"/>
            </w:tcBorders>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660" w:type="dxa"/>
            <w:vAlign w:val="bottom"/>
            <w:tcBorders>
              <w:right w:val="single" w:sz="8" w:color="007CBA"/>
            </w:tcBorders>
          </w:tcPr>
          <w:p>
            <w:pPr>
              <w:spacing w:after="0"/>
              <w:rPr>
                <w:sz w:val="19"/>
                <w:szCs w:val="19"/>
                <w:color w:val="auto"/>
              </w:rPr>
            </w:pPr>
          </w:p>
        </w:tc>
        <w:tc>
          <w:tcPr>
            <w:tcW w:w="900" w:type="dxa"/>
            <w:vAlign w:val="bottom"/>
            <w:tcBorders>
              <w:right w:val="single" w:sz="8" w:color="007CBA"/>
            </w:tcBorders>
          </w:tcPr>
          <w:p>
            <w:pPr>
              <w:spacing w:after="0"/>
              <w:rPr>
                <w:sz w:val="19"/>
                <w:szCs w:val="19"/>
                <w:color w:val="auto"/>
              </w:rPr>
            </w:pPr>
          </w:p>
        </w:tc>
        <w:tc>
          <w:tcPr>
            <w:tcW w:w="920" w:type="dxa"/>
            <w:vAlign w:val="bottom"/>
            <w:tcBorders>
              <w:right w:val="single" w:sz="8" w:color="007CBA"/>
            </w:tcBorders>
          </w:tcPr>
          <w:p>
            <w:pPr>
              <w:jc w:val="right"/>
              <w:ind w:right="97"/>
              <w:spacing w:after="0" w:line="224" w:lineRule="exact"/>
              <w:rPr>
                <w:sz w:val="20"/>
                <w:szCs w:val="20"/>
                <w:color w:val="auto"/>
              </w:rPr>
            </w:pPr>
            <w:r>
              <w:rPr>
                <w:rFonts w:ascii="Arial" w:cs="Arial" w:eastAsia="Arial" w:hAnsi="Arial"/>
                <w:sz w:val="14"/>
                <w:szCs w:val="14"/>
                <w:color w:val="auto"/>
              </w:rPr>
              <w:t>5,892</w:t>
            </w:r>
            <w:r>
              <w:rPr>
                <w:rFonts w:ascii="Arial" w:cs="Arial" w:eastAsia="Arial" w:hAnsi="Arial"/>
                <w:sz w:val="24"/>
                <w:szCs w:val="24"/>
                <w:color w:val="auto"/>
                <w:vertAlign w:val="superscript"/>
              </w:rPr>
              <w:t>11</w:t>
            </w:r>
          </w:p>
        </w:tc>
        <w:tc>
          <w:tcPr>
            <w:tcW w:w="1000" w:type="dxa"/>
            <w:vAlign w:val="bottom"/>
            <w:tcBorders>
              <w:right w:val="single" w:sz="8" w:color="007CBA"/>
            </w:tcBorders>
          </w:tcPr>
          <w:p>
            <w:pPr>
              <w:jc w:val="right"/>
              <w:ind w:right="90"/>
              <w:spacing w:after="0"/>
              <w:rPr>
                <w:sz w:val="20"/>
                <w:szCs w:val="20"/>
                <w:color w:val="auto"/>
              </w:rPr>
            </w:pPr>
            <w:r>
              <w:rPr>
                <w:rFonts w:ascii="Arial" w:cs="Arial" w:eastAsia="Arial" w:hAnsi="Arial"/>
                <w:sz w:val="14"/>
                <w:szCs w:val="14"/>
                <w:color w:val="auto"/>
              </w:rPr>
              <w:t>1,647,639</w:t>
            </w:r>
          </w:p>
        </w:tc>
        <w:tc>
          <w:tcPr>
            <w:tcW w:w="1200" w:type="dxa"/>
            <w:vAlign w:val="bottom"/>
            <w:tcBorders>
              <w:right w:val="single" w:sz="8" w:color="007CBA"/>
            </w:tcBorders>
          </w:tcPr>
          <w:p>
            <w:pPr>
              <w:jc w:val="right"/>
              <w:ind w:right="255"/>
              <w:spacing w:after="0" w:line="224" w:lineRule="exact"/>
              <w:rPr>
                <w:sz w:val="20"/>
                <w:szCs w:val="20"/>
                <w:color w:val="auto"/>
              </w:rPr>
            </w:pPr>
            <w:r>
              <w:rPr>
                <w:rFonts w:ascii="Arial" w:cs="Arial" w:eastAsia="Arial" w:hAnsi="Arial"/>
                <w:sz w:val="14"/>
                <w:szCs w:val="14"/>
                <w:color w:val="auto"/>
              </w:rPr>
              <w:t>1,042</w:t>
            </w:r>
            <w:r>
              <w:rPr>
                <w:rFonts w:ascii="Arial" w:cs="Arial" w:eastAsia="Arial" w:hAnsi="Arial"/>
                <w:sz w:val="24"/>
                <w:szCs w:val="24"/>
                <w:color w:val="auto"/>
                <w:vertAlign w:val="superscript"/>
              </w:rPr>
              <w:t>9</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291,385</w:t>
            </w:r>
          </w:p>
        </w:tc>
        <w:tc>
          <w:tcPr>
            <w:tcW w:w="0" w:type="dxa"/>
            <w:vAlign w:val="bottom"/>
          </w:tcPr>
          <w:p>
            <w:pPr>
              <w:spacing w:after="0"/>
              <w:rPr>
                <w:sz w:val="1"/>
                <w:szCs w:val="1"/>
                <w:color w:val="auto"/>
              </w:rPr>
            </w:pPr>
          </w:p>
        </w:tc>
      </w:tr>
      <w:tr>
        <w:trPr>
          <w:trHeight w:val="176"/>
        </w:trPr>
        <w:tc>
          <w:tcPr>
            <w:tcW w:w="3240" w:type="dxa"/>
            <w:vAlign w:val="bottom"/>
            <w:tcBorders>
              <w:right w:val="single" w:sz="8" w:color="007CBA"/>
            </w:tcBorders>
          </w:tcPr>
          <w:p>
            <w:pPr>
              <w:spacing w:after="0"/>
              <w:rPr>
                <w:sz w:val="15"/>
                <w:szCs w:val="15"/>
                <w:color w:val="auto"/>
              </w:rPr>
            </w:pPr>
          </w:p>
        </w:tc>
        <w:tc>
          <w:tcPr>
            <w:tcW w:w="900" w:type="dxa"/>
            <w:vAlign w:val="bottom"/>
            <w:tcBorders>
              <w:right w:val="single" w:sz="8" w:color="007CBA"/>
            </w:tcBorders>
          </w:tcPr>
          <w:p>
            <w:pPr>
              <w:spacing w:after="0"/>
              <w:rPr>
                <w:sz w:val="15"/>
                <w:szCs w:val="15"/>
                <w:color w:val="auto"/>
              </w:rPr>
            </w:pPr>
          </w:p>
        </w:tc>
        <w:tc>
          <w:tcPr>
            <w:tcW w:w="1020" w:type="dxa"/>
            <w:vAlign w:val="bottom"/>
            <w:tcBorders>
              <w:right w:val="single" w:sz="8" w:color="007CBA"/>
            </w:tcBorders>
          </w:tcPr>
          <w:p>
            <w:pPr>
              <w:spacing w:after="0"/>
              <w:rPr>
                <w:sz w:val="15"/>
                <w:szCs w:val="15"/>
                <w:color w:val="auto"/>
              </w:rPr>
            </w:pPr>
          </w:p>
        </w:tc>
        <w:tc>
          <w:tcPr>
            <w:tcW w:w="660" w:type="dxa"/>
            <w:vAlign w:val="bottom"/>
            <w:tcBorders>
              <w:right w:val="single" w:sz="8" w:color="007CBA"/>
            </w:tcBorders>
          </w:tcPr>
          <w:p>
            <w:pPr>
              <w:spacing w:after="0"/>
              <w:rPr>
                <w:sz w:val="15"/>
                <w:szCs w:val="15"/>
                <w:color w:val="auto"/>
              </w:rPr>
            </w:pPr>
          </w:p>
        </w:tc>
        <w:tc>
          <w:tcPr>
            <w:tcW w:w="900" w:type="dxa"/>
            <w:vAlign w:val="bottom"/>
            <w:tcBorders>
              <w:right w:val="single" w:sz="8" w:color="007CBA"/>
            </w:tcBorders>
          </w:tcPr>
          <w:p>
            <w:pPr>
              <w:spacing w:after="0"/>
              <w:rPr>
                <w:sz w:val="15"/>
                <w:szCs w:val="15"/>
                <w:color w:val="auto"/>
              </w:rPr>
            </w:pPr>
          </w:p>
        </w:tc>
        <w:tc>
          <w:tcPr>
            <w:tcW w:w="920" w:type="dxa"/>
            <w:vAlign w:val="bottom"/>
            <w:tcBorders>
              <w:right w:val="single" w:sz="8" w:color="007CBA"/>
            </w:tcBorders>
          </w:tcPr>
          <w:p>
            <w:pPr>
              <w:jc w:val="right"/>
              <w:ind w:right="117"/>
              <w:spacing w:after="0" w:line="176" w:lineRule="exact"/>
              <w:rPr>
                <w:sz w:val="20"/>
                <w:szCs w:val="20"/>
                <w:color w:val="auto"/>
              </w:rPr>
            </w:pPr>
            <w:r>
              <w:rPr>
                <w:rFonts w:ascii="Arial" w:cs="Arial" w:eastAsia="Arial" w:hAnsi="Arial"/>
                <w:sz w:val="12"/>
                <w:szCs w:val="12"/>
                <w:color w:val="auto"/>
              </w:rPr>
              <w:t>2,188</w:t>
            </w:r>
            <w:r>
              <w:rPr>
                <w:rFonts w:ascii="Arial" w:cs="Arial" w:eastAsia="Arial" w:hAnsi="Arial"/>
                <w:sz w:val="20"/>
                <w:szCs w:val="20"/>
                <w:color w:val="auto"/>
                <w:vertAlign w:val="superscript"/>
              </w:rPr>
              <w:t>4</w:t>
            </w:r>
          </w:p>
        </w:tc>
        <w:tc>
          <w:tcPr>
            <w:tcW w:w="1000" w:type="dxa"/>
            <w:vAlign w:val="bottom"/>
            <w:tcBorders>
              <w:right w:val="single" w:sz="8" w:color="007CBA"/>
            </w:tcBorders>
          </w:tcPr>
          <w:p>
            <w:pPr>
              <w:jc w:val="right"/>
              <w:ind w:right="90"/>
              <w:spacing w:after="0"/>
              <w:rPr>
                <w:sz w:val="20"/>
                <w:szCs w:val="20"/>
                <w:color w:val="auto"/>
              </w:rPr>
            </w:pPr>
            <w:r>
              <w:rPr>
                <w:rFonts w:ascii="Arial" w:cs="Arial" w:eastAsia="Arial" w:hAnsi="Arial"/>
                <w:sz w:val="14"/>
                <w:szCs w:val="14"/>
                <w:color w:val="auto"/>
              </w:rPr>
              <w:t>611,852</w:t>
            </w:r>
          </w:p>
        </w:tc>
        <w:tc>
          <w:tcPr>
            <w:tcW w:w="1200" w:type="dxa"/>
            <w:vAlign w:val="bottom"/>
            <w:tcBorders>
              <w:right w:val="single" w:sz="8" w:color="007CBA"/>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900" w:type="dxa"/>
            <w:vAlign w:val="bottom"/>
            <w:tcBorders>
              <w:right w:val="single" w:sz="8" w:color="007CBA"/>
            </w:tcBorders>
            <w:shd w:val="clear" w:color="auto" w:fill="E5F1F8"/>
          </w:tcPr>
          <w:p>
            <w:pPr>
              <w:jc w:val="right"/>
              <w:ind w:right="172"/>
              <w:spacing w:after="0"/>
              <w:rPr>
                <w:sz w:val="20"/>
                <w:szCs w:val="20"/>
                <w:color w:val="auto"/>
              </w:rPr>
            </w:pPr>
            <w:r>
              <w:rPr>
                <w:rFonts w:ascii="Arial" w:cs="Arial" w:eastAsia="Arial" w:hAnsi="Arial"/>
                <w:sz w:val="14"/>
                <w:szCs w:val="14"/>
                <w:color w:val="auto"/>
              </w:rPr>
              <w:t>816</w:t>
            </w:r>
          </w:p>
        </w:tc>
        <w:tc>
          <w:tcPr>
            <w:tcW w:w="10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60" w:type="dxa"/>
            <w:vAlign w:val="bottom"/>
            <w:tcBorders>
              <w:right w:val="single" w:sz="8" w:color="007CBA"/>
            </w:tcBorders>
            <w:shd w:val="clear" w:color="auto" w:fill="E5F1F8"/>
          </w:tcPr>
          <w:p>
            <w:pPr>
              <w:jc w:val="right"/>
              <w:ind w:right="11"/>
              <w:spacing w:after="0"/>
              <w:rPr>
                <w:sz w:val="20"/>
                <w:szCs w:val="20"/>
                <w:color w:val="auto"/>
              </w:rPr>
            </w:pPr>
            <w:r>
              <w:rPr>
                <w:rFonts w:ascii="Arial" w:cs="Arial" w:eastAsia="Arial" w:hAnsi="Arial"/>
                <w:sz w:val="14"/>
                <w:szCs w:val="14"/>
                <w:color w:val="auto"/>
              </w:rPr>
              <w:t>121.00</w:t>
            </w:r>
          </w:p>
        </w:tc>
        <w:tc>
          <w:tcPr>
            <w:tcW w:w="900" w:type="dxa"/>
            <w:vAlign w:val="bottom"/>
            <w:tcBorders>
              <w:right w:val="single" w:sz="8" w:color="007CBA"/>
            </w:tcBorders>
            <w:shd w:val="clear" w:color="auto" w:fill="E5F1F8"/>
          </w:tcPr>
          <w:p>
            <w:pPr>
              <w:jc w:val="right"/>
              <w:ind w:right="71"/>
              <w:spacing w:after="0"/>
              <w:rPr>
                <w:sz w:val="20"/>
                <w:szCs w:val="20"/>
                <w:color w:val="auto"/>
              </w:rPr>
            </w:pPr>
            <w:r>
              <w:rPr>
                <w:rFonts w:ascii="Arial" w:cs="Arial" w:eastAsia="Arial" w:hAnsi="Arial"/>
                <w:sz w:val="14"/>
                <w:szCs w:val="14"/>
                <w:color w:val="auto"/>
              </w:rPr>
              <w:t>5/22/2024</w:t>
            </w:r>
          </w:p>
        </w:tc>
        <w:tc>
          <w:tcPr>
            <w:tcW w:w="920" w:type="dxa"/>
            <w:vAlign w:val="bottom"/>
            <w:tcBorders>
              <w:right w:val="single" w:sz="8" w:color="007CBA"/>
            </w:tcBorders>
            <w:shd w:val="clear" w:color="auto" w:fill="E5F1F8"/>
          </w:tcPr>
          <w:p>
            <w:pPr>
              <w:jc w:val="right"/>
              <w:ind w:right="117"/>
              <w:spacing w:after="0" w:line="224" w:lineRule="exact"/>
              <w:rPr>
                <w:sz w:val="20"/>
                <w:szCs w:val="20"/>
                <w:color w:val="auto"/>
              </w:rPr>
            </w:pPr>
            <w:r>
              <w:rPr>
                <w:rFonts w:ascii="Arial" w:cs="Arial" w:eastAsia="Arial" w:hAnsi="Arial"/>
                <w:sz w:val="14"/>
                <w:szCs w:val="14"/>
                <w:color w:val="auto"/>
              </w:rPr>
              <w:t>632</w:t>
            </w:r>
            <w:r>
              <w:rPr>
                <w:rFonts w:ascii="Arial" w:cs="Arial" w:eastAsia="Arial" w:hAnsi="Arial"/>
                <w:sz w:val="24"/>
                <w:szCs w:val="24"/>
                <w:color w:val="auto"/>
                <w:vertAlign w:val="superscript"/>
              </w:rPr>
              <w:t>2</w:t>
            </w:r>
          </w:p>
        </w:tc>
        <w:tc>
          <w:tcPr>
            <w:tcW w:w="100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4"/>
                <w:szCs w:val="14"/>
                <w:color w:val="auto"/>
              </w:rPr>
              <w:t>176,732</w:t>
            </w:r>
          </w:p>
        </w:tc>
        <w:tc>
          <w:tcPr>
            <w:tcW w:w="1200" w:type="dxa"/>
            <w:vAlign w:val="bottom"/>
            <w:tcBorders>
              <w:right w:val="single" w:sz="8" w:color="007CBA"/>
            </w:tcBorders>
            <w:shd w:val="clear" w:color="auto" w:fill="E5F1F8"/>
          </w:tcPr>
          <w:p>
            <w:pPr>
              <w:jc w:val="right"/>
              <w:ind w:right="255"/>
              <w:spacing w:after="0" w:line="224" w:lineRule="exact"/>
              <w:rPr>
                <w:sz w:val="20"/>
                <w:szCs w:val="20"/>
                <w:color w:val="auto"/>
              </w:rPr>
            </w:pPr>
            <w:r>
              <w:rPr>
                <w:rFonts w:ascii="Arial" w:cs="Arial" w:eastAsia="Arial" w:hAnsi="Arial"/>
                <w:sz w:val="14"/>
                <w:szCs w:val="14"/>
                <w:color w:val="auto"/>
              </w:rPr>
              <w:t>2,210</w:t>
            </w:r>
            <w:r>
              <w:rPr>
                <w:rFonts w:ascii="Arial" w:cs="Arial" w:eastAsia="Arial" w:hAnsi="Arial"/>
                <w:sz w:val="24"/>
                <w:szCs w:val="24"/>
                <w:color w:val="auto"/>
                <w:vertAlign w:val="superscript"/>
              </w:rPr>
              <w:t>7</w:t>
            </w:r>
          </w:p>
        </w:tc>
        <w:tc>
          <w:tcPr>
            <w:tcW w:w="1020" w:type="dxa"/>
            <w:vAlign w:val="bottom"/>
            <w:shd w:val="clear" w:color="auto" w:fill="E5F1F8"/>
          </w:tcPr>
          <w:p>
            <w:pPr>
              <w:jc w:val="right"/>
              <w:ind w:right="32"/>
              <w:spacing w:after="0"/>
              <w:rPr>
                <w:sz w:val="20"/>
                <w:szCs w:val="20"/>
                <w:color w:val="auto"/>
              </w:rPr>
            </w:pPr>
            <w:r>
              <w:rPr>
                <w:rFonts w:ascii="Arial" w:cs="Arial" w:eastAsia="Arial" w:hAnsi="Arial"/>
                <w:sz w:val="14"/>
                <w:szCs w:val="14"/>
                <w:color w:val="auto"/>
              </w:rPr>
              <w:t>618,004</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jc w:val="right"/>
              <w:ind w:right="172"/>
              <w:spacing w:after="0" w:line="160" w:lineRule="exact"/>
              <w:rPr>
                <w:sz w:val="20"/>
                <w:szCs w:val="20"/>
                <w:color w:val="auto"/>
              </w:rPr>
            </w:pPr>
            <w:r>
              <w:rPr>
                <w:rFonts w:ascii="Arial" w:cs="Arial" w:eastAsia="Arial" w:hAnsi="Arial"/>
                <w:sz w:val="14"/>
                <w:szCs w:val="14"/>
                <w:color w:val="auto"/>
              </w:rPr>
              <w:t>1,076</w:t>
            </w:r>
          </w:p>
        </w:tc>
        <w:tc>
          <w:tcPr>
            <w:tcW w:w="1020" w:type="dxa"/>
            <w:vAlign w:val="bottom"/>
            <w:tcBorders>
              <w:right w:val="single" w:sz="8" w:color="007CBA"/>
            </w:tcBorders>
            <w:shd w:val="clear" w:color="auto" w:fill="E5F1F8"/>
          </w:tcPr>
          <w:p>
            <w:pPr>
              <w:jc w:val="center"/>
              <w:spacing w:after="0" w:line="160" w:lineRule="exact"/>
              <w:rPr>
                <w:sz w:val="20"/>
                <w:szCs w:val="20"/>
                <w:color w:val="auto"/>
              </w:rPr>
            </w:pPr>
            <w:r>
              <w:rPr>
                <w:rFonts w:ascii="Arial" w:cs="Arial" w:eastAsia="Arial" w:hAnsi="Arial"/>
                <w:sz w:val="14"/>
                <w:szCs w:val="14"/>
                <w:color w:val="auto"/>
              </w:rPr>
              <w:t>0</w:t>
            </w:r>
          </w:p>
        </w:tc>
        <w:tc>
          <w:tcPr>
            <w:tcW w:w="660" w:type="dxa"/>
            <w:vAlign w:val="bottom"/>
            <w:tcBorders>
              <w:right w:val="single" w:sz="8" w:color="007CBA"/>
            </w:tcBorders>
            <w:shd w:val="clear" w:color="auto" w:fill="E5F1F8"/>
          </w:tcPr>
          <w:p>
            <w:pPr>
              <w:jc w:val="right"/>
              <w:ind w:right="11"/>
              <w:spacing w:after="0" w:line="160" w:lineRule="exact"/>
              <w:rPr>
                <w:sz w:val="20"/>
                <w:szCs w:val="20"/>
                <w:color w:val="auto"/>
              </w:rPr>
            </w:pPr>
            <w:r>
              <w:rPr>
                <w:rFonts w:ascii="Arial" w:cs="Arial" w:eastAsia="Arial" w:hAnsi="Arial"/>
                <w:sz w:val="14"/>
                <w:szCs w:val="14"/>
                <w:color w:val="auto"/>
              </w:rPr>
              <w:t>154.58</w:t>
            </w:r>
          </w:p>
        </w:tc>
        <w:tc>
          <w:tcPr>
            <w:tcW w:w="900" w:type="dxa"/>
            <w:vAlign w:val="bottom"/>
            <w:tcBorders>
              <w:right w:val="single" w:sz="8" w:color="007CBA"/>
            </w:tcBorders>
            <w:shd w:val="clear" w:color="auto" w:fill="E5F1F8"/>
          </w:tcPr>
          <w:p>
            <w:pPr>
              <w:jc w:val="right"/>
              <w:ind w:right="71"/>
              <w:spacing w:after="0" w:line="160" w:lineRule="exact"/>
              <w:rPr>
                <w:sz w:val="20"/>
                <w:szCs w:val="20"/>
                <w:color w:val="auto"/>
              </w:rPr>
            </w:pPr>
            <w:r>
              <w:rPr>
                <w:rFonts w:ascii="Arial" w:cs="Arial" w:eastAsia="Arial" w:hAnsi="Arial"/>
                <w:sz w:val="14"/>
                <w:szCs w:val="14"/>
                <w:color w:val="auto"/>
              </w:rPr>
              <w:t>5/21/2025</w:t>
            </w: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642</w:t>
            </w:r>
            <w:r>
              <w:rPr>
                <w:rFonts w:ascii="Arial" w:cs="Arial" w:eastAsia="Arial" w:hAnsi="Arial"/>
                <w:sz w:val="18"/>
                <w:szCs w:val="18"/>
                <w:color w:val="auto"/>
                <w:vertAlign w:val="superscript"/>
              </w:rPr>
              <w:t>3</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179,529</w:t>
            </w:r>
          </w:p>
        </w:tc>
        <w:tc>
          <w:tcPr>
            <w:tcW w:w="1200" w:type="dxa"/>
            <w:vAlign w:val="bottom"/>
            <w:tcBorders>
              <w:right w:val="single" w:sz="8" w:color="007CBA"/>
            </w:tcBorders>
            <w:shd w:val="clear" w:color="auto" w:fill="E5F1F8"/>
          </w:tcPr>
          <w:p>
            <w:pPr>
              <w:jc w:val="right"/>
              <w:ind w:right="255"/>
              <w:spacing w:after="0" w:line="160" w:lineRule="exact"/>
              <w:rPr>
                <w:sz w:val="20"/>
                <w:szCs w:val="20"/>
                <w:color w:val="auto"/>
              </w:rPr>
            </w:pPr>
            <w:r>
              <w:rPr>
                <w:rFonts w:ascii="Arial" w:cs="Arial" w:eastAsia="Arial" w:hAnsi="Arial"/>
                <w:sz w:val="11"/>
                <w:szCs w:val="11"/>
                <w:color w:val="auto"/>
              </w:rPr>
              <w:t>1,120</w:t>
            </w:r>
            <w:r>
              <w:rPr>
                <w:rFonts w:ascii="Arial" w:cs="Arial" w:eastAsia="Arial" w:hAnsi="Arial"/>
                <w:sz w:val="18"/>
                <w:szCs w:val="18"/>
                <w:color w:val="auto"/>
                <w:vertAlign w:val="superscript"/>
              </w:rPr>
              <w:t>8</w:t>
            </w:r>
          </w:p>
        </w:tc>
        <w:tc>
          <w:tcPr>
            <w:tcW w:w="1020" w:type="dxa"/>
            <w:vAlign w:val="bottom"/>
            <w:shd w:val="clear" w:color="auto" w:fill="E5F1F8"/>
          </w:tcPr>
          <w:p>
            <w:pPr>
              <w:jc w:val="right"/>
              <w:ind w:right="32"/>
              <w:spacing w:after="0" w:line="160" w:lineRule="exact"/>
              <w:rPr>
                <w:sz w:val="20"/>
                <w:szCs w:val="20"/>
                <w:color w:val="auto"/>
              </w:rPr>
            </w:pPr>
            <w:r>
              <w:rPr>
                <w:rFonts w:ascii="Arial" w:cs="Arial" w:eastAsia="Arial" w:hAnsi="Arial"/>
                <w:sz w:val="14"/>
                <w:szCs w:val="14"/>
                <w:color w:val="auto"/>
              </w:rPr>
              <w:t>313,197</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1,217</w:t>
            </w:r>
            <w:r>
              <w:rPr>
                <w:rFonts w:ascii="Arial" w:cs="Arial" w:eastAsia="Arial" w:hAnsi="Arial"/>
                <w:sz w:val="18"/>
                <w:szCs w:val="18"/>
                <w:color w:val="auto"/>
                <w:vertAlign w:val="superscript"/>
              </w:rPr>
              <w:t>4</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340,322</w:t>
            </w:r>
          </w:p>
        </w:tc>
        <w:tc>
          <w:tcPr>
            <w:tcW w:w="1200" w:type="dxa"/>
            <w:vAlign w:val="bottom"/>
            <w:tcBorders>
              <w:right w:val="single" w:sz="8" w:color="007CBA"/>
            </w:tcBorders>
            <w:shd w:val="clear" w:color="auto" w:fill="E5F1F8"/>
          </w:tcPr>
          <w:p>
            <w:pPr>
              <w:jc w:val="right"/>
              <w:ind w:right="255"/>
              <w:spacing w:after="0" w:line="160" w:lineRule="exact"/>
              <w:rPr>
                <w:sz w:val="20"/>
                <w:szCs w:val="20"/>
                <w:color w:val="auto"/>
              </w:rPr>
            </w:pPr>
            <w:r>
              <w:rPr>
                <w:rFonts w:ascii="Arial" w:cs="Arial" w:eastAsia="Arial" w:hAnsi="Arial"/>
                <w:sz w:val="11"/>
                <w:szCs w:val="11"/>
                <w:color w:val="auto"/>
              </w:rPr>
              <w:t>1,477</w:t>
            </w:r>
            <w:r>
              <w:rPr>
                <w:rFonts w:ascii="Arial" w:cs="Arial" w:eastAsia="Arial" w:hAnsi="Arial"/>
                <w:sz w:val="18"/>
                <w:szCs w:val="18"/>
                <w:color w:val="auto"/>
                <w:vertAlign w:val="superscript"/>
              </w:rPr>
              <w:t>9</w:t>
            </w:r>
          </w:p>
        </w:tc>
        <w:tc>
          <w:tcPr>
            <w:tcW w:w="1020" w:type="dxa"/>
            <w:vAlign w:val="bottom"/>
            <w:shd w:val="clear" w:color="auto" w:fill="E5F1F8"/>
          </w:tcPr>
          <w:p>
            <w:pPr>
              <w:jc w:val="right"/>
              <w:ind w:right="32"/>
              <w:spacing w:after="0" w:line="160" w:lineRule="exact"/>
              <w:rPr>
                <w:sz w:val="20"/>
                <w:szCs w:val="20"/>
                <w:color w:val="auto"/>
              </w:rPr>
            </w:pPr>
            <w:r>
              <w:rPr>
                <w:rFonts w:ascii="Arial" w:cs="Arial" w:eastAsia="Arial" w:hAnsi="Arial"/>
                <w:sz w:val="14"/>
                <w:szCs w:val="14"/>
                <w:color w:val="auto"/>
              </w:rPr>
              <w:t>413,028</w:t>
            </w:r>
          </w:p>
        </w:tc>
        <w:tc>
          <w:tcPr>
            <w:tcW w:w="0" w:type="dxa"/>
            <w:vAlign w:val="bottom"/>
          </w:tcPr>
          <w:p>
            <w:pPr>
              <w:spacing w:after="0"/>
              <w:rPr>
                <w:sz w:val="1"/>
                <w:szCs w:val="1"/>
                <w:color w:val="auto"/>
              </w:rPr>
            </w:pPr>
          </w:p>
        </w:tc>
      </w:tr>
      <w:tr>
        <w:trPr>
          <w:trHeight w:val="160"/>
        </w:trPr>
        <w:tc>
          <w:tcPr>
            <w:tcW w:w="324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102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900" w:type="dxa"/>
            <w:vAlign w:val="bottom"/>
            <w:tcBorders>
              <w:right w:val="single" w:sz="8" w:color="007CBA"/>
            </w:tcBorders>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17"/>
              <w:spacing w:after="0" w:line="160" w:lineRule="exact"/>
              <w:rPr>
                <w:sz w:val="20"/>
                <w:szCs w:val="20"/>
                <w:color w:val="auto"/>
              </w:rPr>
            </w:pPr>
            <w:r>
              <w:rPr>
                <w:rFonts w:ascii="Arial" w:cs="Arial" w:eastAsia="Arial" w:hAnsi="Arial"/>
                <w:sz w:val="11"/>
                <w:szCs w:val="11"/>
                <w:color w:val="auto"/>
              </w:rPr>
              <w:t>502</w:t>
            </w:r>
            <w:r>
              <w:rPr>
                <w:rFonts w:ascii="Arial" w:cs="Arial" w:eastAsia="Arial" w:hAnsi="Arial"/>
                <w:sz w:val="18"/>
                <w:szCs w:val="18"/>
                <w:color w:val="auto"/>
                <w:vertAlign w:val="superscript"/>
              </w:rPr>
              <w:t>5</w:t>
            </w:r>
          </w:p>
        </w:tc>
        <w:tc>
          <w:tcPr>
            <w:tcW w:w="1000" w:type="dxa"/>
            <w:vAlign w:val="bottom"/>
            <w:tcBorders>
              <w:right w:val="single" w:sz="8" w:color="007CBA"/>
            </w:tcBorders>
            <w:shd w:val="clear" w:color="auto" w:fill="E5F1F8"/>
          </w:tcPr>
          <w:p>
            <w:pPr>
              <w:jc w:val="right"/>
              <w:ind w:right="90"/>
              <w:spacing w:after="0" w:line="160" w:lineRule="exact"/>
              <w:rPr>
                <w:sz w:val="20"/>
                <w:szCs w:val="20"/>
                <w:color w:val="auto"/>
              </w:rPr>
            </w:pPr>
            <w:r>
              <w:rPr>
                <w:rFonts w:ascii="Arial" w:cs="Arial" w:eastAsia="Arial" w:hAnsi="Arial"/>
                <w:sz w:val="14"/>
                <w:szCs w:val="14"/>
                <w:color w:val="auto"/>
              </w:rPr>
              <w:t>140,379</w:t>
            </w:r>
          </w:p>
        </w:tc>
        <w:tc>
          <w:tcPr>
            <w:tcW w:w="1200" w:type="dxa"/>
            <w:vAlign w:val="bottom"/>
            <w:tcBorders>
              <w:right w:val="single" w:sz="8" w:color="007CBA"/>
            </w:tcBorders>
            <w:shd w:val="clear" w:color="auto" w:fill="E5F1F8"/>
          </w:tcPr>
          <w:p>
            <w:pPr>
              <w:spacing w:after="0"/>
              <w:rPr>
                <w:sz w:val="13"/>
                <w:szCs w:val="13"/>
                <w:color w:val="auto"/>
              </w:rPr>
            </w:pPr>
          </w:p>
        </w:tc>
        <w:tc>
          <w:tcPr>
            <w:tcW w:w="102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007CBA"/>
              <w:right w:val="single" w:sz="8" w:color="007CBA"/>
            </w:tcBorders>
            <w:shd w:val="clear" w:color="auto" w:fill="E5F1F8"/>
          </w:tcPr>
          <w:p>
            <w:pPr>
              <w:spacing w:after="0"/>
              <w:rPr>
                <w:sz w:val="15"/>
                <w:szCs w:val="15"/>
                <w:color w:val="auto"/>
              </w:rPr>
            </w:pPr>
          </w:p>
        </w:tc>
        <w:tc>
          <w:tcPr>
            <w:tcW w:w="900" w:type="dxa"/>
            <w:vAlign w:val="bottom"/>
            <w:tcBorders>
              <w:bottom w:val="single" w:sz="8" w:color="007CBA"/>
              <w:right w:val="single" w:sz="8" w:color="007CBA"/>
            </w:tcBorders>
            <w:shd w:val="clear" w:color="auto" w:fill="E5F1F8"/>
          </w:tcPr>
          <w:p>
            <w:pPr>
              <w:spacing w:after="0"/>
              <w:rPr>
                <w:sz w:val="15"/>
                <w:szCs w:val="15"/>
                <w:color w:val="auto"/>
              </w:rPr>
            </w:pPr>
          </w:p>
        </w:tc>
        <w:tc>
          <w:tcPr>
            <w:tcW w:w="1020" w:type="dxa"/>
            <w:vAlign w:val="bottom"/>
            <w:tcBorders>
              <w:bottom w:val="single" w:sz="8" w:color="007CBA"/>
              <w:right w:val="single" w:sz="8" w:color="007CBA"/>
            </w:tcBorders>
            <w:shd w:val="clear" w:color="auto" w:fill="E5F1F8"/>
          </w:tcPr>
          <w:p>
            <w:pPr>
              <w:spacing w:after="0"/>
              <w:rPr>
                <w:sz w:val="15"/>
                <w:szCs w:val="15"/>
                <w:color w:val="auto"/>
              </w:rPr>
            </w:pPr>
          </w:p>
        </w:tc>
        <w:tc>
          <w:tcPr>
            <w:tcW w:w="660" w:type="dxa"/>
            <w:vAlign w:val="bottom"/>
            <w:tcBorders>
              <w:bottom w:val="single" w:sz="8" w:color="007CBA"/>
              <w:right w:val="single" w:sz="8" w:color="007CBA"/>
            </w:tcBorders>
            <w:shd w:val="clear" w:color="auto" w:fill="E5F1F8"/>
          </w:tcPr>
          <w:p>
            <w:pPr>
              <w:spacing w:after="0"/>
              <w:rPr>
                <w:sz w:val="15"/>
                <w:szCs w:val="15"/>
                <w:color w:val="auto"/>
              </w:rPr>
            </w:pPr>
          </w:p>
        </w:tc>
        <w:tc>
          <w:tcPr>
            <w:tcW w:w="900" w:type="dxa"/>
            <w:vAlign w:val="bottom"/>
            <w:tcBorders>
              <w:bottom w:val="single" w:sz="8" w:color="007CBA"/>
              <w:right w:val="single" w:sz="8" w:color="007CBA"/>
            </w:tcBorders>
            <w:shd w:val="clear" w:color="auto" w:fill="E5F1F8"/>
          </w:tcPr>
          <w:p>
            <w:pPr>
              <w:spacing w:after="0"/>
              <w:rPr>
                <w:sz w:val="15"/>
                <w:szCs w:val="15"/>
                <w:color w:val="auto"/>
              </w:rPr>
            </w:pPr>
          </w:p>
        </w:tc>
        <w:tc>
          <w:tcPr>
            <w:tcW w:w="920" w:type="dxa"/>
            <w:vAlign w:val="bottom"/>
            <w:tcBorders>
              <w:bottom w:val="single" w:sz="8" w:color="007CBA"/>
              <w:right w:val="single" w:sz="8" w:color="007CBA"/>
            </w:tcBorders>
            <w:shd w:val="clear" w:color="auto" w:fill="E5F1F8"/>
          </w:tcPr>
          <w:p>
            <w:pPr>
              <w:jc w:val="right"/>
              <w:ind w:right="117"/>
              <w:spacing w:after="0" w:line="176" w:lineRule="exact"/>
              <w:rPr>
                <w:sz w:val="20"/>
                <w:szCs w:val="20"/>
                <w:color w:val="auto"/>
              </w:rPr>
            </w:pPr>
            <w:r>
              <w:rPr>
                <w:rFonts w:ascii="Arial" w:cs="Arial" w:eastAsia="Arial" w:hAnsi="Arial"/>
                <w:sz w:val="12"/>
                <w:szCs w:val="12"/>
                <w:color w:val="auto"/>
              </w:rPr>
              <w:t>503</w:t>
            </w:r>
            <w:r>
              <w:rPr>
                <w:rFonts w:ascii="Arial" w:cs="Arial" w:eastAsia="Arial" w:hAnsi="Arial"/>
                <w:sz w:val="20"/>
                <w:szCs w:val="20"/>
                <w:color w:val="auto"/>
                <w:vertAlign w:val="superscript"/>
              </w:rPr>
              <w:t>6</w:t>
            </w:r>
          </w:p>
        </w:tc>
        <w:tc>
          <w:tcPr>
            <w:tcW w:w="1000" w:type="dxa"/>
            <w:vAlign w:val="bottom"/>
            <w:tcBorders>
              <w:bottom w:val="single" w:sz="8" w:color="007CBA"/>
              <w:right w:val="single" w:sz="8" w:color="007CBA"/>
            </w:tcBorders>
            <w:shd w:val="clear" w:color="auto" w:fill="E5F1F8"/>
          </w:tcPr>
          <w:p>
            <w:pPr>
              <w:jc w:val="right"/>
              <w:ind w:right="90"/>
              <w:spacing w:after="0"/>
              <w:rPr>
                <w:sz w:val="20"/>
                <w:szCs w:val="20"/>
                <w:color w:val="auto"/>
              </w:rPr>
            </w:pPr>
            <w:r>
              <w:rPr>
                <w:rFonts w:ascii="Arial" w:cs="Arial" w:eastAsia="Arial" w:hAnsi="Arial"/>
                <w:sz w:val="14"/>
                <w:szCs w:val="14"/>
                <w:color w:val="auto"/>
              </w:rPr>
              <w:t>140,659</w:t>
            </w:r>
          </w:p>
        </w:tc>
        <w:tc>
          <w:tcPr>
            <w:tcW w:w="1200" w:type="dxa"/>
            <w:vAlign w:val="bottom"/>
            <w:tcBorders>
              <w:bottom w:val="single" w:sz="8" w:color="007CBA"/>
              <w:right w:val="single" w:sz="8" w:color="007CBA"/>
            </w:tcBorders>
            <w:shd w:val="clear" w:color="auto" w:fill="E5F1F8"/>
          </w:tcPr>
          <w:p>
            <w:pPr>
              <w:spacing w:after="0"/>
              <w:rPr>
                <w:sz w:val="15"/>
                <w:szCs w:val="15"/>
                <w:color w:val="auto"/>
              </w:rPr>
            </w:pPr>
          </w:p>
        </w:tc>
        <w:tc>
          <w:tcPr>
            <w:tcW w:w="1020" w:type="dxa"/>
            <w:vAlign w:val="bottom"/>
            <w:tcBorders>
              <w:bottom w:val="single" w:sz="8" w:color="007CBA"/>
            </w:tcBorders>
            <w:shd w:val="clear" w:color="auto" w:fill="E5F1F8"/>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-4027805</wp:posOffset>
            </wp:positionV>
            <wp:extent cx="47224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22495" cy="8255"/>
                    </a:xfrm>
                    <a:prstGeom prst="rect">
                      <a:avLst/>
                    </a:prstGeom>
                    <a:noFill/>
                  </pic:spPr>
                </pic:pic>
              </a:graphicData>
            </a:graphic>
          </wp:anchor>
        </w:drawing>
      </w:r>
    </w:p>
    <w:p>
      <w:pPr>
        <w:ind w:left="400" w:hanging="213"/>
        <w:spacing w:after="0" w:line="221" w:lineRule="auto"/>
        <w:tabs>
          <w:tab w:leader="none" w:pos="400" w:val="left"/>
        </w:tabs>
        <w:numPr>
          <w:ilvl w:val="0"/>
          <w:numId w:val="146"/>
        </w:numPr>
        <w:rPr>
          <w:rFonts w:ascii="Arial" w:cs="Arial" w:eastAsia="Arial" w:hAnsi="Arial"/>
          <w:sz w:val="24"/>
          <w:szCs w:val="24"/>
          <w:color w:val="auto"/>
          <w:vertAlign w:val="superscript"/>
        </w:rPr>
      </w:pPr>
      <w:r>
        <w:rPr>
          <w:rFonts w:ascii="Arial" w:cs="Arial" w:eastAsia="Arial" w:hAnsi="Arial"/>
          <w:sz w:val="14"/>
          <w:szCs w:val="14"/>
          <w:color w:val="auto"/>
        </w:rPr>
        <w:t>Based on the closing price of our common stock as of December 31, 2019 ($279.64).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83820</wp:posOffset>
            </wp:positionV>
            <wp:extent cx="406400" cy="2451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46" w:lineRule="exact"/>
        <w:rPr>
          <w:sz w:val="20"/>
          <w:szCs w:val="20"/>
          <w:color w:val="auto"/>
        </w:rPr>
      </w:pPr>
    </w:p>
    <w:p>
      <w:pPr>
        <w:ind w:left="620" w:hanging="433"/>
        <w:spacing w:after="0"/>
        <w:tabs>
          <w:tab w:leader="none" w:pos="620" w:val="left"/>
        </w:tabs>
        <w:numPr>
          <w:ilvl w:val="0"/>
          <w:numId w:val="147"/>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6520"/>
        <w:spacing w:after="0" w:line="276" w:lineRule="exact"/>
        <w:rPr>
          <w:sz w:val="20"/>
          <w:szCs w:val="20"/>
          <w:color w:val="auto"/>
        </w:rPr>
      </w:pPr>
      <w:r>
        <w:rPr>
          <w:rFonts w:ascii="Arial" w:cs="Arial" w:eastAsia="Arial" w:hAnsi="Arial"/>
          <w:sz w:val="13"/>
          <w:szCs w:val="13"/>
          <w:color w:val="auto"/>
        </w:rPr>
        <w:t xml:space="preserve">Outstanding Equity Awards at Fiscal Year-End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339" w:lineRule="exact"/>
        <w:rPr>
          <w:sz w:val="20"/>
          <w:szCs w:val="20"/>
          <w:color w:val="auto"/>
        </w:rPr>
      </w:pPr>
    </w:p>
    <w:p>
      <w:pPr>
        <w:ind w:left="400" w:hanging="213"/>
        <w:spacing w:after="0"/>
        <w:tabs>
          <w:tab w:leader="none" w:pos="40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RSU restrictions lapsed on March 28, 2020.</w:t>
      </w:r>
    </w:p>
    <w:p>
      <w:pPr>
        <w:ind w:left="400" w:hanging="213"/>
        <w:spacing w:after="0" w:line="208" w:lineRule="auto"/>
        <w:tabs>
          <w:tab w:leader="none" w:pos="400" w:val="left"/>
        </w:tabs>
        <w:numPr>
          <w:ilvl w:val="0"/>
          <w:numId w:val="149"/>
        </w:numPr>
        <w:rPr>
          <w:rFonts w:ascii="Arial" w:cs="Arial" w:eastAsia="Arial" w:hAnsi="Arial"/>
          <w:sz w:val="24"/>
          <w:szCs w:val="24"/>
          <w:color w:val="auto"/>
          <w:vertAlign w:val="superscript"/>
        </w:rPr>
      </w:pPr>
      <w:r>
        <w:rPr>
          <w:rFonts w:ascii="Arial" w:cs="Arial" w:eastAsia="Arial" w:hAnsi="Arial"/>
          <w:sz w:val="14"/>
          <w:szCs w:val="14"/>
          <w:color w:val="auto"/>
        </w:rPr>
        <w:t>RSU restrictions lapse ratably in installments on February 22, 2020 and February 22, 2021.</w:t>
      </w:r>
    </w:p>
    <w:p>
      <w:pPr>
        <w:ind w:left="400" w:hanging="213"/>
        <w:spacing w:after="0" w:line="209" w:lineRule="auto"/>
        <w:tabs>
          <w:tab w:leader="none" w:pos="40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RSU restrictions lapse ratable in installments on February 20, 2020, February 20, 2021 and February 20, 2022.</w:t>
      </w:r>
    </w:p>
    <w:p>
      <w:pPr>
        <w:ind w:left="400" w:hanging="213"/>
        <w:spacing w:after="0" w:line="208" w:lineRule="auto"/>
        <w:tabs>
          <w:tab w:leader="none" w:pos="400" w:val="left"/>
        </w:tabs>
        <w:numPr>
          <w:ilvl w:val="0"/>
          <w:numId w:val="151"/>
        </w:numPr>
        <w:rPr>
          <w:rFonts w:ascii="Arial" w:cs="Arial" w:eastAsia="Arial" w:hAnsi="Arial"/>
          <w:sz w:val="24"/>
          <w:szCs w:val="24"/>
          <w:color w:val="auto"/>
          <w:vertAlign w:val="superscript"/>
        </w:rPr>
      </w:pPr>
      <w:r>
        <w:rPr>
          <w:rFonts w:ascii="Arial" w:cs="Arial" w:eastAsia="Arial" w:hAnsi="Arial"/>
          <w:sz w:val="14"/>
          <w:szCs w:val="14"/>
          <w:color w:val="auto"/>
        </w:rPr>
        <w:t>Incentive Stock Plan units restrictions lapse on December 1, 2020.</w:t>
      </w:r>
    </w:p>
    <w:p>
      <w:pPr>
        <w:ind w:left="400" w:hanging="213"/>
        <w:spacing w:after="0" w:line="209" w:lineRule="auto"/>
        <w:tabs>
          <w:tab w:leader="none" w:pos="40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Incentive Stock Plan units restrictions lapse on December 1, 2021.</w:t>
      </w:r>
    </w:p>
    <w:p>
      <w:pPr>
        <w:ind w:left="400" w:hanging="213"/>
        <w:spacing w:after="0" w:line="209" w:lineRule="auto"/>
        <w:tabs>
          <w:tab w:leader="none" w:pos="400" w:val="left"/>
        </w:tabs>
        <w:numPr>
          <w:ilvl w:val="0"/>
          <w:numId w:val="153"/>
        </w:numPr>
        <w:rPr>
          <w:rFonts w:ascii="Arial" w:cs="Arial" w:eastAsia="Arial" w:hAnsi="Arial"/>
          <w:sz w:val="24"/>
          <w:szCs w:val="24"/>
          <w:color w:val="auto"/>
          <w:vertAlign w:val="superscript"/>
        </w:rPr>
      </w:pPr>
      <w:r>
        <w:rPr>
          <w:rFonts w:ascii="Arial" w:cs="Arial" w:eastAsia="Arial" w:hAnsi="Arial"/>
          <w:sz w:val="14"/>
          <w:szCs w:val="14"/>
          <w:color w:val="auto"/>
        </w:rPr>
        <w:t>The amount for these outstanding awards of PSUs are presented at the target performance levels. The awards generally vested at December 31, 2019.</w:t>
      </w:r>
    </w:p>
    <w:p>
      <w:pPr>
        <w:ind w:left="400" w:hanging="213"/>
        <w:spacing w:after="0" w:line="208" w:lineRule="auto"/>
        <w:tabs>
          <w:tab w:leader="none" w:pos="400" w:val="left"/>
        </w:tabs>
        <w:numPr>
          <w:ilvl w:val="0"/>
          <w:numId w:val="154"/>
        </w:numPr>
        <w:rPr>
          <w:rFonts w:ascii="Arial" w:cs="Arial" w:eastAsia="Arial" w:hAnsi="Arial"/>
          <w:sz w:val="24"/>
          <w:szCs w:val="24"/>
          <w:color w:val="auto"/>
          <w:vertAlign w:val="superscript"/>
        </w:rPr>
      </w:pPr>
      <w:r>
        <w:rPr>
          <w:rFonts w:ascii="Arial" w:cs="Arial" w:eastAsia="Arial" w:hAnsi="Arial"/>
          <w:sz w:val="14"/>
          <w:szCs w:val="14"/>
          <w:color w:val="auto"/>
        </w:rPr>
        <w:t>The amount for these outstanding awards of PSUs are presented at the target performance levels. The awards generally vest at December 31, 2020.</w:t>
      </w:r>
    </w:p>
    <w:p>
      <w:pPr>
        <w:ind w:left="400" w:hanging="213"/>
        <w:spacing w:after="0" w:line="209" w:lineRule="auto"/>
        <w:tabs>
          <w:tab w:leader="none" w:pos="400" w:val="left"/>
        </w:tabs>
        <w:numPr>
          <w:ilvl w:val="0"/>
          <w:numId w:val="155"/>
        </w:numPr>
        <w:rPr>
          <w:rFonts w:ascii="Arial" w:cs="Arial" w:eastAsia="Arial" w:hAnsi="Arial"/>
          <w:sz w:val="24"/>
          <w:szCs w:val="24"/>
          <w:color w:val="auto"/>
          <w:vertAlign w:val="superscript"/>
        </w:rPr>
      </w:pPr>
      <w:r>
        <w:rPr>
          <w:rFonts w:ascii="Arial" w:cs="Arial" w:eastAsia="Arial" w:hAnsi="Arial"/>
          <w:sz w:val="14"/>
          <w:szCs w:val="14"/>
          <w:color w:val="auto"/>
        </w:rPr>
        <w:t>The amount for these outstanding awards of PSUs are presented at the target performance levels. The awards generally vest at December 31, 2021.</w:t>
      </w:r>
    </w:p>
    <w:p>
      <w:pPr>
        <w:spacing w:after="0" w:line="70" w:lineRule="exact"/>
        <w:rPr>
          <w:sz w:val="20"/>
          <w:szCs w:val="20"/>
          <w:color w:val="auto"/>
        </w:rPr>
      </w:pPr>
    </w:p>
    <w:p>
      <w:pPr>
        <w:jc w:val="both"/>
        <w:ind w:left="400" w:hanging="213"/>
        <w:spacing w:after="0" w:line="196" w:lineRule="auto"/>
        <w:tabs>
          <w:tab w:leader="none" w:pos="400" w:val="left"/>
        </w:tabs>
        <w:numPr>
          <w:ilvl w:val="0"/>
          <w:numId w:val="156"/>
        </w:numPr>
        <w:rPr>
          <w:rFonts w:ascii="Arial" w:cs="Arial" w:eastAsia="Arial" w:hAnsi="Arial"/>
          <w:sz w:val="24"/>
          <w:szCs w:val="24"/>
          <w:color w:val="auto"/>
          <w:vertAlign w:val="superscript"/>
        </w:rPr>
      </w:pPr>
      <w:r>
        <w:rPr>
          <w:rFonts w:ascii="Arial" w:cs="Arial" w:eastAsia="Arial" w:hAnsi="Arial"/>
          <w:sz w:val="14"/>
          <w:szCs w:val="14"/>
          <w:color w:val="auto"/>
        </w:rPr>
        <w:t>RSUs fully vest on August 21, 2022 subject to continued employment. If Mr. Nickolas’ employment terminates prior to August 21, 2022 as a result of his voluntary termination or the Company’s termination of Mr. Nickolas for cause, all outstanding RSUs expire and he is required to return to the Company the value of any vested shares of common stock that vested in connection with this award.</w:t>
      </w:r>
    </w:p>
    <w:p>
      <w:pPr>
        <w:spacing w:after="0" w:line="71" w:lineRule="exact"/>
        <w:rPr>
          <w:rFonts w:ascii="Arial" w:cs="Arial" w:eastAsia="Arial" w:hAnsi="Arial"/>
          <w:sz w:val="24"/>
          <w:szCs w:val="24"/>
          <w:color w:val="auto"/>
          <w:vertAlign w:val="superscript"/>
        </w:rPr>
      </w:pPr>
    </w:p>
    <w:p>
      <w:pPr>
        <w:ind w:left="400" w:hanging="213"/>
        <w:spacing w:after="0" w:line="181" w:lineRule="auto"/>
        <w:tabs>
          <w:tab w:leader="none" w:pos="400" w:val="left"/>
        </w:tabs>
        <w:numPr>
          <w:ilvl w:val="0"/>
          <w:numId w:val="156"/>
        </w:numPr>
        <w:rPr>
          <w:rFonts w:ascii="Arial" w:cs="Arial" w:eastAsia="Arial" w:hAnsi="Arial"/>
          <w:sz w:val="24"/>
          <w:szCs w:val="24"/>
          <w:color w:val="auto"/>
          <w:vertAlign w:val="superscript"/>
        </w:rPr>
      </w:pPr>
      <w:r>
        <w:rPr>
          <w:rFonts w:ascii="Arial" w:cs="Arial" w:eastAsia="Arial" w:hAnsi="Arial"/>
          <w:sz w:val="14"/>
          <w:szCs w:val="14"/>
          <w:color w:val="auto"/>
        </w:rPr>
        <w:t>RSUs vest as follows subject to continued employment on the dates of vesting: 1,964 units vest on August 23, 2021; 1,964 units vest on August 23, 2022; and 1,964 units vest on August 23, 2023.</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Option Exercises and Stock Vested</w:t>
      </w:r>
    </w:p>
    <w:p>
      <w:pPr>
        <w:spacing w:after="0" w:line="249"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Martin Marietta’s common stock and (2) the vesting of stock, including RSUs, PSUs and Incentive Stock Plan units, during the last completed fiscal year. There are no awards of stock appreciation rights for Martin Marietta’s common stock or other similar instruments.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00"/>
        </w:trPr>
        <w:tc>
          <w:tcPr>
            <w:tcW w:w="6140" w:type="dxa"/>
            <w:vAlign w:val="bottom"/>
            <w:tcBorders>
              <w:right w:val="single" w:sz="8" w:color="007CBA"/>
            </w:tcBorders>
            <w:shd w:val="clear" w:color="auto" w:fill="007CBA"/>
          </w:tcPr>
          <w:p>
            <w:pPr>
              <w:spacing w:after="0"/>
              <w:rPr>
                <w:sz w:val="17"/>
                <w:szCs w:val="17"/>
                <w:color w:val="auto"/>
              </w:rPr>
            </w:pPr>
          </w:p>
        </w:tc>
        <w:tc>
          <w:tcPr>
            <w:tcW w:w="2400" w:type="dxa"/>
            <w:vAlign w:val="bottom"/>
            <w:tcBorders>
              <w:right w:val="single" w:sz="8" w:color="007CBA"/>
            </w:tcBorders>
            <w:gridSpan w:val="2"/>
            <w:shd w:val="clear" w:color="auto" w:fill="007CBA"/>
          </w:tcPr>
          <w:p>
            <w:pPr>
              <w:jc w:val="right"/>
              <w:ind w:right="549"/>
              <w:spacing w:after="0"/>
              <w:rPr>
                <w:sz w:val="20"/>
                <w:szCs w:val="20"/>
                <w:color w:val="auto"/>
              </w:rPr>
            </w:pPr>
            <w:r>
              <w:rPr>
                <w:rFonts w:ascii="Arial" w:cs="Arial" w:eastAsia="Arial" w:hAnsi="Arial"/>
                <w:sz w:val="14"/>
                <w:szCs w:val="14"/>
                <w:b w:val="1"/>
                <w:bCs w:val="1"/>
                <w:color w:val="FFFFFF"/>
              </w:rPr>
              <w:t>OPTION AWARDS</w:t>
            </w:r>
          </w:p>
        </w:tc>
        <w:tc>
          <w:tcPr>
            <w:tcW w:w="2320" w:type="dxa"/>
            <w:vAlign w:val="bottom"/>
            <w:gridSpan w:val="2"/>
            <w:shd w:val="clear" w:color="auto" w:fill="007CBA"/>
          </w:tcPr>
          <w:p>
            <w:pPr>
              <w:jc w:val="right"/>
              <w:ind w:right="530"/>
              <w:spacing w:after="0"/>
              <w:rPr>
                <w:sz w:val="20"/>
                <w:szCs w:val="20"/>
                <w:color w:val="auto"/>
              </w:rPr>
            </w:pPr>
            <w:r>
              <w:rPr>
                <w:rFonts w:ascii="Arial" w:cs="Arial" w:eastAsia="Arial" w:hAnsi="Arial"/>
                <w:sz w:val="14"/>
                <w:szCs w:val="14"/>
                <w:b w:val="1"/>
                <w:bCs w:val="1"/>
                <w:color w:val="FFFFFF"/>
              </w:rPr>
              <w:t>STOCK AWARDS</w:t>
            </w:r>
          </w:p>
        </w:tc>
      </w:tr>
      <w:tr>
        <w:trPr>
          <w:trHeight w:val="160"/>
        </w:trPr>
        <w:tc>
          <w:tcPr>
            <w:tcW w:w="6140" w:type="dxa"/>
            <w:vAlign w:val="bottom"/>
            <w:tcBorders>
              <w:right w:val="single" w:sz="8" w:color="007CBA"/>
            </w:tcBorders>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Number</w:t>
            </w:r>
          </w:p>
        </w:tc>
        <w:tc>
          <w:tcPr>
            <w:tcW w:w="1220" w:type="dxa"/>
            <w:vAlign w:val="bottom"/>
            <w:tcBorders>
              <w:right w:val="single" w:sz="8" w:color="007CBA"/>
            </w:tcBorders>
            <w:shd w:val="clear" w:color="auto" w:fill="007CBA"/>
          </w:tcPr>
          <w:p>
            <w:pPr>
              <w:spacing w:after="0"/>
              <w:rPr>
                <w:sz w:val="13"/>
                <w:szCs w:val="13"/>
                <w:color w:val="auto"/>
              </w:rPr>
            </w:pPr>
          </w:p>
        </w:tc>
        <w:tc>
          <w:tcPr>
            <w:tcW w:w="11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w w:val="99"/>
              </w:rPr>
              <w:t>Number of</w:t>
            </w:r>
          </w:p>
        </w:tc>
        <w:tc>
          <w:tcPr>
            <w:tcW w:w="1180" w:type="dxa"/>
            <w:vAlign w:val="bottom"/>
            <w:shd w:val="clear" w:color="auto" w:fill="007CBA"/>
          </w:tcPr>
          <w:p>
            <w:pPr>
              <w:spacing w:after="0"/>
              <w:rPr>
                <w:sz w:val="13"/>
                <w:szCs w:val="13"/>
                <w:color w:val="auto"/>
              </w:rPr>
            </w:pPr>
          </w:p>
        </w:tc>
      </w:tr>
      <w:tr>
        <w:trPr>
          <w:trHeight w:val="160"/>
        </w:trPr>
        <w:tc>
          <w:tcPr>
            <w:tcW w:w="6140" w:type="dxa"/>
            <w:vAlign w:val="bottom"/>
            <w:tcBorders>
              <w:right w:val="single" w:sz="8" w:color="007CBA"/>
            </w:tcBorders>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of Shares</w:t>
            </w:r>
          </w:p>
        </w:tc>
        <w:tc>
          <w:tcPr>
            <w:tcW w:w="122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w w:val="96"/>
              </w:rPr>
              <w:t>Value</w:t>
            </w:r>
          </w:p>
        </w:tc>
        <w:tc>
          <w:tcPr>
            <w:tcW w:w="11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w w:val="98"/>
              </w:rPr>
              <w:t>Shares</w:t>
            </w:r>
          </w:p>
        </w:tc>
        <w:tc>
          <w:tcPr>
            <w:tcW w:w="118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Value</w:t>
            </w:r>
          </w:p>
        </w:tc>
      </w:tr>
      <w:tr>
        <w:trPr>
          <w:trHeight w:val="157"/>
        </w:trPr>
        <w:tc>
          <w:tcPr>
            <w:tcW w:w="6140" w:type="dxa"/>
            <w:vAlign w:val="bottom"/>
            <w:tcBorders>
              <w:right w:val="single" w:sz="8" w:color="007CBA"/>
            </w:tcBorders>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Acquired</w:t>
            </w:r>
          </w:p>
        </w:tc>
        <w:tc>
          <w:tcPr>
            <w:tcW w:w="122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Realized</w:t>
            </w:r>
          </w:p>
        </w:tc>
        <w:tc>
          <w:tcPr>
            <w:tcW w:w="114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Acquired</w:t>
            </w:r>
          </w:p>
        </w:tc>
        <w:tc>
          <w:tcPr>
            <w:tcW w:w="1180" w:type="dxa"/>
            <w:vAlign w:val="bottom"/>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Realized</w:t>
            </w:r>
          </w:p>
        </w:tc>
      </w:tr>
      <w:tr>
        <w:trPr>
          <w:trHeight w:val="163"/>
        </w:trPr>
        <w:tc>
          <w:tcPr>
            <w:tcW w:w="614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on Exercise</w:t>
            </w:r>
          </w:p>
        </w:tc>
        <w:tc>
          <w:tcPr>
            <w:tcW w:w="1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on Exercise</w:t>
            </w:r>
          </w:p>
        </w:tc>
        <w:tc>
          <w:tcPr>
            <w:tcW w:w="11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on Vesting</w:t>
            </w:r>
          </w:p>
        </w:tc>
        <w:tc>
          <w:tcPr>
            <w:tcW w:w="1180" w:type="dxa"/>
            <w:vAlign w:val="bottom"/>
            <w:shd w:val="clear" w:color="auto" w:fill="007CBA"/>
          </w:tcPr>
          <w:p>
            <w:pPr>
              <w:jc w:val="center"/>
              <w:spacing w:after="0" w:line="163" w:lineRule="exact"/>
              <w:rPr>
                <w:sz w:val="20"/>
                <w:szCs w:val="20"/>
                <w:color w:val="auto"/>
              </w:rPr>
            </w:pPr>
            <w:r>
              <w:rPr>
                <w:rFonts w:ascii="Arial" w:cs="Arial" w:eastAsia="Arial" w:hAnsi="Arial"/>
                <w:sz w:val="11"/>
                <w:szCs w:val="11"/>
                <w:b w:val="1"/>
                <w:bCs w:val="1"/>
                <w:color w:val="FFFFFF"/>
              </w:rPr>
              <w:t>on Vesting</w:t>
            </w:r>
            <w:r>
              <w:rPr>
                <w:rFonts w:ascii="Arial" w:cs="Arial" w:eastAsia="Arial" w:hAnsi="Arial"/>
                <w:sz w:val="18"/>
                <w:szCs w:val="18"/>
                <w:b w:val="1"/>
                <w:bCs w:val="1"/>
                <w:color w:val="FFFFFF"/>
                <w:vertAlign w:val="superscript"/>
              </w:rPr>
              <w:t>1</w:t>
            </w:r>
          </w:p>
        </w:tc>
      </w:tr>
      <w:tr>
        <w:trPr>
          <w:trHeight w:val="160"/>
        </w:trPr>
        <w:tc>
          <w:tcPr>
            <w:tcW w:w="6140" w:type="dxa"/>
            <w:vAlign w:val="bottom"/>
            <w:tcBorders>
              <w:right w:val="single" w:sz="8" w:color="007CBA"/>
            </w:tcBorders>
            <w:shd w:val="clear" w:color="auto" w:fill="007CBA"/>
          </w:tcPr>
          <w:p>
            <w:pPr>
              <w:ind w:left="60"/>
              <w:spacing w:after="0" w:line="160" w:lineRule="exact"/>
              <w:rPr>
                <w:sz w:val="20"/>
                <w:szCs w:val="20"/>
                <w:color w:val="auto"/>
              </w:rPr>
            </w:pPr>
            <w:r>
              <w:rPr>
                <w:rFonts w:ascii="Arial" w:cs="Arial" w:eastAsia="Arial" w:hAnsi="Arial"/>
                <w:sz w:val="14"/>
                <w:szCs w:val="14"/>
                <w:b w:val="1"/>
                <w:bCs w:val="1"/>
                <w:color w:val="FFFFFF"/>
              </w:rPr>
              <w:t>Name</w:t>
            </w:r>
          </w:p>
        </w:tc>
        <w:tc>
          <w:tcPr>
            <w:tcW w:w="118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w:t>
            </w:r>
          </w:p>
        </w:tc>
        <w:tc>
          <w:tcPr>
            <w:tcW w:w="122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w:t>
            </w:r>
          </w:p>
        </w:tc>
        <w:tc>
          <w:tcPr>
            <w:tcW w:w="1140" w:type="dxa"/>
            <w:vAlign w:val="bottom"/>
            <w:tcBorders>
              <w:right w:val="single" w:sz="8" w:color="007CBA"/>
            </w:tcBorders>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w:t>
            </w:r>
          </w:p>
        </w:tc>
      </w:tr>
      <w:tr>
        <w:trPr>
          <w:trHeight w:val="187"/>
        </w:trPr>
        <w:tc>
          <w:tcPr>
            <w:tcW w:w="61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1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(b)</w:t>
            </w:r>
          </w:p>
        </w:tc>
        <w:tc>
          <w:tcPr>
            <w:tcW w:w="1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11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1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r>
      <w:tr>
        <w:trPr>
          <w:trHeight w:val="220"/>
        </w:trPr>
        <w:tc>
          <w:tcPr>
            <w:tcW w:w="61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118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49,703</w:t>
            </w:r>
          </w:p>
        </w:tc>
        <w:tc>
          <w:tcPr>
            <w:tcW w:w="122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6,651,783</w:t>
            </w:r>
          </w:p>
        </w:tc>
        <w:tc>
          <w:tcPr>
            <w:tcW w:w="114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58,809</w:t>
            </w:r>
          </w:p>
        </w:tc>
        <w:tc>
          <w:tcPr>
            <w:tcW w:w="1180" w:type="dxa"/>
            <w:vAlign w:val="bottom"/>
            <w:tcBorders>
              <w:bottom w:val="single" w:sz="8" w:color="E5F1F8"/>
            </w:tcBorders>
            <w:shd w:val="clear" w:color="auto" w:fill="E5F1F8"/>
          </w:tcPr>
          <w:p>
            <w:pPr>
              <w:jc w:val="right"/>
              <w:ind w:right="150"/>
              <w:spacing w:after="0"/>
              <w:rPr>
                <w:sz w:val="20"/>
                <w:szCs w:val="20"/>
                <w:color w:val="auto"/>
              </w:rPr>
            </w:pPr>
            <w:r>
              <w:rPr>
                <w:rFonts w:ascii="Arial" w:cs="Arial" w:eastAsia="Arial" w:hAnsi="Arial"/>
                <w:sz w:val="14"/>
                <w:szCs w:val="14"/>
                <w:color w:val="auto"/>
              </w:rPr>
              <w:t>13,538,636</w:t>
            </w:r>
          </w:p>
        </w:tc>
      </w:tr>
      <w:tr>
        <w:trPr>
          <w:trHeight w:val="215"/>
        </w:trPr>
        <w:tc>
          <w:tcPr>
            <w:tcW w:w="61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1180" w:type="dxa"/>
            <w:vAlign w:val="bottom"/>
            <w:tcBorders>
              <w:right w:val="single" w:sz="8" w:color="007CBA"/>
            </w:tcBorders>
          </w:tcPr>
          <w:p>
            <w:pPr>
              <w:jc w:val="right"/>
              <w:ind w:right="269"/>
              <w:spacing w:after="0"/>
              <w:rPr>
                <w:sz w:val="20"/>
                <w:szCs w:val="20"/>
                <w:color w:val="auto"/>
              </w:rPr>
            </w:pPr>
            <w:r>
              <w:rPr>
                <w:rFonts w:ascii="Arial" w:cs="Arial" w:eastAsia="Arial" w:hAnsi="Arial"/>
                <w:sz w:val="14"/>
                <w:szCs w:val="14"/>
                <w:color w:val="auto"/>
              </w:rPr>
              <w:t>0</w:t>
            </w:r>
          </w:p>
        </w:tc>
        <w:tc>
          <w:tcPr>
            <w:tcW w:w="1220" w:type="dxa"/>
            <w:vAlign w:val="bottom"/>
            <w:tcBorders>
              <w:right w:val="single" w:sz="8" w:color="007CBA"/>
            </w:tcBorders>
          </w:tcPr>
          <w:p>
            <w:pPr>
              <w:jc w:val="right"/>
              <w:ind w:right="269"/>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269"/>
              <w:spacing w:after="0"/>
              <w:rPr>
                <w:sz w:val="20"/>
                <w:szCs w:val="20"/>
                <w:color w:val="auto"/>
              </w:rPr>
            </w:pPr>
            <w:r>
              <w:rPr>
                <w:rFonts w:ascii="Arial" w:cs="Arial" w:eastAsia="Arial" w:hAnsi="Arial"/>
                <w:sz w:val="14"/>
                <w:szCs w:val="14"/>
                <w:color w:val="auto"/>
              </w:rPr>
              <w:t>1,644</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409,440</w:t>
            </w:r>
          </w:p>
        </w:tc>
      </w:tr>
      <w:tr>
        <w:trPr>
          <w:trHeight w:val="25"/>
        </w:trPr>
        <w:tc>
          <w:tcPr>
            <w:tcW w:w="6140" w:type="dxa"/>
            <w:vAlign w:val="bottom"/>
            <w:tcBorders>
              <w:right w:val="single" w:sz="8" w:color="007CBA"/>
            </w:tcBorders>
          </w:tcPr>
          <w:p>
            <w:pPr>
              <w:spacing w:after="0"/>
              <w:rPr>
                <w:sz w:val="2"/>
                <w:szCs w:val="2"/>
                <w:color w:val="auto"/>
              </w:rPr>
            </w:pPr>
          </w:p>
        </w:tc>
        <w:tc>
          <w:tcPr>
            <w:tcW w:w="1180" w:type="dxa"/>
            <w:vAlign w:val="bottom"/>
            <w:tcBorders>
              <w:right w:val="single" w:sz="8" w:color="007CBA"/>
            </w:tcBorders>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61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118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3,528</w:t>
            </w:r>
          </w:p>
        </w:tc>
        <w:tc>
          <w:tcPr>
            <w:tcW w:w="122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391,733</w:t>
            </w:r>
          </w:p>
        </w:tc>
        <w:tc>
          <w:tcPr>
            <w:tcW w:w="114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19,434</w:t>
            </w:r>
          </w:p>
        </w:tc>
        <w:tc>
          <w:tcPr>
            <w:tcW w:w="1180" w:type="dxa"/>
            <w:vAlign w:val="bottom"/>
            <w:tcBorders>
              <w:bottom w:val="single" w:sz="8" w:color="E5F1F8"/>
            </w:tcBorders>
            <w:shd w:val="clear" w:color="auto" w:fill="E5F1F8"/>
          </w:tcPr>
          <w:p>
            <w:pPr>
              <w:jc w:val="right"/>
              <w:ind w:right="150"/>
              <w:spacing w:after="0"/>
              <w:rPr>
                <w:sz w:val="20"/>
                <w:szCs w:val="20"/>
                <w:color w:val="auto"/>
              </w:rPr>
            </w:pPr>
            <w:r>
              <w:rPr>
                <w:rFonts w:ascii="Arial" w:cs="Arial" w:eastAsia="Arial" w:hAnsi="Arial"/>
                <w:sz w:val="14"/>
                <w:szCs w:val="14"/>
                <w:color w:val="auto"/>
              </w:rPr>
              <w:t>4,652,801</w:t>
            </w:r>
          </w:p>
        </w:tc>
      </w:tr>
      <w:tr>
        <w:trPr>
          <w:trHeight w:val="215"/>
        </w:trPr>
        <w:tc>
          <w:tcPr>
            <w:tcW w:w="61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Craig M. LaTorre</w:t>
            </w:r>
          </w:p>
        </w:tc>
        <w:tc>
          <w:tcPr>
            <w:tcW w:w="1180" w:type="dxa"/>
            <w:vAlign w:val="bottom"/>
            <w:tcBorders>
              <w:right w:val="single" w:sz="8" w:color="007CBA"/>
            </w:tcBorders>
          </w:tcPr>
          <w:p>
            <w:pPr>
              <w:jc w:val="right"/>
              <w:ind w:right="269"/>
              <w:spacing w:after="0"/>
              <w:rPr>
                <w:sz w:val="20"/>
                <w:szCs w:val="20"/>
                <w:color w:val="auto"/>
              </w:rPr>
            </w:pPr>
            <w:r>
              <w:rPr>
                <w:rFonts w:ascii="Arial" w:cs="Arial" w:eastAsia="Arial" w:hAnsi="Arial"/>
                <w:sz w:val="14"/>
                <w:szCs w:val="14"/>
                <w:color w:val="auto"/>
              </w:rPr>
              <w:t>0</w:t>
            </w:r>
          </w:p>
        </w:tc>
        <w:tc>
          <w:tcPr>
            <w:tcW w:w="1220" w:type="dxa"/>
            <w:vAlign w:val="bottom"/>
            <w:tcBorders>
              <w:right w:val="single" w:sz="8" w:color="007CBA"/>
            </w:tcBorders>
          </w:tcPr>
          <w:p>
            <w:pPr>
              <w:jc w:val="right"/>
              <w:ind w:right="269"/>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269"/>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0</w:t>
            </w:r>
          </w:p>
        </w:tc>
      </w:tr>
      <w:tr>
        <w:trPr>
          <w:trHeight w:val="25"/>
        </w:trPr>
        <w:tc>
          <w:tcPr>
            <w:tcW w:w="6140" w:type="dxa"/>
            <w:vAlign w:val="bottom"/>
            <w:tcBorders>
              <w:right w:val="single" w:sz="8" w:color="007CBA"/>
            </w:tcBorders>
          </w:tcPr>
          <w:p>
            <w:pPr>
              <w:spacing w:after="0"/>
              <w:rPr>
                <w:sz w:val="2"/>
                <w:szCs w:val="2"/>
                <w:color w:val="auto"/>
              </w:rPr>
            </w:pPr>
          </w:p>
        </w:tc>
        <w:tc>
          <w:tcPr>
            <w:tcW w:w="1180" w:type="dxa"/>
            <w:vAlign w:val="bottom"/>
            <w:tcBorders>
              <w:right w:val="single" w:sz="8" w:color="007CBA"/>
            </w:tcBorders>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61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118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5F1F8"/>
              <w:right w:val="single" w:sz="8" w:color="007CBA"/>
            </w:tcBorders>
            <w:shd w:val="clear" w:color="auto" w:fill="E5F1F8"/>
          </w:tcPr>
          <w:p>
            <w:pPr>
              <w:jc w:val="right"/>
              <w:ind w:right="269"/>
              <w:spacing w:after="0"/>
              <w:rPr>
                <w:sz w:val="20"/>
                <w:szCs w:val="20"/>
                <w:color w:val="auto"/>
              </w:rPr>
            </w:pPr>
            <w:r>
              <w:rPr>
                <w:rFonts w:ascii="Arial" w:cs="Arial" w:eastAsia="Arial" w:hAnsi="Arial"/>
                <w:sz w:val="14"/>
                <w:szCs w:val="14"/>
                <w:color w:val="auto"/>
              </w:rPr>
              <w:t>13,691</w:t>
            </w:r>
          </w:p>
        </w:tc>
        <w:tc>
          <w:tcPr>
            <w:tcW w:w="1180" w:type="dxa"/>
            <w:vAlign w:val="bottom"/>
            <w:tcBorders>
              <w:bottom w:val="single" w:sz="8" w:color="E5F1F8"/>
            </w:tcBorders>
            <w:shd w:val="clear" w:color="auto" w:fill="E5F1F8"/>
          </w:tcPr>
          <w:p>
            <w:pPr>
              <w:jc w:val="right"/>
              <w:ind w:right="150"/>
              <w:spacing w:after="0"/>
              <w:rPr>
                <w:sz w:val="20"/>
                <w:szCs w:val="20"/>
                <w:color w:val="auto"/>
              </w:rPr>
            </w:pPr>
            <w:r>
              <w:rPr>
                <w:rFonts w:ascii="Arial" w:cs="Arial" w:eastAsia="Arial" w:hAnsi="Arial"/>
                <w:sz w:val="14"/>
                <w:szCs w:val="14"/>
                <w:color w:val="auto"/>
              </w:rPr>
              <w:t>3,331,811</w:t>
            </w:r>
          </w:p>
        </w:tc>
      </w:tr>
      <w:tr>
        <w:trPr>
          <w:trHeight w:val="20"/>
        </w:trPr>
        <w:tc>
          <w:tcPr>
            <w:tcW w:w="6140" w:type="dxa"/>
            <w:vAlign w:val="bottom"/>
            <w:tcBorders>
              <w:right w:val="single" w:sz="8" w:color="007CBA"/>
            </w:tcBorders>
            <w:shd w:val="clear" w:color="auto" w:fill="007CBA"/>
          </w:tcPr>
          <w:p>
            <w:pPr>
              <w:spacing w:after="0" w:line="20" w:lineRule="exact"/>
              <w:rPr>
                <w:sz w:val="1"/>
                <w:szCs w:val="1"/>
                <w:color w:val="auto"/>
              </w:rPr>
            </w:pPr>
          </w:p>
        </w:tc>
        <w:tc>
          <w:tcPr>
            <w:tcW w:w="1180" w:type="dxa"/>
            <w:vAlign w:val="bottom"/>
            <w:tcBorders>
              <w:right w:val="single" w:sz="8" w:color="007CBA"/>
            </w:tcBorders>
            <w:shd w:val="clear" w:color="auto" w:fill="007CBA"/>
          </w:tcPr>
          <w:p>
            <w:pPr>
              <w:spacing w:after="0" w:line="20" w:lineRule="exact"/>
              <w:rPr>
                <w:sz w:val="1"/>
                <w:szCs w:val="1"/>
                <w:color w:val="auto"/>
              </w:rPr>
            </w:pPr>
          </w:p>
        </w:tc>
        <w:tc>
          <w:tcPr>
            <w:tcW w:w="1220" w:type="dxa"/>
            <w:vAlign w:val="bottom"/>
            <w:tcBorders>
              <w:right w:val="single" w:sz="8" w:color="007CBA"/>
            </w:tcBorders>
            <w:shd w:val="clear" w:color="auto" w:fill="007CBA"/>
          </w:tcPr>
          <w:p>
            <w:pPr>
              <w:spacing w:after="0" w:line="20" w:lineRule="exact"/>
              <w:rPr>
                <w:sz w:val="1"/>
                <w:szCs w:val="1"/>
                <w:color w:val="auto"/>
              </w:rPr>
            </w:pPr>
          </w:p>
        </w:tc>
        <w:tc>
          <w:tcPr>
            <w:tcW w:w="1140" w:type="dxa"/>
            <w:vAlign w:val="bottom"/>
            <w:tcBorders>
              <w:right w:val="single" w:sz="8" w:color="007CBA"/>
            </w:tcBorders>
            <w:shd w:val="clear" w:color="auto" w:fill="007CBA"/>
          </w:tcPr>
          <w:p>
            <w:pPr>
              <w:spacing w:after="0" w:line="20" w:lineRule="exact"/>
              <w:rPr>
                <w:sz w:val="1"/>
                <w:szCs w:val="1"/>
                <w:color w:val="auto"/>
              </w:rPr>
            </w:pPr>
          </w:p>
        </w:tc>
        <w:tc>
          <w:tcPr>
            <w:tcW w:w="1180" w:type="dxa"/>
            <w:vAlign w:val="bottom"/>
            <w:shd w:val="clear" w:color="auto" w:fill="007CB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-1403985</wp:posOffset>
            </wp:positionV>
            <wp:extent cx="28943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65" w:lineRule="exact"/>
        <w:rPr>
          <w:sz w:val="20"/>
          <w:szCs w:val="20"/>
          <w:color w:val="auto"/>
        </w:rPr>
      </w:pPr>
    </w:p>
    <w:p>
      <w:pPr>
        <w:ind w:left="400" w:hanging="213"/>
        <w:spacing w:after="0" w:line="181" w:lineRule="auto"/>
        <w:tabs>
          <w:tab w:leader="none" w:pos="400" w:val="left"/>
        </w:tabs>
        <w:numPr>
          <w:ilvl w:val="0"/>
          <w:numId w:val="157"/>
        </w:numPr>
        <w:rPr>
          <w:rFonts w:ascii="Arial" w:cs="Arial" w:eastAsia="Arial" w:hAnsi="Arial"/>
          <w:sz w:val="24"/>
          <w:szCs w:val="24"/>
          <w:color w:val="auto"/>
          <w:vertAlign w:val="superscript"/>
        </w:rPr>
      </w:pPr>
      <w:r>
        <w:rPr>
          <w:rFonts w:ascii="Arial" w:cs="Arial" w:eastAsia="Arial" w:hAnsi="Arial"/>
          <w:sz w:val="14"/>
          <w:szCs w:val="14"/>
          <w:color w:val="auto"/>
        </w:rPr>
        <w:t>The amounts in column (e) include the value of RSUs and PSUs at the time of vesting and the appreciation of both mandatory and voluntary contributions under the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83820</wp:posOffset>
            </wp:positionV>
            <wp:extent cx="406400" cy="2451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32"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61</w:t>
            </w:r>
          </w:p>
        </w:tc>
      </w:tr>
    </w:tbl>
    <w:p>
      <w:pPr>
        <w:sectPr>
          <w:pgSz w:w="11900" w:h="16838" w:orient="portrait"/>
          <w:cols w:equalWidth="0" w:num="1">
            <w:col w:w="11060"/>
          </w:cols>
          <w:pgMar w:left="320" w:top="455"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Option Exercises and Stock Vested</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Retirement and Other Benefits</w:t>
      </w:r>
    </w:p>
    <w:p>
      <w:pPr>
        <w:spacing w:after="0" w:line="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6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We have a tax qualified defined benefit pension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(B) and (C) below:</w:t>
      </w:r>
    </w:p>
    <w:p>
      <w:pPr>
        <w:spacing w:after="0" w:line="112" w:lineRule="exact"/>
        <w:rPr>
          <w:sz w:val="20"/>
          <w:szCs w:val="20"/>
          <w:color w:val="auto"/>
        </w:rPr>
      </w:pPr>
    </w:p>
    <w:p>
      <w:pPr>
        <w:jc w:val="both"/>
        <w:ind w:left="500" w:hanging="307"/>
        <w:spacing w:after="0" w:line="249" w:lineRule="auto"/>
        <w:tabs>
          <w:tab w:leader="none" w:pos="5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1.165% of the participant’s final average eligible pay up to social security covered compensation, multiplied by the participant’s credited years of service up to 35 years;</w:t>
      </w:r>
    </w:p>
    <w:p>
      <w:pPr>
        <w:spacing w:after="0" w:line="107" w:lineRule="exact"/>
        <w:rPr>
          <w:rFonts w:ascii="Arial" w:cs="Arial" w:eastAsia="Arial" w:hAnsi="Arial"/>
          <w:sz w:val="16"/>
          <w:szCs w:val="16"/>
          <w:color w:val="auto"/>
        </w:rPr>
      </w:pPr>
    </w:p>
    <w:p>
      <w:pPr>
        <w:jc w:val="both"/>
        <w:ind w:left="500" w:hanging="307"/>
        <w:spacing w:after="0" w:line="249" w:lineRule="auto"/>
        <w:tabs>
          <w:tab w:leader="none" w:pos="5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in excess of social security covered compensation, multiplied by the participant’s credited years of service up to 35 years; and</w:t>
      </w:r>
    </w:p>
    <w:p>
      <w:pPr>
        <w:spacing w:after="0" w:line="107" w:lineRule="exact"/>
        <w:rPr>
          <w:rFonts w:ascii="Arial" w:cs="Arial" w:eastAsia="Arial" w:hAnsi="Arial"/>
          <w:sz w:val="16"/>
          <w:szCs w:val="16"/>
          <w:color w:val="auto"/>
        </w:rPr>
      </w:pPr>
    </w:p>
    <w:p>
      <w:pPr>
        <w:ind w:left="500" w:hanging="307"/>
        <w:spacing w:after="0" w:line="254" w:lineRule="auto"/>
        <w:tabs>
          <w:tab w:leader="none" w:pos="5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3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b w:val="1"/>
          <w:bCs w:val="1"/>
          <w:color w:val="auto"/>
        </w:rPr>
        <w:t xml:space="preserve">Supplemental Excess Retirement Plan (SERP). </w:t>
      </w:r>
      <w:r>
        <w:rPr>
          <w:rFonts w:ascii="Arial" w:cs="Arial" w:eastAsia="Arial" w:hAnsi="Arial"/>
          <w:sz w:val="16"/>
          <w:szCs w:val="16"/>
          <w:color w:val="auto"/>
        </w:rPr>
        <w:t>We also have a non-qualified 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45"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b w:val="1"/>
          <w:bCs w:val="1"/>
          <w:color w:val="auto"/>
        </w:rPr>
        <w:t xml:space="preserve">Savings and Investment Plan. </w:t>
      </w:r>
      <w:r>
        <w:rPr>
          <w:rFonts w:ascii="Arial" w:cs="Arial" w:eastAsia="Arial" w:hAnsi="Arial"/>
          <w:sz w:val="16"/>
          <w:szCs w:val="16"/>
          <w:color w:val="auto"/>
        </w:rPr>
        <w:t>The Savings and Investment Plan is a</w:t>
      </w:r>
      <w:r>
        <w:rPr>
          <w:rFonts w:ascii="Arial" w:cs="Arial" w:eastAsia="Arial" w:hAnsi="Arial"/>
          <w:sz w:val="16"/>
          <w:szCs w:val="16"/>
          <w:b w:val="1"/>
          <w:bCs w:val="1"/>
          <w:color w:val="auto"/>
        </w:rPr>
        <w:t xml:space="preserve"> </w:t>
      </w:r>
      <w:r>
        <w:rPr>
          <w:rFonts w:ascii="Arial" w:cs="Arial" w:eastAsia="Arial" w:hAnsi="Arial"/>
          <w:sz w:val="16"/>
          <w:szCs w:val="16"/>
          <w:color w:val="auto"/>
        </w:rPr>
        <w:t>tax-qualified defined contribution retirement savings plan pursuant to which all employees in the United States, including the named executive officers, are eligible to contribute up to 25% or the limit prescribed by the Internal Revenue</w:t>
      </w:r>
    </w:p>
    <w:p>
      <w:pPr>
        <w:spacing w:after="0" w:line="312" w:lineRule="exact"/>
        <w:rPr>
          <w:sz w:val="20"/>
          <w:szCs w:val="20"/>
          <w:color w:val="auto"/>
        </w:rPr>
      </w:pPr>
    </w:p>
    <w:p>
      <w:pPr>
        <w:ind w:left="620" w:hanging="433"/>
        <w:spacing w:after="0"/>
        <w:tabs>
          <w:tab w:leader="none" w:pos="620" w:val="left"/>
        </w:tabs>
        <w:numPr>
          <w:ilvl w:val="0"/>
          <w:numId w:val="159"/>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Service on a ROTH individual retirement account on a before-tax basis and up to an additional 17% of pay on an after-tax basis not to exceed a total of 25% of pay.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-2169795</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 xml:space="preserve">Retiree Medical. </w:t>
      </w:r>
      <w:r>
        <w:rPr>
          <w:rFonts w:ascii="Arial" w:cs="Arial" w:eastAsia="Arial" w:hAnsi="Arial"/>
          <w:sz w:val="16"/>
          <w:szCs w:val="16"/>
          <w:color w:val="auto"/>
        </w:rPr>
        <w:t>Eligible salaried employees who commenced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Nickolas, Mr. LaTorre and Mr. Grant are not eligible for retiree medical benefits as each commenced employment with Martin Marietta after 2002.</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Medical Insurance. </w:t>
      </w:r>
      <w:r>
        <w:rPr>
          <w:rFonts w:ascii="Arial" w:cs="Arial" w:eastAsia="Arial" w:hAnsi="Arial"/>
          <w:sz w:val="16"/>
          <w:szCs w:val="16"/>
          <w:color w:val="auto"/>
        </w:rPr>
        <w:t>Martin Marietta provides an opportunity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and the employees’ immediate family members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Life and Disability Insurance. </w:t>
      </w:r>
      <w:r>
        <w:rPr>
          <w:rFonts w:ascii="Arial" w:cs="Arial" w:eastAsia="Arial" w:hAnsi="Arial"/>
          <w:sz w:val="16"/>
          <w:szCs w:val="16"/>
          <w:color w:val="auto"/>
        </w:rPr>
        <w:t>Martin Marietta provides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including the named executive officers, long-term disability and life insurance that provides up to 1.5 times base salary at no cost to the employee. All of our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Housing Allowance and Relocation Costs. </w:t>
      </w:r>
      <w:r>
        <w:rPr>
          <w:rFonts w:ascii="Arial" w:cs="Arial" w:eastAsia="Arial" w:hAnsi="Arial"/>
          <w:sz w:val="16"/>
          <w:szCs w:val="16"/>
          <w:color w:val="auto"/>
        </w:rPr>
        <w:t>Martin Marietta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relocation benefits, including a housing allowance, to certain employees upon their employment with Martin Marietta or in conjunction with a job relocation or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403860</wp:posOffset>
            </wp:positionV>
            <wp:extent cx="406400" cy="2451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40"/>
            <w:col w:w="5320"/>
          </w:cols>
          <w:pgMar w:left="320" w:top="455"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8240"/>
        <w:spacing w:after="0" w:line="276" w:lineRule="exact"/>
        <w:rPr>
          <w:sz w:val="20"/>
          <w:szCs w:val="20"/>
          <w:color w:val="auto"/>
        </w:rPr>
      </w:pPr>
      <w:r>
        <w:rPr>
          <w:rFonts w:ascii="Arial" w:cs="Arial" w:eastAsia="Arial" w:hAnsi="Arial"/>
          <w:sz w:val="13"/>
          <w:szCs w:val="13"/>
          <w:color w:val="auto"/>
        </w:rPr>
        <w:t xml:space="preserve">Pension Benefits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Pension Benefits</w:t>
      </w:r>
    </w:p>
    <w:p>
      <w:pPr>
        <w:spacing w:after="0" w:line="143" w:lineRule="exact"/>
        <w:rPr>
          <w:sz w:val="20"/>
          <w:szCs w:val="20"/>
          <w:color w:val="auto"/>
        </w:rPr>
      </w:pPr>
    </w:p>
    <w:p>
      <w:pPr>
        <w:jc w:val="both"/>
        <w:ind w:left="180"/>
        <w:spacing w:after="0" w:line="249" w:lineRule="auto"/>
        <w:rPr>
          <w:sz w:val="20"/>
          <w:szCs w:val="20"/>
          <w:color w:val="auto"/>
        </w:rPr>
      </w:pPr>
      <w:r>
        <w:rPr>
          <w:rFonts w:ascii="Arial" w:cs="Arial" w:eastAsia="Arial" w:hAnsi="Arial"/>
          <w:sz w:val="16"/>
          <w:szCs w:val="16"/>
          <w:color w:val="auto"/>
        </w:rPr>
        <w:t>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PENSION BENEFITS TABLE</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40"/>
        </w:trPr>
        <w:tc>
          <w:tcPr>
            <w:tcW w:w="4680" w:type="dxa"/>
            <w:vAlign w:val="bottom"/>
            <w:tcBorders>
              <w:right w:val="single" w:sz="8" w:color="007CBA"/>
            </w:tcBorders>
            <w:shd w:val="clear" w:color="auto" w:fill="007CBA"/>
          </w:tcPr>
          <w:p>
            <w:pPr>
              <w:spacing w:after="0"/>
              <w:rPr>
                <w:sz w:val="20"/>
                <w:szCs w:val="20"/>
                <w:color w:val="auto"/>
              </w:rPr>
            </w:pPr>
          </w:p>
        </w:tc>
        <w:tc>
          <w:tcPr>
            <w:tcW w:w="1860" w:type="dxa"/>
            <w:vAlign w:val="bottom"/>
            <w:tcBorders>
              <w:right w:val="single" w:sz="8" w:color="007CBA"/>
            </w:tcBorders>
            <w:shd w:val="clear" w:color="auto" w:fill="007CBA"/>
          </w:tcPr>
          <w:p>
            <w:pPr>
              <w:spacing w:after="0"/>
              <w:rPr>
                <w:sz w:val="20"/>
                <w:szCs w:val="20"/>
                <w:color w:val="auto"/>
              </w:rPr>
            </w:pPr>
          </w:p>
        </w:tc>
        <w:tc>
          <w:tcPr>
            <w:tcW w:w="13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Numbers of Years</w:t>
            </w:r>
          </w:p>
        </w:tc>
        <w:tc>
          <w:tcPr>
            <w:tcW w:w="1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1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Payments During</w:t>
            </w:r>
          </w:p>
        </w:tc>
      </w:tr>
      <w:tr>
        <w:trPr>
          <w:trHeight w:val="157"/>
        </w:trPr>
        <w:tc>
          <w:tcPr>
            <w:tcW w:w="4680" w:type="dxa"/>
            <w:vAlign w:val="bottom"/>
            <w:tcBorders>
              <w:right w:val="single" w:sz="8" w:color="007CBA"/>
            </w:tcBorders>
            <w:shd w:val="clear" w:color="auto" w:fill="007CBA"/>
          </w:tcPr>
          <w:p>
            <w:pPr>
              <w:spacing w:after="0"/>
              <w:rPr>
                <w:sz w:val="13"/>
                <w:szCs w:val="13"/>
                <w:color w:val="auto"/>
              </w:rPr>
            </w:pPr>
          </w:p>
        </w:tc>
        <w:tc>
          <w:tcPr>
            <w:tcW w:w="1860" w:type="dxa"/>
            <w:vAlign w:val="bottom"/>
            <w:tcBorders>
              <w:right w:val="single" w:sz="8" w:color="007CBA"/>
            </w:tcBorders>
            <w:shd w:val="clear" w:color="auto" w:fill="007CBA"/>
          </w:tcPr>
          <w:p>
            <w:pPr>
              <w:spacing w:after="0"/>
              <w:rPr>
                <w:sz w:val="13"/>
                <w:szCs w:val="13"/>
                <w:color w:val="auto"/>
              </w:rPr>
            </w:pPr>
          </w:p>
        </w:tc>
        <w:tc>
          <w:tcPr>
            <w:tcW w:w="138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Credited Service</w:t>
            </w:r>
          </w:p>
        </w:tc>
        <w:tc>
          <w:tcPr>
            <w:tcW w:w="1760" w:type="dxa"/>
            <w:vAlign w:val="bottom"/>
            <w:tcBorders>
              <w:right w:val="single" w:sz="8" w:color="007CBA"/>
            </w:tcBorders>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Accumulated Benefit</w:t>
            </w:r>
          </w:p>
        </w:tc>
        <w:tc>
          <w:tcPr>
            <w:tcW w:w="1180" w:type="dxa"/>
            <w:vAlign w:val="bottom"/>
            <w:shd w:val="clear" w:color="auto" w:fill="007CBA"/>
          </w:tcPr>
          <w:p>
            <w:pPr>
              <w:jc w:val="center"/>
              <w:spacing w:after="0" w:line="157" w:lineRule="exact"/>
              <w:rPr>
                <w:sz w:val="20"/>
                <w:szCs w:val="20"/>
                <w:color w:val="auto"/>
              </w:rPr>
            </w:pPr>
            <w:r>
              <w:rPr>
                <w:rFonts w:ascii="Arial" w:cs="Arial" w:eastAsia="Arial" w:hAnsi="Arial"/>
                <w:sz w:val="14"/>
                <w:szCs w:val="14"/>
                <w:b w:val="1"/>
                <w:bCs w:val="1"/>
                <w:color w:val="FFFFFF"/>
              </w:rPr>
              <w:t>Last Fiscal Year</w:t>
            </w:r>
          </w:p>
        </w:tc>
      </w:tr>
      <w:tr>
        <w:trPr>
          <w:trHeight w:val="163"/>
        </w:trPr>
        <w:tc>
          <w:tcPr>
            <w:tcW w:w="46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1860" w:type="dxa"/>
            <w:vAlign w:val="bottom"/>
            <w:tcBorders>
              <w:right w:val="single" w:sz="8" w:color="007CBA"/>
            </w:tcBorders>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rPr>
              <w:t>Plan Name</w:t>
            </w:r>
          </w:p>
        </w:tc>
        <w:tc>
          <w:tcPr>
            <w:tcW w:w="13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760" w:type="dxa"/>
            <w:vAlign w:val="bottom"/>
            <w:tcBorders>
              <w:right w:val="single" w:sz="8" w:color="007CBA"/>
            </w:tcBorders>
            <w:shd w:val="clear" w:color="auto" w:fill="007CBA"/>
          </w:tcPr>
          <w:p>
            <w:pPr>
              <w:jc w:val="center"/>
              <w:spacing w:after="0" w:line="164"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1</w:t>
            </w:r>
          </w:p>
        </w:tc>
        <w:tc>
          <w:tcPr>
            <w:tcW w:w="11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r>
      <w:tr>
        <w:trPr>
          <w:trHeight w:val="200"/>
        </w:trPr>
        <w:tc>
          <w:tcPr>
            <w:tcW w:w="46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(b)</w:t>
            </w:r>
          </w:p>
        </w:tc>
        <w:tc>
          <w:tcPr>
            <w:tcW w:w="13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1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1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r>
      <w:tr>
        <w:trPr>
          <w:trHeight w:val="245"/>
        </w:trPr>
        <w:tc>
          <w:tcPr>
            <w:tcW w:w="46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18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Pension Plan</w:t>
            </w:r>
          </w:p>
        </w:tc>
        <w:tc>
          <w:tcPr>
            <w:tcW w:w="13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13.417</w:t>
            </w:r>
          </w:p>
        </w:tc>
        <w:tc>
          <w:tcPr>
            <w:tcW w:w="17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624,446</w:t>
            </w:r>
          </w:p>
        </w:tc>
        <w:tc>
          <w:tcPr>
            <w:tcW w:w="1180" w:type="dxa"/>
            <w:vAlign w:val="bottom"/>
            <w:shd w:val="clear" w:color="auto" w:fill="E5F1F8"/>
          </w:tcPr>
          <w:p>
            <w:pPr>
              <w:spacing w:after="0"/>
              <w:rPr>
                <w:sz w:val="21"/>
                <w:szCs w:val="21"/>
                <w:color w:val="auto"/>
              </w:rPr>
            </w:pPr>
          </w:p>
        </w:tc>
      </w:tr>
      <w:tr>
        <w:trPr>
          <w:trHeight w:val="182"/>
        </w:trPr>
        <w:tc>
          <w:tcPr>
            <w:tcW w:w="4680" w:type="dxa"/>
            <w:vAlign w:val="bottom"/>
            <w:tcBorders>
              <w:right w:val="single" w:sz="8" w:color="007CBA"/>
            </w:tcBorders>
            <w:shd w:val="clear" w:color="auto" w:fill="E5F1F8"/>
          </w:tcPr>
          <w:p>
            <w:pPr>
              <w:spacing w:after="0"/>
              <w:rPr>
                <w:sz w:val="15"/>
                <w:szCs w:val="15"/>
                <w:color w:val="auto"/>
              </w:rPr>
            </w:pPr>
          </w:p>
        </w:tc>
        <w:tc>
          <w:tcPr>
            <w:tcW w:w="18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SERP</w:t>
            </w:r>
          </w:p>
        </w:tc>
        <w:tc>
          <w:tcPr>
            <w:tcW w:w="13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13.417</w:t>
            </w:r>
          </w:p>
        </w:tc>
        <w:tc>
          <w:tcPr>
            <w:tcW w:w="17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8,264,290</w:t>
            </w:r>
          </w:p>
        </w:tc>
        <w:tc>
          <w:tcPr>
            <w:tcW w:w="1180" w:type="dxa"/>
            <w:vAlign w:val="bottom"/>
            <w:shd w:val="clear" w:color="auto" w:fill="E5F1F8"/>
          </w:tcPr>
          <w:p>
            <w:pPr>
              <w:spacing w:after="0"/>
              <w:rPr>
                <w:sz w:val="15"/>
                <w:szCs w:val="15"/>
                <w:color w:val="auto"/>
              </w:rPr>
            </w:pPr>
          </w:p>
        </w:tc>
      </w:tr>
      <w:tr>
        <w:trPr>
          <w:trHeight w:val="245"/>
        </w:trPr>
        <w:tc>
          <w:tcPr>
            <w:tcW w:w="46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18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Pension Plan</w:t>
            </w:r>
          </w:p>
        </w:tc>
        <w:tc>
          <w:tcPr>
            <w:tcW w:w="13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2.417</w:t>
            </w:r>
          </w:p>
        </w:tc>
        <w:tc>
          <w:tcPr>
            <w:tcW w:w="17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85,515</w:t>
            </w:r>
          </w:p>
        </w:tc>
        <w:tc>
          <w:tcPr>
            <w:tcW w:w="1180" w:type="dxa"/>
            <w:vAlign w:val="bottom"/>
          </w:tcPr>
          <w:p>
            <w:pPr>
              <w:spacing w:after="0"/>
              <w:rPr>
                <w:sz w:val="21"/>
                <w:szCs w:val="21"/>
                <w:color w:val="auto"/>
              </w:rPr>
            </w:pPr>
          </w:p>
        </w:tc>
      </w:tr>
      <w:tr>
        <w:trPr>
          <w:trHeight w:val="176"/>
        </w:trPr>
        <w:tc>
          <w:tcPr>
            <w:tcW w:w="4680" w:type="dxa"/>
            <w:vAlign w:val="bottom"/>
            <w:tcBorders>
              <w:right w:val="single" w:sz="8" w:color="007CBA"/>
            </w:tcBorders>
          </w:tcPr>
          <w:p>
            <w:pPr>
              <w:spacing w:after="0"/>
              <w:rPr>
                <w:sz w:val="15"/>
                <w:szCs w:val="15"/>
                <w:color w:val="auto"/>
              </w:rPr>
            </w:pPr>
          </w:p>
        </w:tc>
        <w:tc>
          <w:tcPr>
            <w:tcW w:w="18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SERP</w:t>
            </w:r>
          </w:p>
        </w:tc>
        <w:tc>
          <w:tcPr>
            <w:tcW w:w="13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2.417</w:t>
            </w:r>
          </w:p>
        </w:tc>
        <w:tc>
          <w:tcPr>
            <w:tcW w:w="17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273,031</w:t>
            </w:r>
          </w:p>
        </w:tc>
        <w:tc>
          <w:tcPr>
            <w:tcW w:w="1180" w:type="dxa"/>
            <w:vAlign w:val="bottom"/>
          </w:tcPr>
          <w:p>
            <w:pPr>
              <w:spacing w:after="0"/>
              <w:rPr>
                <w:sz w:val="15"/>
                <w:szCs w:val="15"/>
                <w:color w:val="auto"/>
              </w:rPr>
            </w:pPr>
          </w:p>
        </w:tc>
      </w:tr>
      <w:tr>
        <w:trPr>
          <w:trHeight w:val="250"/>
        </w:trPr>
        <w:tc>
          <w:tcPr>
            <w:tcW w:w="46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18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Pension Plan</w:t>
            </w:r>
          </w:p>
        </w:tc>
        <w:tc>
          <w:tcPr>
            <w:tcW w:w="13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25.5</w:t>
            </w:r>
          </w:p>
        </w:tc>
        <w:tc>
          <w:tcPr>
            <w:tcW w:w="17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1,491,045</w:t>
            </w:r>
          </w:p>
        </w:tc>
        <w:tc>
          <w:tcPr>
            <w:tcW w:w="1180" w:type="dxa"/>
            <w:vAlign w:val="bottom"/>
            <w:shd w:val="clear" w:color="auto" w:fill="E5F1F8"/>
          </w:tcPr>
          <w:p>
            <w:pPr>
              <w:spacing w:after="0"/>
              <w:rPr>
                <w:sz w:val="21"/>
                <w:szCs w:val="21"/>
                <w:color w:val="auto"/>
              </w:rPr>
            </w:pPr>
          </w:p>
        </w:tc>
      </w:tr>
      <w:tr>
        <w:trPr>
          <w:trHeight w:val="182"/>
        </w:trPr>
        <w:tc>
          <w:tcPr>
            <w:tcW w:w="4680" w:type="dxa"/>
            <w:vAlign w:val="bottom"/>
            <w:tcBorders>
              <w:right w:val="single" w:sz="8" w:color="007CBA"/>
            </w:tcBorders>
            <w:shd w:val="clear" w:color="auto" w:fill="E5F1F8"/>
          </w:tcPr>
          <w:p>
            <w:pPr>
              <w:spacing w:after="0"/>
              <w:rPr>
                <w:sz w:val="15"/>
                <w:szCs w:val="15"/>
                <w:color w:val="auto"/>
              </w:rPr>
            </w:pPr>
          </w:p>
        </w:tc>
        <w:tc>
          <w:tcPr>
            <w:tcW w:w="18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SERP</w:t>
            </w:r>
          </w:p>
        </w:tc>
        <w:tc>
          <w:tcPr>
            <w:tcW w:w="13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25.5</w:t>
            </w:r>
          </w:p>
        </w:tc>
        <w:tc>
          <w:tcPr>
            <w:tcW w:w="17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5,771,902</w:t>
            </w:r>
          </w:p>
        </w:tc>
        <w:tc>
          <w:tcPr>
            <w:tcW w:w="1180" w:type="dxa"/>
            <w:vAlign w:val="bottom"/>
            <w:shd w:val="clear" w:color="auto" w:fill="E5F1F8"/>
          </w:tcPr>
          <w:p>
            <w:pPr>
              <w:spacing w:after="0"/>
              <w:rPr>
                <w:sz w:val="15"/>
                <w:szCs w:val="15"/>
                <w:color w:val="auto"/>
              </w:rPr>
            </w:pPr>
          </w:p>
        </w:tc>
      </w:tr>
      <w:tr>
        <w:trPr>
          <w:trHeight w:val="245"/>
        </w:trPr>
        <w:tc>
          <w:tcPr>
            <w:tcW w:w="46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Craig M. LaTorre</w:t>
            </w:r>
          </w:p>
        </w:tc>
        <w:tc>
          <w:tcPr>
            <w:tcW w:w="18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Pension Plan</w:t>
            </w:r>
          </w:p>
        </w:tc>
        <w:tc>
          <w:tcPr>
            <w:tcW w:w="13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1.500</w:t>
            </w:r>
          </w:p>
        </w:tc>
        <w:tc>
          <w:tcPr>
            <w:tcW w:w="17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61,296</w:t>
            </w:r>
          </w:p>
        </w:tc>
        <w:tc>
          <w:tcPr>
            <w:tcW w:w="1180" w:type="dxa"/>
            <w:vAlign w:val="bottom"/>
          </w:tcPr>
          <w:p>
            <w:pPr>
              <w:spacing w:after="0"/>
              <w:rPr>
                <w:sz w:val="21"/>
                <w:szCs w:val="21"/>
                <w:color w:val="auto"/>
              </w:rPr>
            </w:pPr>
          </w:p>
        </w:tc>
      </w:tr>
      <w:tr>
        <w:trPr>
          <w:trHeight w:val="176"/>
        </w:trPr>
        <w:tc>
          <w:tcPr>
            <w:tcW w:w="4680" w:type="dxa"/>
            <w:vAlign w:val="bottom"/>
            <w:tcBorders>
              <w:right w:val="single" w:sz="8" w:color="007CBA"/>
            </w:tcBorders>
          </w:tcPr>
          <w:p>
            <w:pPr>
              <w:spacing w:after="0"/>
              <w:rPr>
                <w:sz w:val="15"/>
                <w:szCs w:val="15"/>
                <w:color w:val="auto"/>
              </w:rPr>
            </w:pPr>
          </w:p>
        </w:tc>
        <w:tc>
          <w:tcPr>
            <w:tcW w:w="18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SERP</w:t>
            </w:r>
          </w:p>
        </w:tc>
        <w:tc>
          <w:tcPr>
            <w:tcW w:w="13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1.500</w:t>
            </w:r>
          </w:p>
        </w:tc>
        <w:tc>
          <w:tcPr>
            <w:tcW w:w="176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108,486</w:t>
            </w:r>
          </w:p>
        </w:tc>
        <w:tc>
          <w:tcPr>
            <w:tcW w:w="1180" w:type="dxa"/>
            <w:vAlign w:val="bottom"/>
          </w:tcPr>
          <w:p>
            <w:pPr>
              <w:spacing w:after="0"/>
              <w:rPr>
                <w:sz w:val="15"/>
                <w:szCs w:val="15"/>
                <w:color w:val="auto"/>
              </w:rPr>
            </w:pPr>
          </w:p>
        </w:tc>
      </w:tr>
      <w:tr>
        <w:trPr>
          <w:trHeight w:val="250"/>
        </w:trPr>
        <w:tc>
          <w:tcPr>
            <w:tcW w:w="46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18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Pension Plan</w:t>
            </w:r>
          </w:p>
        </w:tc>
        <w:tc>
          <w:tcPr>
            <w:tcW w:w="13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6.333</w:t>
            </w:r>
          </w:p>
        </w:tc>
        <w:tc>
          <w:tcPr>
            <w:tcW w:w="176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325,153</w:t>
            </w:r>
          </w:p>
        </w:tc>
        <w:tc>
          <w:tcPr>
            <w:tcW w:w="1180" w:type="dxa"/>
            <w:vAlign w:val="bottom"/>
            <w:shd w:val="clear" w:color="auto" w:fill="E5F1F8"/>
          </w:tcPr>
          <w:p>
            <w:pPr>
              <w:spacing w:after="0"/>
              <w:rPr>
                <w:sz w:val="21"/>
                <w:szCs w:val="21"/>
                <w:color w:val="auto"/>
              </w:rPr>
            </w:pPr>
          </w:p>
        </w:tc>
      </w:tr>
      <w:tr>
        <w:trPr>
          <w:trHeight w:val="176"/>
        </w:trPr>
        <w:tc>
          <w:tcPr>
            <w:tcW w:w="4680" w:type="dxa"/>
            <w:vAlign w:val="bottom"/>
            <w:tcBorders>
              <w:bottom w:val="single" w:sz="8" w:color="007CBA"/>
              <w:right w:val="single" w:sz="8" w:color="007CBA"/>
            </w:tcBorders>
            <w:shd w:val="clear" w:color="auto" w:fill="E5F1F8"/>
          </w:tcPr>
          <w:p>
            <w:pPr>
              <w:spacing w:after="0"/>
              <w:rPr>
                <w:sz w:val="15"/>
                <w:szCs w:val="15"/>
                <w:color w:val="auto"/>
              </w:rPr>
            </w:pPr>
          </w:p>
        </w:tc>
        <w:tc>
          <w:tcPr>
            <w:tcW w:w="18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SERP</w:t>
            </w:r>
          </w:p>
        </w:tc>
        <w:tc>
          <w:tcPr>
            <w:tcW w:w="1380" w:type="dxa"/>
            <w:vAlign w:val="bottom"/>
            <w:tcBorders>
              <w:bottom w:val="single" w:sz="8" w:color="007CBA"/>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6.333</w:t>
            </w:r>
          </w:p>
        </w:tc>
        <w:tc>
          <w:tcPr>
            <w:tcW w:w="1760" w:type="dxa"/>
            <w:vAlign w:val="bottom"/>
            <w:tcBorders>
              <w:bottom w:val="single" w:sz="8" w:color="007CBA"/>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686,042</w:t>
            </w:r>
          </w:p>
        </w:tc>
        <w:tc>
          <w:tcPr>
            <w:tcW w:w="1180" w:type="dxa"/>
            <w:vAlign w:val="bottom"/>
            <w:tcBorders>
              <w:bottom w:val="single" w:sz="8" w:color="007CBA"/>
            </w:tcBorders>
            <w:shd w:val="clear" w:color="auto" w:fill="E5F1F8"/>
          </w:tcPr>
          <w:p>
            <w:pPr>
              <w:spacing w:after="0"/>
              <w:rPr>
                <w:sz w:val="15"/>
                <w:szCs w:val="15"/>
                <w:color w:val="auto"/>
              </w:rPr>
            </w:pPr>
          </w:p>
        </w:tc>
      </w:tr>
    </w:tbl>
    <w:p>
      <w:pPr>
        <w:spacing w:after="0" w:line="71" w:lineRule="exact"/>
        <w:rPr>
          <w:sz w:val="20"/>
          <w:szCs w:val="20"/>
          <w:color w:val="auto"/>
        </w:rPr>
      </w:pPr>
    </w:p>
    <w:p>
      <w:pPr>
        <w:jc w:val="both"/>
        <w:ind w:left="400" w:hanging="213"/>
        <w:spacing w:after="0"/>
        <w:tabs>
          <w:tab w:leader="none" w:pos="400" w:val="left"/>
        </w:tabs>
        <w:numPr>
          <w:ilvl w:val="0"/>
          <w:numId w:val="160"/>
        </w:numPr>
        <w:rPr>
          <w:rFonts w:ascii="Arial" w:cs="Arial" w:eastAsia="Arial" w:hAnsi="Arial"/>
          <w:sz w:val="24"/>
          <w:szCs w:val="24"/>
          <w:color w:val="auto"/>
          <w:vertAlign w:val="superscript"/>
        </w:rPr>
      </w:pPr>
      <w:r>
        <w:rPr>
          <w:rFonts w:ascii="Arial" w:cs="Arial" w:eastAsia="Arial" w:hAnsi="Arial"/>
          <w:sz w:val="14"/>
          <w:szCs w:val="14"/>
          <w:color w:val="auto"/>
        </w:rPr>
        <w:t>Amounts in column (d) reflect the valuation method and use the assumptions that are included in Notes A and K to Martin Marietta’s audited financial statements for the fiscal year ended December 31, 2019, included in Martin Marietta’s Annual Report on Form 10-K filed with the Securities and Exchange Commission on February 21, 2020.</w:t>
      </w:r>
    </w:p>
    <w:p>
      <w:pPr>
        <w:sectPr>
          <w:pgSz w:w="11900" w:h="16838" w:orient="portrait"/>
          <w:cols w:equalWidth="0" w:num="1">
            <w:col w:w="11060"/>
          </w:cols>
          <w:pgMar w:left="320" w:top="455" w:right="519" w:bottom="1440" w:gutter="0" w:footer="0" w:header="0"/>
        </w:sectPr>
      </w:pPr>
    </w:p>
    <w:p>
      <w:pPr>
        <w:spacing w:after="0" w:line="307"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limitations, including a limitation on the amount of annual compensation for purposes of calculating eligible remuneration for a participant under a qualified retirement plan ($280,000 in 2019). Martin Marietta’s SERP is a restoration plan that generally provides for the payment of benefits in excess of the Internal Revenue Code limits, which benefits vest in the same manner that benefits vest under the Pension Plan. The SERP provides for a lump sum payment of the vested benefits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provided by the SERP subject to the provisions of Section 409A of the Internal Revenue Code. Of the named executive officers, Mr. Nye, Ms. Bar and Mr. Grant are each eligible for early retirement, which allows for payment to employees who are age 55 or older with at least five years of service at a reduced benefit based on the number of years of service and the number of years prior to age 62 at which the benefits began. Mr. Nickolas is not yet eligible for early retirement, but would be eligible for payments at age 55 at a reduced benefit based on the number of years of service and the number of years prior to age 65 at which the benefits began. Mr. LaTorre is not yet eligible for early retirement, but would be eligible for payments after 5 years of service at a reduced benefit based on the number of years of service and the number of years prior to age 65 at which the benefits began. The present value of the Pension Plan and SERP benefit, respectively, for Mr. Nye, Mr. Nickolas, Ms. Bar, Mr. LaTorre, and Mr. Grant, if they had terminated on December 31, 2019 and began collecting benefits at age 55 or current age if older would be as follows: Mr. Nye, $656,882 and $9,057,478, respectively; Mr. Nickolas, $0 and $0, respectively, since he has less than five years of service with Martin Marietta and therefore is not vested in the plans; Ms. Bar, $1,507,292 and $5,844,815, respectively; Mr. LaTorre, $0 and $0, respectively, since he has less than five years of service with Martin Marietta and therefore is not vested in the plans; and Mr. Grant, $325,153 and $686,042, respectively. The amounts listed in the foregoing table are not subject to any deduction for Social Security benefits or other offset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409575</wp:posOffset>
            </wp:positionV>
            <wp:extent cx="406400" cy="2451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05"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63</w:t>
            </w:r>
          </w:p>
        </w:tc>
      </w:tr>
    </w:tbl>
    <w:p>
      <w:pPr>
        <w:sectPr>
          <w:pgSz w:w="11900" w:h="16838" w:orient="portrait"/>
          <w:cols w:equalWidth="0" w:num="1">
            <w:col w:w="11060"/>
          </w:cols>
          <w:pgMar w:left="320" w:top="455" w:right="51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Potential Payments Upon Termination or Change of Control</w:t>
      </w: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07CBA"/>
        </w:rPr>
        <w:t>Potential Payments Upon Termination or Change of Control</w:t>
      </w:r>
    </w:p>
    <w:p>
      <w:pPr>
        <w:sectPr>
          <w:pgSz w:w="11900" w:h="16838" w:orient="portrait"/>
          <w:cols w:equalWidth="0" w:num="1">
            <w:col w:w="11060"/>
          </w:cols>
          <w:pgMar w:left="320" w:top="455" w:right="519" w:bottom="1440" w:gutter="0" w:footer="0" w:header="0"/>
        </w:sectPr>
      </w:pPr>
    </w:p>
    <w:p>
      <w:pPr>
        <w:spacing w:after="0" w:line="2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2019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6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b w:val="1"/>
          <w:bCs w:val="1"/>
          <w:color w:val="auto"/>
        </w:rPr>
        <w:t xml:space="preserve">Payments Upon Any Termination. </w:t>
      </w:r>
      <w:r>
        <w:rPr>
          <w:rFonts w:ascii="Arial" w:cs="Arial" w:eastAsia="Arial" w:hAnsi="Arial"/>
          <w:sz w:val="16"/>
          <w:szCs w:val="16"/>
          <w:color w:val="auto"/>
        </w:rPr>
        <w:t>Regardless of the manner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145"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b w:val="1"/>
          <w:bCs w:val="1"/>
          <w:color w:val="auto"/>
        </w:rPr>
        <w:t xml:space="preserve">Payments Upon Voluntary Termination. </w:t>
      </w:r>
      <w:r>
        <w:rPr>
          <w:rFonts w:ascii="Arial" w:cs="Arial" w:eastAsia="Arial" w:hAnsi="Arial"/>
          <w:sz w:val="16"/>
          <w:szCs w:val="16"/>
          <w:color w:val="auto"/>
        </w:rPr>
        <w:t>In addition to the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143"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b w:val="1"/>
          <w:bCs w:val="1"/>
          <w:color w:val="auto"/>
        </w:rPr>
        <w:t xml:space="preserve">Payments Upon Involuntary Not-For-Cause Termination. </w:t>
      </w:r>
      <w:r>
        <w:rPr>
          <w:rFonts w:ascii="Arial" w:cs="Arial" w:eastAsia="Arial" w:hAnsi="Arial"/>
          <w:sz w:val="16"/>
          <w:szCs w:val="16"/>
          <w:color w:val="auto"/>
        </w:rPr>
        <w:t>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amounts described under the heading </w:t>
      </w:r>
      <w:r>
        <w:rPr>
          <w:rFonts w:ascii="Arial" w:cs="Arial" w:eastAsia="Arial" w:hAnsi="Arial"/>
          <w:sz w:val="16"/>
          <w:szCs w:val="16"/>
          <w:i w:val="1"/>
          <w:iCs w:val="1"/>
          <w:color w:val="auto"/>
        </w:rPr>
        <w:t>Payments Upon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Termination </w:t>
      </w:r>
      <w:r>
        <w:rPr>
          <w:rFonts w:ascii="Arial" w:cs="Arial" w:eastAsia="Arial" w:hAnsi="Arial"/>
          <w:sz w:val="16"/>
          <w:szCs w:val="16"/>
          <w:color w:val="auto"/>
        </w:rPr>
        <w:t>, upon an involuntary termination of employment not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56"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b w:val="1"/>
          <w:bCs w:val="1"/>
          <w:color w:val="auto"/>
        </w:rPr>
        <w:t xml:space="preserve">Payments Upon Involuntary For-Cause Termination. </w:t>
      </w:r>
      <w:r>
        <w:rPr>
          <w:rFonts w:ascii="Arial" w:cs="Arial" w:eastAsia="Arial" w:hAnsi="Arial"/>
          <w:sz w:val="16"/>
          <w:szCs w:val="16"/>
          <w:color w:val="auto"/>
        </w:rPr>
        <w:t>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involuntary termination for cause, which is defined in the Employment Protection Agreement and the Stock Plan, the named executive officer would be entitled to receive the payments and benefits described under the heading </w:t>
      </w:r>
      <w:r>
        <w:rPr>
          <w:rFonts w:ascii="Arial" w:cs="Arial" w:eastAsia="Arial" w:hAnsi="Arial"/>
          <w:sz w:val="16"/>
          <w:szCs w:val="16"/>
          <w:i w:val="1"/>
          <w:iCs w:val="1"/>
          <w:color w:val="auto"/>
        </w:rPr>
        <w:t>Payments Upon Voluntary Termination</w:t>
      </w:r>
      <w:r>
        <w:rPr>
          <w:rFonts w:ascii="Arial" w:cs="Arial" w:eastAsia="Arial" w:hAnsi="Arial"/>
          <w:sz w:val="16"/>
          <w:szCs w:val="16"/>
          <w:color w:val="auto"/>
        </w:rPr>
        <w:t>.</w:t>
      </w:r>
    </w:p>
    <w:p>
      <w:pPr>
        <w:spacing w:after="0" w:line="140" w:lineRule="exact"/>
        <w:rPr>
          <w:sz w:val="20"/>
          <w:szCs w:val="20"/>
          <w:color w:val="auto"/>
        </w:rPr>
      </w:pPr>
    </w:p>
    <w:p>
      <w:pPr>
        <w:jc w:val="both"/>
        <w:ind w:left="200"/>
        <w:spacing w:after="0" w:line="252" w:lineRule="auto"/>
        <w:rPr>
          <w:sz w:val="20"/>
          <w:szCs w:val="20"/>
          <w:color w:val="auto"/>
        </w:rPr>
      </w:pPr>
      <w:r>
        <w:rPr>
          <w:rFonts w:ascii="Arial" w:cs="Arial" w:eastAsia="Arial" w:hAnsi="Arial"/>
          <w:sz w:val="16"/>
          <w:szCs w:val="16"/>
          <w:b w:val="1"/>
          <w:bCs w:val="1"/>
          <w:color w:val="auto"/>
        </w:rPr>
        <w:t xml:space="preserve">Payments Upon Retirement. </w:t>
      </w:r>
      <w:r>
        <w:rPr>
          <w:rFonts w:ascii="Arial" w:cs="Arial" w:eastAsia="Arial" w:hAnsi="Arial"/>
          <w:sz w:val="16"/>
          <w:szCs w:val="16"/>
          <w:color w:val="auto"/>
        </w:rPr>
        <w:t>In the event of the retirement at age 62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above of a named executive officer, in addition to the items 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executive will receive a portion of the cash incentive bonus based upon performance and payable under the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Executive Cash Incentive Plan that correlates to the percentage of the year in which the employee worked for the Company; will continue to hold all outstanding options unaffected by the retirement and retain such options for the remainder of the outstanding term; will continue to hold all awards of RSUs and PSUs for the remainder of the outstanding term unaffected by the retirement; will vest in all outstanding awards of common stock units under the Incentive Stock Plan; in the case of Ms. Bar, will be eligible to receive health and welfare benefits as described under the heading </w:t>
      </w:r>
      <w:r>
        <w:rPr>
          <w:rFonts w:ascii="Arial" w:cs="Arial" w:eastAsia="Arial" w:hAnsi="Arial"/>
          <w:sz w:val="16"/>
          <w:szCs w:val="16"/>
          <w:i w:val="1"/>
          <w:iCs w:val="1"/>
          <w:color w:val="auto"/>
        </w:rPr>
        <w:t>Retiree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Medical </w:t>
      </w:r>
      <w:r>
        <w:rPr>
          <w:rFonts w:ascii="Arial" w:cs="Arial" w:eastAsia="Arial" w:hAnsi="Arial"/>
          <w:sz w:val="16"/>
          <w:szCs w:val="16"/>
          <w:color w:val="auto"/>
        </w:rPr>
        <w:t>on page 62; and will continue to receive life insurance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until his or her death.</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Payments Made Upon Early Retirement. </w:t>
      </w:r>
      <w:r>
        <w:rPr>
          <w:rFonts w:ascii="Arial" w:cs="Arial" w:eastAsia="Arial" w:hAnsi="Arial"/>
          <w:sz w:val="16"/>
          <w:szCs w:val="16"/>
          <w:color w:val="auto"/>
        </w:rPr>
        <w:t>In the event of retirement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reaching age 62 but on or after reaching age 55, the named executive officer will receive benefits as described under the heading </w:t>
      </w:r>
      <w:r>
        <w:rPr>
          <w:rFonts w:ascii="Arial" w:cs="Arial" w:eastAsia="Arial" w:hAnsi="Arial"/>
          <w:sz w:val="16"/>
          <w:szCs w:val="16"/>
          <w:i w:val="1"/>
          <w:iCs w:val="1"/>
          <w:color w:val="auto"/>
        </w:rPr>
        <w:t>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Voluntary Termination</w:t>
      </w:r>
      <w:r>
        <w:rPr>
          <w:rFonts w:ascii="Arial" w:cs="Arial" w:eastAsia="Arial" w:hAnsi="Arial"/>
          <w:sz w:val="16"/>
          <w:szCs w:val="16"/>
          <w:color w:val="auto"/>
        </w:rPr>
        <w:t>. In addition, the named executive officer 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receive reduced benefits of the type described under </w:t>
      </w:r>
      <w:r>
        <w:rPr>
          <w:rFonts w:ascii="Arial" w:cs="Arial" w:eastAsia="Arial" w:hAnsi="Arial"/>
          <w:sz w:val="16"/>
          <w:szCs w:val="16"/>
          <w:i w:val="1"/>
          <w:iCs w:val="1"/>
          <w:color w:val="auto"/>
        </w:rPr>
        <w:t>Pension Benefits</w:t>
      </w:r>
      <w:r>
        <w:rPr>
          <w:rFonts w:ascii="Arial" w:cs="Arial" w:eastAsia="Arial" w:hAnsi="Arial"/>
          <w:sz w:val="16"/>
          <w:szCs w:val="16"/>
          <w:color w:val="auto"/>
        </w:rPr>
        <w:t xml:space="preserve"> on page 63 and may be eligible for benefits described under the heading </w:t>
      </w:r>
      <w:r>
        <w:rPr>
          <w:rFonts w:ascii="Arial" w:cs="Arial" w:eastAsia="Arial" w:hAnsi="Arial"/>
          <w:sz w:val="16"/>
          <w:szCs w:val="16"/>
          <w:i w:val="1"/>
          <w:iCs w:val="1"/>
          <w:color w:val="auto"/>
        </w:rPr>
        <w:t xml:space="preserve">Retiree Medical </w:t>
      </w:r>
      <w:r>
        <w:rPr>
          <w:rFonts w:ascii="Arial" w:cs="Arial" w:eastAsia="Arial" w:hAnsi="Arial"/>
          <w:sz w:val="16"/>
          <w:szCs w:val="16"/>
          <w:color w:val="auto"/>
        </w:rPr>
        <w:t>beginning on page 62 at a higher cost.</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color w:val="auto"/>
        </w:rPr>
        <w:t xml:space="preserve">Payments Upon Death or Disability. </w:t>
      </w:r>
      <w:r>
        <w:rPr>
          <w:rFonts w:ascii="Arial" w:cs="Arial" w:eastAsia="Arial" w:hAnsi="Arial"/>
          <w:sz w:val="16"/>
          <w:szCs w:val="16"/>
          <w:color w:val="auto"/>
        </w:rPr>
        <w:t>In the event of the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 named executive officer, in addition to the payments and benefits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named executive officer or his or her estate will receive benefits under Martin Marietta’s long-term disability plan or life insurance plan, as applicable, and a death benefit payment, as applicable, equal to the then-current base salary of such employee paid under the Pension Plan plus one month base salary. In addition, in the event of death, all options will vest and the executor of their estate will have one year to exercise the options. In the event of disability, the executive will receive a portion of the cash incentive compensation based upon performance and payable under the Executive Cash Incentive Plan that correlates to the percentage of the year in which the employee worked for the Company; will continue to hold all outstanding options unaffected by the disability and will retain such options for the remainder of the outstanding term; will continue to hold all awards of PSUs and RSUs for the remainder of the outstanding term unaffected by the disability; and will vest in all outstanding awards of common stock units under the Incentive Stock Plan.</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Payments Upon or in Connection With a Change of Control</w:t>
      </w:r>
      <w:r>
        <w:rPr>
          <w:rFonts w:ascii="Arial" w:cs="Arial" w:eastAsia="Arial" w:hAnsi="Arial"/>
          <w:sz w:val="16"/>
          <w:szCs w:val="16"/>
          <w:color w:val="auto"/>
        </w:rPr>
        <w:t>. Martin</w:t>
      </w:r>
      <w:r>
        <w:rPr>
          <w:rFonts w:ascii="Arial" w:cs="Arial" w:eastAsia="Arial" w:hAnsi="Arial"/>
          <w:sz w:val="16"/>
          <w:szCs w:val="16"/>
          <w:b w:val="1"/>
          <w:bCs w:val="1"/>
          <w:color w:val="auto"/>
        </w:rPr>
        <w:t xml:space="preserve"> </w:t>
      </w:r>
      <w:r>
        <w:rPr>
          <w:rFonts w:ascii="Arial" w:cs="Arial" w:eastAsia="Arial" w:hAnsi="Arial"/>
          <w:sz w:val="16"/>
          <w:szCs w:val="16"/>
          <w:color w:val="auto"/>
        </w:rPr>
        <w:t>Marietta has entered into Employment Protection Agreements, as amended from time to time, with each of the named executive officers. The purpose of these agreements is to provide Martin Marietta’s key executives with payments and benefits upon certain types of terminations within two years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290195</wp:posOffset>
            </wp:positionV>
            <wp:extent cx="406400" cy="2451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12" w:lineRule="exact"/>
        <w:rPr>
          <w:sz w:val="20"/>
          <w:szCs w:val="20"/>
          <w:color w:val="auto"/>
        </w:rPr>
      </w:pPr>
    </w:p>
    <w:p>
      <w:pPr>
        <w:ind w:left="620" w:hanging="433"/>
        <w:spacing w:after="0"/>
        <w:tabs>
          <w:tab w:leader="none" w:pos="620" w:val="left"/>
        </w:tabs>
        <w:numPr>
          <w:ilvl w:val="0"/>
          <w:numId w:val="161"/>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Potential Payments Upon Termination or Change of Control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79"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The agreements provide that if, within the two-year period following a Change of Control, an executive is terminated without “Cause” (as defined in the agreements) or terminates his or her employment with “Good Reason” (as defined in the agreements), Martin Marietta is obligated to pay the executive, in a lump sum, an amount equal to three times the sum of the executive’s base salary, annual bonus, and Martin Marietta’s match to the defined contribution plan; the payment of a pro-rata annual target bonus in the year of termination as determined under the Executive Cash Incentive Plan (for Mr. Nye such target bonus is 130%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Executives also are credited with an additional three years of service under the Pension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The agreements also 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confidentiality requirements to ensure that the executives do not disclose any confidential information relating to Martin Marietta.</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agreements were amended in December 2018 in response to the 2018 Say On Pay vote that was supported by 78.9% of the shareholders that voted. The amendments eliminated (1) the “gross up” payments that compensate the executives for any golden parachute excise taxes imposed under the Internal Revenue Code; (2) the “walk-right” if the executive voluntarily terminates his or her employment for any reason during the thirty-day period following the second anniversary of the Change of Control; and (3) the inclusion of the value of perquisites in the severance payment provided for in the agreements.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the second anniversary of the Change of Control.</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addition, the Stock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 For purposes of such vesting, any performance criteria will be deemed achieved at the greater of target performance and actual performance, as measured through the date of the Change of Control. In December 2018, in response to the 2018 Say On Pay vote, the Company’s form of RSU award agreement and PSU award agreement were changed such that future grants of RSUs and PSUs will require termination of the executive’s employment in connection with a Change of Control in order for accelerated vesting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426720</wp:posOffset>
            </wp:positionV>
            <wp:extent cx="406400" cy="2451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65</w:t>
            </w:r>
          </w:p>
        </w:tc>
      </w:tr>
    </w:tbl>
    <w:p>
      <w:pPr>
        <w:sectPr>
          <w:pgSz w:w="11900" w:h="16838" w:orient="portrait"/>
          <w:cols w:equalWidth="0" w:num="2">
            <w:col w:w="5400" w:space="340"/>
            <w:col w:w="5320"/>
          </w:cols>
          <w:pgMar w:left="320" w:top="455" w:right="51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Potential Payments Upon Termination or Change of Control</w:t>
      </w:r>
    </w:p>
    <w:p>
      <w:pPr>
        <w:spacing w:after="0" w:line="200" w:lineRule="exact"/>
        <w:rPr>
          <w:sz w:val="20"/>
          <w:szCs w:val="20"/>
          <w:color w:val="auto"/>
        </w:rPr>
      </w:pPr>
    </w:p>
    <w:p>
      <w:pPr>
        <w:spacing w:after="0" w:line="221" w:lineRule="exact"/>
        <w:rPr>
          <w:sz w:val="20"/>
          <w:szCs w:val="20"/>
          <w:color w:val="auto"/>
        </w:rPr>
      </w:pPr>
    </w:p>
    <w:p>
      <w:pPr>
        <w:jc w:val="both"/>
        <w:ind w:left="180"/>
        <w:spacing w:after="0" w:line="262" w:lineRule="auto"/>
        <w:rPr>
          <w:sz w:val="20"/>
          <w:szCs w:val="20"/>
          <w:color w:val="auto"/>
        </w:rPr>
      </w:pPr>
      <w:r>
        <w:rPr>
          <w:rFonts w:ascii="Arial" w:cs="Arial" w:eastAsia="Arial" w:hAnsi="Arial"/>
          <w:sz w:val="16"/>
          <w:szCs w:val="16"/>
          <w:b w:val="1"/>
          <w:bCs w:val="1"/>
          <w:color w:val="auto"/>
        </w:rPr>
        <w:t>Value of Payments Upon Termination</w:t>
      </w:r>
      <w:r>
        <w:rPr>
          <w:rFonts w:ascii="Arial" w:cs="Arial" w:eastAsia="Arial" w:hAnsi="Arial"/>
          <w:sz w:val="16"/>
          <w:szCs w:val="16"/>
          <w:color w:val="auto"/>
        </w:rPr>
        <w:t>. The following table shows the potential incremental value of payments to each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including in the event of a Change of Control of Martin Marietta, assuming a December 31, 2019 termination date and, where applicable, using the NYSE closing price of our common stock of $279.64 on December 31, 2019 (the last trading day of 2019).</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POTENTIAL INCREMENTAL VALUE OF PAYMENTS UPON TERMINATION</w:t>
      </w:r>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OR CHANGE OF CONTROL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133350</wp:posOffset>
            </wp:positionV>
            <wp:extent cx="6913880" cy="44430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13880" cy="4443095"/>
                    </a:xfrm>
                    <a:prstGeom prst="rect">
                      <a:avLst/>
                    </a:prstGeom>
                    <a:noFill/>
                  </pic:spPr>
                </pic:pic>
              </a:graphicData>
            </a:graphic>
          </wp:anchor>
        </w:drawing>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27"/>
        </w:trPr>
        <w:tc>
          <w:tcPr>
            <w:tcW w:w="1840" w:type="dxa"/>
            <w:vAlign w:val="bottom"/>
            <w:shd w:val="clear" w:color="auto" w:fill="007CBA"/>
          </w:tcPr>
          <w:p>
            <w:pPr>
              <w:spacing w:after="0"/>
              <w:rPr>
                <w:sz w:val="2"/>
                <w:szCs w:val="2"/>
                <w:color w:val="auto"/>
              </w:rPr>
            </w:pPr>
          </w:p>
        </w:tc>
        <w:tc>
          <w:tcPr>
            <w:tcW w:w="3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840" w:type="dxa"/>
            <w:vAlign w:val="bottom"/>
            <w:shd w:val="clear" w:color="auto" w:fill="007CBA"/>
          </w:tcPr>
          <w:p>
            <w:pPr>
              <w:spacing w:after="0"/>
              <w:rPr>
                <w:sz w:val="12"/>
                <w:szCs w:val="12"/>
                <w:color w:val="auto"/>
              </w:rPr>
            </w:pPr>
          </w:p>
        </w:tc>
        <w:tc>
          <w:tcPr>
            <w:tcW w:w="3880" w:type="dxa"/>
            <w:vAlign w:val="bottom"/>
            <w:shd w:val="clear" w:color="auto" w:fill="007CBA"/>
          </w:tcPr>
          <w:p>
            <w:pPr>
              <w:spacing w:after="0"/>
              <w:rPr>
                <w:sz w:val="12"/>
                <w:szCs w:val="12"/>
                <w:color w:val="auto"/>
              </w:rPr>
            </w:pPr>
          </w:p>
        </w:tc>
        <w:tc>
          <w:tcPr>
            <w:tcW w:w="980" w:type="dxa"/>
            <w:vAlign w:val="bottom"/>
            <w:shd w:val="clear" w:color="auto" w:fill="007CBA"/>
          </w:tcPr>
          <w:p>
            <w:pPr>
              <w:spacing w:after="0"/>
              <w:rPr>
                <w:sz w:val="12"/>
                <w:szCs w:val="12"/>
                <w:color w:val="auto"/>
              </w:rPr>
            </w:pPr>
          </w:p>
        </w:tc>
        <w:tc>
          <w:tcPr>
            <w:tcW w:w="1040" w:type="dxa"/>
            <w:vAlign w:val="bottom"/>
            <w:shd w:val="clear" w:color="auto" w:fill="007CBA"/>
          </w:tcPr>
          <w:p>
            <w:pPr>
              <w:jc w:val="center"/>
              <w:spacing w:after="0" w:line="147" w:lineRule="exact"/>
              <w:rPr>
                <w:sz w:val="20"/>
                <w:szCs w:val="20"/>
                <w:color w:val="auto"/>
              </w:rPr>
            </w:pPr>
            <w:r>
              <w:rPr>
                <w:rFonts w:ascii="Arial" w:cs="Arial" w:eastAsia="Arial" w:hAnsi="Arial"/>
                <w:sz w:val="14"/>
                <w:szCs w:val="14"/>
                <w:b w:val="1"/>
                <w:bCs w:val="1"/>
                <w:color w:val="FFFFFF"/>
              </w:rPr>
              <w:t>Involuntary</w:t>
            </w:r>
          </w:p>
        </w:tc>
        <w:tc>
          <w:tcPr>
            <w:tcW w:w="1000" w:type="dxa"/>
            <w:vAlign w:val="bottom"/>
            <w:shd w:val="clear" w:color="auto" w:fill="007CBA"/>
          </w:tcPr>
          <w:p>
            <w:pPr>
              <w:spacing w:after="0"/>
              <w:rPr>
                <w:sz w:val="12"/>
                <w:szCs w:val="12"/>
                <w:color w:val="auto"/>
              </w:rPr>
            </w:pPr>
          </w:p>
        </w:tc>
        <w:tc>
          <w:tcPr>
            <w:tcW w:w="1040" w:type="dxa"/>
            <w:vAlign w:val="bottom"/>
            <w:shd w:val="clear" w:color="auto" w:fill="007CBA"/>
          </w:tcPr>
          <w:p>
            <w:pPr>
              <w:spacing w:after="0"/>
              <w:rPr>
                <w:sz w:val="12"/>
                <w:szCs w:val="12"/>
                <w:color w:val="auto"/>
              </w:rPr>
            </w:pPr>
          </w:p>
        </w:tc>
        <w:tc>
          <w:tcPr>
            <w:tcW w:w="10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40" w:type="dxa"/>
            <w:vAlign w:val="bottom"/>
            <w:shd w:val="clear" w:color="auto" w:fill="007CBA"/>
          </w:tcPr>
          <w:p>
            <w:pPr>
              <w:spacing w:after="0"/>
              <w:rPr>
                <w:sz w:val="13"/>
                <w:szCs w:val="13"/>
                <w:color w:val="auto"/>
              </w:rPr>
            </w:pPr>
          </w:p>
        </w:tc>
        <w:tc>
          <w:tcPr>
            <w:tcW w:w="3880" w:type="dxa"/>
            <w:vAlign w:val="bottom"/>
            <w:shd w:val="clear" w:color="auto" w:fill="007CBA"/>
          </w:tcPr>
          <w:p>
            <w:pPr>
              <w:spacing w:after="0"/>
              <w:rPr>
                <w:sz w:val="13"/>
                <w:szCs w:val="13"/>
                <w:color w:val="auto"/>
              </w:rPr>
            </w:pPr>
          </w:p>
        </w:tc>
        <w:tc>
          <w:tcPr>
            <w:tcW w:w="980" w:type="dxa"/>
            <w:vAlign w:val="bottom"/>
            <w:shd w:val="clear" w:color="auto" w:fill="007CBA"/>
          </w:tcPr>
          <w:p>
            <w:pPr>
              <w:spacing w:after="0"/>
              <w:rPr>
                <w:sz w:val="13"/>
                <w:szCs w:val="13"/>
                <w:color w:val="auto"/>
              </w:rPr>
            </w:pPr>
          </w:p>
        </w:tc>
        <w:tc>
          <w:tcPr>
            <w:tcW w:w="104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Not-for-</w:t>
            </w:r>
          </w:p>
        </w:tc>
        <w:tc>
          <w:tcPr>
            <w:tcW w:w="1000" w:type="dxa"/>
            <w:vAlign w:val="bottom"/>
            <w:shd w:val="clear" w:color="auto" w:fill="007CBA"/>
          </w:tcPr>
          <w:p>
            <w:pPr>
              <w:spacing w:after="0"/>
              <w:rPr>
                <w:sz w:val="13"/>
                <w:szCs w:val="13"/>
                <w:color w:val="auto"/>
              </w:rPr>
            </w:pPr>
          </w:p>
        </w:tc>
        <w:tc>
          <w:tcPr>
            <w:tcW w:w="1040" w:type="dxa"/>
            <w:vAlign w:val="bottom"/>
            <w:shd w:val="clear" w:color="auto" w:fill="007CBA"/>
          </w:tcPr>
          <w:p>
            <w:pPr>
              <w:spacing w:after="0"/>
              <w:rPr>
                <w:sz w:val="13"/>
                <w:szCs w:val="13"/>
                <w:color w:val="auto"/>
              </w:rPr>
            </w:pPr>
          </w:p>
        </w:tc>
        <w:tc>
          <w:tcPr>
            <w:tcW w:w="108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shd w:val="clear" w:color="auto" w:fill="007CBA"/>
          </w:tcPr>
          <w:p>
            <w:pPr>
              <w:spacing w:after="0"/>
              <w:rPr>
                <w:sz w:val="13"/>
                <w:szCs w:val="13"/>
                <w:color w:val="auto"/>
              </w:rPr>
            </w:pPr>
          </w:p>
        </w:tc>
        <w:tc>
          <w:tcPr>
            <w:tcW w:w="3880" w:type="dxa"/>
            <w:vAlign w:val="bottom"/>
            <w:shd w:val="clear" w:color="auto" w:fill="007CBA"/>
          </w:tcPr>
          <w:p>
            <w:pPr>
              <w:spacing w:after="0"/>
              <w:rPr>
                <w:sz w:val="13"/>
                <w:szCs w:val="13"/>
                <w:color w:val="auto"/>
              </w:rPr>
            </w:pPr>
          </w:p>
        </w:tc>
        <w:tc>
          <w:tcPr>
            <w:tcW w:w="980" w:type="dxa"/>
            <w:vAlign w:val="bottom"/>
            <w:shd w:val="clear" w:color="auto" w:fill="007CBA"/>
          </w:tcPr>
          <w:p>
            <w:pPr>
              <w:spacing w:after="0"/>
              <w:rPr>
                <w:sz w:val="13"/>
                <w:szCs w:val="13"/>
                <w:color w:val="auto"/>
              </w:rPr>
            </w:pPr>
          </w:p>
        </w:tc>
        <w:tc>
          <w:tcPr>
            <w:tcW w:w="104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w w:val="99"/>
              </w:rPr>
              <w:t>Cause</w:t>
            </w:r>
          </w:p>
        </w:tc>
        <w:tc>
          <w:tcPr>
            <w:tcW w:w="1000" w:type="dxa"/>
            <w:vAlign w:val="bottom"/>
            <w:shd w:val="clear" w:color="auto" w:fill="007CBA"/>
          </w:tcPr>
          <w:p>
            <w:pPr>
              <w:spacing w:after="0"/>
              <w:rPr>
                <w:sz w:val="13"/>
                <w:szCs w:val="13"/>
                <w:color w:val="auto"/>
              </w:rPr>
            </w:pPr>
          </w:p>
        </w:tc>
        <w:tc>
          <w:tcPr>
            <w:tcW w:w="1040" w:type="dxa"/>
            <w:vAlign w:val="bottom"/>
            <w:shd w:val="clear" w:color="auto" w:fill="007CBA"/>
          </w:tcPr>
          <w:p>
            <w:pPr>
              <w:spacing w:after="0"/>
              <w:rPr>
                <w:sz w:val="13"/>
                <w:szCs w:val="13"/>
                <w:color w:val="auto"/>
              </w:rPr>
            </w:pPr>
          </w:p>
        </w:tc>
        <w:tc>
          <w:tcPr>
            <w:tcW w:w="108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60"/>
        </w:trPr>
        <w:tc>
          <w:tcPr>
            <w:tcW w:w="1840" w:type="dxa"/>
            <w:vAlign w:val="bottom"/>
            <w:shd w:val="clear" w:color="auto" w:fill="007CBA"/>
          </w:tcPr>
          <w:p>
            <w:pPr>
              <w:ind w:left="140"/>
              <w:spacing w:after="0" w:line="160" w:lineRule="exact"/>
              <w:rPr>
                <w:sz w:val="20"/>
                <w:szCs w:val="20"/>
                <w:color w:val="auto"/>
              </w:rPr>
            </w:pPr>
            <w:r>
              <w:rPr>
                <w:rFonts w:ascii="Arial" w:cs="Arial" w:eastAsia="Arial" w:hAnsi="Arial"/>
                <w:sz w:val="14"/>
                <w:szCs w:val="14"/>
                <w:b w:val="1"/>
                <w:bCs w:val="1"/>
                <w:color w:val="FFFFFF"/>
              </w:rPr>
              <w:t>Name</w:t>
            </w:r>
          </w:p>
        </w:tc>
        <w:tc>
          <w:tcPr>
            <w:tcW w:w="3880" w:type="dxa"/>
            <w:vAlign w:val="bottom"/>
            <w:vMerge w:val="restart"/>
            <w:shd w:val="clear" w:color="auto" w:fill="007CBA"/>
          </w:tcPr>
          <w:p>
            <w:pPr>
              <w:ind w:left="1260"/>
              <w:spacing w:after="0"/>
              <w:rPr>
                <w:sz w:val="20"/>
                <w:szCs w:val="20"/>
                <w:color w:val="auto"/>
              </w:rPr>
            </w:pPr>
            <w:r>
              <w:rPr>
                <w:rFonts w:ascii="Arial" w:cs="Arial" w:eastAsia="Arial" w:hAnsi="Arial"/>
                <w:sz w:val="14"/>
                <w:szCs w:val="14"/>
                <w:b w:val="1"/>
                <w:bCs w:val="1"/>
                <w:color w:val="FFFFFF"/>
              </w:rPr>
              <w:t>Benefit or Payment</w:t>
            </w:r>
            <w:r>
              <w:rPr>
                <w:rFonts w:ascii="Arial" w:cs="Arial" w:eastAsia="Arial" w:hAnsi="Arial"/>
                <w:sz w:val="24"/>
                <w:szCs w:val="24"/>
                <w:b w:val="1"/>
                <w:bCs w:val="1"/>
                <w:color w:val="FFFFFF"/>
                <w:vertAlign w:val="superscript"/>
              </w:rPr>
              <w:t>1</w:t>
            </w:r>
          </w:p>
        </w:tc>
        <w:tc>
          <w:tcPr>
            <w:tcW w:w="980" w:type="dxa"/>
            <w:vAlign w:val="bottom"/>
            <w:shd w:val="clear" w:color="auto" w:fill="007CBA"/>
          </w:tcPr>
          <w:p>
            <w:pPr>
              <w:jc w:val="right"/>
              <w:ind w:right="29"/>
              <w:spacing w:after="0" w:line="160" w:lineRule="exact"/>
              <w:rPr>
                <w:sz w:val="20"/>
                <w:szCs w:val="20"/>
                <w:color w:val="auto"/>
              </w:rPr>
            </w:pPr>
            <w:r>
              <w:rPr>
                <w:rFonts w:ascii="Arial" w:cs="Arial" w:eastAsia="Arial" w:hAnsi="Arial"/>
                <w:sz w:val="14"/>
                <w:szCs w:val="14"/>
                <w:b w:val="1"/>
                <w:bCs w:val="1"/>
                <w:color w:val="FFFFFF"/>
              </w:rPr>
              <w:t>Retirement</w:t>
            </w:r>
          </w:p>
        </w:tc>
        <w:tc>
          <w:tcPr>
            <w:tcW w:w="104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Termination</w:t>
            </w:r>
          </w:p>
        </w:tc>
        <w:tc>
          <w:tcPr>
            <w:tcW w:w="1000" w:type="dxa"/>
            <w:vAlign w:val="bottom"/>
            <w:shd w:val="clear" w:color="auto" w:fill="007CBA"/>
          </w:tcPr>
          <w:p>
            <w:pPr>
              <w:jc w:val="right"/>
              <w:ind w:right="169"/>
              <w:spacing w:after="0" w:line="160" w:lineRule="exact"/>
              <w:rPr>
                <w:sz w:val="20"/>
                <w:szCs w:val="20"/>
                <w:color w:val="auto"/>
              </w:rPr>
            </w:pPr>
            <w:r>
              <w:rPr>
                <w:rFonts w:ascii="Arial" w:cs="Arial" w:eastAsia="Arial" w:hAnsi="Arial"/>
                <w:sz w:val="14"/>
                <w:szCs w:val="14"/>
                <w:b w:val="1"/>
                <w:bCs w:val="1"/>
                <w:color w:val="FFFFFF"/>
              </w:rPr>
              <w:t>Disability</w:t>
            </w:r>
          </w:p>
        </w:tc>
        <w:tc>
          <w:tcPr>
            <w:tcW w:w="1040" w:type="dxa"/>
            <w:vAlign w:val="bottom"/>
            <w:shd w:val="clear" w:color="auto" w:fill="007CBA"/>
          </w:tcPr>
          <w:p>
            <w:pPr>
              <w:jc w:val="right"/>
              <w:ind w:right="289"/>
              <w:spacing w:after="0" w:line="160" w:lineRule="exact"/>
              <w:rPr>
                <w:sz w:val="20"/>
                <w:szCs w:val="20"/>
                <w:color w:val="auto"/>
              </w:rPr>
            </w:pPr>
            <w:r>
              <w:rPr>
                <w:rFonts w:ascii="Arial" w:cs="Arial" w:eastAsia="Arial" w:hAnsi="Arial"/>
                <w:sz w:val="14"/>
                <w:szCs w:val="14"/>
                <w:b w:val="1"/>
                <w:bCs w:val="1"/>
                <w:color w:val="FFFFFF"/>
              </w:rPr>
              <w:t>Death</w:t>
            </w:r>
          </w:p>
        </w:tc>
        <w:tc>
          <w:tcPr>
            <w:tcW w:w="1080" w:type="dxa"/>
            <w:vAlign w:val="bottom"/>
            <w:shd w:val="clear" w:color="auto" w:fill="007CBA"/>
          </w:tcPr>
          <w:p>
            <w:pPr>
              <w:jc w:val="center"/>
              <w:spacing w:after="0" w:line="160" w:lineRule="exact"/>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200"/>
        </w:trPr>
        <w:tc>
          <w:tcPr>
            <w:tcW w:w="1840" w:type="dxa"/>
            <w:vAlign w:val="bottom"/>
            <w:shd w:val="clear" w:color="auto" w:fill="007CBA"/>
          </w:tcPr>
          <w:p>
            <w:pPr>
              <w:spacing w:after="0"/>
              <w:rPr>
                <w:sz w:val="17"/>
                <w:szCs w:val="17"/>
                <w:color w:val="auto"/>
              </w:rPr>
            </w:pPr>
          </w:p>
        </w:tc>
        <w:tc>
          <w:tcPr>
            <w:tcW w:w="3880" w:type="dxa"/>
            <w:vAlign w:val="bottom"/>
            <w:vMerge w:val="continue"/>
            <w:shd w:val="clear" w:color="auto" w:fill="007CBA"/>
          </w:tcPr>
          <w:p>
            <w:pPr>
              <w:spacing w:after="0"/>
              <w:rPr>
                <w:sz w:val="17"/>
                <w:szCs w:val="17"/>
                <w:color w:val="auto"/>
              </w:rPr>
            </w:pPr>
          </w:p>
        </w:tc>
        <w:tc>
          <w:tcPr>
            <w:tcW w:w="980" w:type="dxa"/>
            <w:vAlign w:val="bottom"/>
            <w:shd w:val="clear" w:color="auto" w:fill="007CBA"/>
          </w:tcPr>
          <w:p>
            <w:pPr>
              <w:jc w:val="right"/>
              <w:ind w:right="309"/>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7CBA"/>
          </w:tcPr>
          <w:p>
            <w:pPr>
              <w:jc w:val="right"/>
              <w:ind w:right="389"/>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007CBA"/>
          </w:tcPr>
          <w:p>
            <w:pPr>
              <w:jc w:val="right"/>
              <w:ind w:right="389"/>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37"/>
        </w:trPr>
        <w:tc>
          <w:tcPr>
            <w:tcW w:w="1840" w:type="dxa"/>
            <w:vAlign w:val="bottom"/>
            <w:shd w:val="clear" w:color="auto" w:fill="E5F1F8"/>
          </w:tcPr>
          <w:p>
            <w:pPr>
              <w:spacing w:after="0"/>
              <w:rPr>
                <w:sz w:val="20"/>
                <w:szCs w:val="20"/>
                <w:color w:val="auto"/>
              </w:rPr>
            </w:pPr>
          </w:p>
        </w:tc>
        <w:tc>
          <w:tcPr>
            <w:tcW w:w="3880" w:type="dxa"/>
            <w:vAlign w:val="bottom"/>
            <w:shd w:val="clear" w:color="auto" w:fill="E5F1F8"/>
          </w:tcPr>
          <w:p>
            <w:pPr>
              <w:ind w:left="80"/>
              <w:spacing w:after="0" w:line="237"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980" w:type="dxa"/>
            <w:vAlign w:val="bottom"/>
            <w:shd w:val="clear" w:color="auto" w:fill="E5F1F8"/>
          </w:tcPr>
          <w:p>
            <w:pPr>
              <w:spacing w:after="0"/>
              <w:rPr>
                <w:sz w:val="20"/>
                <w:szCs w:val="20"/>
                <w:color w:val="auto"/>
              </w:rPr>
            </w:pPr>
          </w:p>
        </w:tc>
        <w:tc>
          <w:tcPr>
            <w:tcW w:w="1040" w:type="dxa"/>
            <w:vAlign w:val="bottom"/>
            <w:shd w:val="clear" w:color="auto" w:fill="E5F1F8"/>
          </w:tcPr>
          <w:p>
            <w:pPr>
              <w:spacing w:after="0"/>
              <w:rPr>
                <w:sz w:val="20"/>
                <w:szCs w:val="20"/>
                <w:color w:val="auto"/>
              </w:rPr>
            </w:pPr>
          </w:p>
        </w:tc>
        <w:tc>
          <w:tcPr>
            <w:tcW w:w="1000" w:type="dxa"/>
            <w:vAlign w:val="bottom"/>
            <w:shd w:val="clear" w:color="auto" w:fill="E5F1F8"/>
          </w:tcPr>
          <w:p>
            <w:pPr>
              <w:spacing w:after="0"/>
              <w:rPr>
                <w:sz w:val="20"/>
                <w:szCs w:val="20"/>
                <w:color w:val="auto"/>
              </w:rPr>
            </w:pPr>
          </w:p>
        </w:tc>
        <w:tc>
          <w:tcPr>
            <w:tcW w:w="1040" w:type="dxa"/>
            <w:vAlign w:val="bottom"/>
            <w:shd w:val="clear" w:color="auto" w:fill="E5F1F8"/>
          </w:tcPr>
          <w:p>
            <w:pPr>
              <w:spacing w:after="0"/>
              <w:rPr>
                <w:sz w:val="20"/>
                <w:szCs w:val="20"/>
                <w:color w:val="auto"/>
              </w:rPr>
            </w:pP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11,700,000</w:t>
            </w:r>
          </w:p>
        </w:tc>
        <w:tc>
          <w:tcPr>
            <w:tcW w:w="0" w:type="dxa"/>
            <w:vAlign w:val="bottom"/>
          </w:tcPr>
          <w:p>
            <w:pPr>
              <w:spacing w:after="0"/>
              <w:rPr>
                <w:sz w:val="1"/>
                <w:szCs w:val="1"/>
                <w:color w:val="auto"/>
              </w:rPr>
            </w:pPr>
          </w:p>
        </w:tc>
      </w:tr>
      <w:tr>
        <w:trPr>
          <w:trHeight w:val="163"/>
        </w:trPr>
        <w:tc>
          <w:tcPr>
            <w:tcW w:w="1840" w:type="dxa"/>
            <w:vAlign w:val="bottom"/>
            <w:shd w:val="clear" w:color="auto" w:fill="E5F1F8"/>
          </w:tcPr>
          <w:p>
            <w:pPr>
              <w:spacing w:after="0"/>
              <w:rPr>
                <w:sz w:val="14"/>
                <w:szCs w:val="14"/>
                <w:color w:val="auto"/>
              </w:rPr>
            </w:pPr>
          </w:p>
        </w:tc>
        <w:tc>
          <w:tcPr>
            <w:tcW w:w="3880" w:type="dxa"/>
            <w:vAlign w:val="bottom"/>
            <w:shd w:val="clear" w:color="auto" w:fill="E5F1F8"/>
          </w:tcPr>
          <w:p>
            <w:pPr>
              <w:ind w:left="80"/>
              <w:spacing w:after="0" w:line="163"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980" w:type="dxa"/>
            <w:vAlign w:val="bottom"/>
            <w:shd w:val="clear" w:color="auto" w:fill="E5F1F8"/>
          </w:tcPr>
          <w:p>
            <w:pPr>
              <w:jc w:val="right"/>
              <w:ind w:right="49"/>
              <w:spacing w:after="0"/>
              <w:rPr>
                <w:sz w:val="20"/>
                <w:szCs w:val="20"/>
                <w:color w:val="auto"/>
              </w:rPr>
            </w:pPr>
            <w:r>
              <w:rPr>
                <w:rFonts w:ascii="Arial" w:cs="Arial" w:eastAsia="Arial" w:hAnsi="Arial"/>
                <w:sz w:val="14"/>
                <w:szCs w:val="14"/>
                <w:color w:val="auto"/>
              </w:rPr>
              <w:t>5,665,786</w:t>
            </w:r>
          </w:p>
        </w:tc>
        <w:tc>
          <w:tcPr>
            <w:tcW w:w="1040" w:type="dxa"/>
            <w:vAlign w:val="bottom"/>
            <w:shd w:val="clear" w:color="auto" w:fill="E5F1F8"/>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F1F8"/>
          </w:tcPr>
          <w:p>
            <w:pPr>
              <w:jc w:val="right"/>
              <w:ind w:right="149"/>
              <w:spacing w:after="0"/>
              <w:rPr>
                <w:sz w:val="20"/>
                <w:szCs w:val="20"/>
                <w:color w:val="auto"/>
              </w:rPr>
            </w:pPr>
            <w:r>
              <w:rPr>
                <w:rFonts w:ascii="Arial" w:cs="Arial" w:eastAsia="Arial" w:hAnsi="Arial"/>
                <w:sz w:val="14"/>
                <w:szCs w:val="14"/>
                <w:color w:val="auto"/>
              </w:rPr>
              <w:t>5,665,786</w:t>
            </w:r>
          </w:p>
        </w:tc>
        <w:tc>
          <w:tcPr>
            <w:tcW w:w="1040" w:type="dxa"/>
            <w:vAlign w:val="bottom"/>
            <w:shd w:val="clear" w:color="auto" w:fill="E5F1F8"/>
          </w:tcPr>
          <w:p>
            <w:pPr>
              <w:jc w:val="right"/>
              <w:ind w:right="149"/>
              <w:spacing w:after="0"/>
              <w:rPr>
                <w:sz w:val="20"/>
                <w:szCs w:val="20"/>
                <w:color w:val="auto"/>
              </w:rPr>
            </w:pPr>
            <w:r>
              <w:rPr>
                <w:rFonts w:ascii="Arial" w:cs="Arial" w:eastAsia="Arial" w:hAnsi="Arial"/>
                <w:sz w:val="14"/>
                <w:szCs w:val="14"/>
                <w:color w:val="auto"/>
              </w:rPr>
              <w:t>5,665,786</w:t>
            </w: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5,665,786</w:t>
            </w:r>
          </w:p>
        </w:tc>
        <w:tc>
          <w:tcPr>
            <w:tcW w:w="0" w:type="dxa"/>
            <w:vAlign w:val="bottom"/>
          </w:tcPr>
          <w:p>
            <w:pPr>
              <w:spacing w:after="0"/>
              <w:rPr>
                <w:sz w:val="1"/>
                <w:szCs w:val="1"/>
                <w:color w:val="auto"/>
              </w:rPr>
            </w:pPr>
          </w:p>
        </w:tc>
      </w:tr>
      <w:tr>
        <w:trPr>
          <w:trHeight w:val="157"/>
        </w:trPr>
        <w:tc>
          <w:tcPr>
            <w:tcW w:w="1840" w:type="dxa"/>
            <w:vAlign w:val="bottom"/>
            <w:shd w:val="clear" w:color="auto" w:fill="E5F1F8"/>
          </w:tcPr>
          <w:p>
            <w:pPr>
              <w:spacing w:after="0"/>
              <w:rPr>
                <w:sz w:val="13"/>
                <w:szCs w:val="13"/>
                <w:color w:val="auto"/>
              </w:rPr>
            </w:pPr>
          </w:p>
        </w:tc>
        <w:tc>
          <w:tcPr>
            <w:tcW w:w="3880" w:type="dxa"/>
            <w:vAlign w:val="bottom"/>
            <w:shd w:val="clear" w:color="auto" w:fill="E5F1F8"/>
          </w:tcPr>
          <w:p>
            <w:pPr>
              <w:ind w:left="80"/>
              <w:spacing w:after="0" w:line="157" w:lineRule="exact"/>
              <w:rPr>
                <w:sz w:val="20"/>
                <w:szCs w:val="20"/>
                <w:color w:val="auto"/>
              </w:rPr>
            </w:pPr>
            <w:r>
              <w:rPr>
                <w:rFonts w:ascii="Arial" w:cs="Arial" w:eastAsia="Arial" w:hAnsi="Arial"/>
                <w:sz w:val="14"/>
                <w:szCs w:val="14"/>
                <w:color w:val="auto"/>
              </w:rPr>
              <w:t>Unexercisable Options</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8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vMerge w:val="restart"/>
            <w:shd w:val="clear" w:color="auto" w:fill="E5F1F8"/>
          </w:tcPr>
          <w:p>
            <w:pPr>
              <w:ind w:left="140"/>
              <w:spacing w:after="0"/>
              <w:rPr>
                <w:sz w:val="20"/>
                <w:szCs w:val="20"/>
                <w:color w:val="auto"/>
              </w:rPr>
            </w:pPr>
            <w:r>
              <w:rPr>
                <w:rFonts w:ascii="Arial" w:cs="Arial" w:eastAsia="Arial" w:hAnsi="Arial"/>
                <w:sz w:val="14"/>
                <w:szCs w:val="14"/>
                <w:b w:val="1"/>
                <w:bCs w:val="1"/>
                <w:color w:val="auto"/>
              </w:rPr>
              <w:t>C. Howard Nye</w:t>
            </w: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4</w:t>
            </w:r>
          </w:p>
        </w:tc>
        <w:tc>
          <w:tcPr>
            <w:tcW w:w="980" w:type="dxa"/>
            <w:vAlign w:val="bottom"/>
            <w:shd w:val="clear" w:color="auto" w:fill="E5F1F8"/>
          </w:tcPr>
          <w:p>
            <w:pPr>
              <w:jc w:val="right"/>
              <w:ind w:right="49"/>
              <w:spacing w:after="0" w:line="160" w:lineRule="exact"/>
              <w:rPr>
                <w:sz w:val="20"/>
                <w:szCs w:val="20"/>
                <w:color w:val="auto"/>
              </w:rPr>
            </w:pPr>
            <w:r>
              <w:rPr>
                <w:rFonts w:ascii="Arial" w:cs="Arial" w:eastAsia="Arial" w:hAnsi="Arial"/>
                <w:sz w:val="14"/>
                <w:szCs w:val="14"/>
                <w:color w:val="auto"/>
              </w:rPr>
              <w:t>1,182,021</w:t>
            </w:r>
          </w:p>
        </w:tc>
        <w:tc>
          <w:tcPr>
            <w:tcW w:w="1040" w:type="dxa"/>
            <w:vAlign w:val="bottom"/>
            <w:shd w:val="clear" w:color="auto" w:fill="E5F1F8"/>
          </w:tcPr>
          <w:p>
            <w:pPr>
              <w:jc w:val="right"/>
              <w:ind w:right="189"/>
              <w:spacing w:after="0" w:line="160" w:lineRule="exact"/>
              <w:rPr>
                <w:sz w:val="20"/>
                <w:szCs w:val="20"/>
                <w:color w:val="auto"/>
              </w:rPr>
            </w:pPr>
            <w:r>
              <w:rPr>
                <w:rFonts w:ascii="Arial" w:cs="Arial" w:eastAsia="Arial" w:hAnsi="Arial"/>
                <w:sz w:val="14"/>
                <w:szCs w:val="14"/>
                <w:color w:val="auto"/>
              </w:rPr>
              <w:t>576,330</w:t>
            </w: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1,182,021</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1,182,021</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1,182,021</w:t>
            </w:r>
          </w:p>
        </w:tc>
        <w:tc>
          <w:tcPr>
            <w:tcW w:w="0" w:type="dxa"/>
            <w:vAlign w:val="bottom"/>
          </w:tcPr>
          <w:p>
            <w:pPr>
              <w:spacing w:after="0"/>
              <w:rPr>
                <w:sz w:val="1"/>
                <w:szCs w:val="1"/>
                <w:color w:val="auto"/>
              </w:rPr>
            </w:pPr>
          </w:p>
        </w:tc>
      </w:tr>
      <w:tr>
        <w:trPr>
          <w:trHeight w:val="160"/>
        </w:trPr>
        <w:tc>
          <w:tcPr>
            <w:tcW w:w="1840" w:type="dxa"/>
            <w:vAlign w:val="bottom"/>
            <w:vMerge w:val="continue"/>
            <w:shd w:val="clear" w:color="auto" w:fill="E5F1F8"/>
          </w:tcPr>
          <w:p>
            <w:pPr>
              <w:spacing w:after="0"/>
              <w:rPr>
                <w:sz w:val="13"/>
                <w:szCs w:val="13"/>
                <w:color w:val="auto"/>
              </w:rPr>
            </w:pP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5</w:t>
            </w:r>
          </w:p>
        </w:tc>
        <w:tc>
          <w:tcPr>
            <w:tcW w:w="980" w:type="dxa"/>
            <w:vAlign w:val="bottom"/>
            <w:shd w:val="clear" w:color="auto" w:fill="E5F1F8"/>
          </w:tcPr>
          <w:p>
            <w:pPr>
              <w:jc w:val="right"/>
              <w:ind w:right="49"/>
              <w:spacing w:after="0" w:line="160" w:lineRule="exact"/>
              <w:rPr>
                <w:sz w:val="20"/>
                <w:szCs w:val="20"/>
                <w:color w:val="auto"/>
              </w:rPr>
            </w:pPr>
            <w:r>
              <w:rPr>
                <w:rFonts w:ascii="Arial" w:cs="Arial" w:eastAsia="Arial" w:hAnsi="Arial"/>
                <w:sz w:val="14"/>
                <w:szCs w:val="14"/>
                <w:color w:val="auto"/>
              </w:rPr>
              <w:t>6,463,879</w:t>
            </w: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6,463,879</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6,463,879</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6,463,879</w:t>
            </w:r>
          </w:p>
        </w:tc>
        <w:tc>
          <w:tcPr>
            <w:tcW w:w="0" w:type="dxa"/>
            <w:vAlign w:val="bottom"/>
          </w:tcPr>
          <w:p>
            <w:pPr>
              <w:spacing w:after="0"/>
              <w:rPr>
                <w:sz w:val="1"/>
                <w:szCs w:val="1"/>
                <w:color w:val="auto"/>
              </w:rPr>
            </w:pPr>
          </w:p>
        </w:tc>
      </w:tr>
      <w:tr>
        <w:trPr>
          <w:trHeight w:val="160"/>
        </w:trPr>
        <w:tc>
          <w:tcPr>
            <w:tcW w:w="1840" w:type="dxa"/>
            <w:vAlign w:val="bottom"/>
            <w:shd w:val="clear" w:color="auto" w:fill="E5F1F8"/>
          </w:tcPr>
          <w:p>
            <w:pPr>
              <w:spacing w:after="0"/>
              <w:rPr>
                <w:sz w:val="13"/>
                <w:szCs w:val="13"/>
                <w:color w:val="auto"/>
              </w:rPr>
            </w:pP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6</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1,573,228</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11,927,671</w:t>
            </w:r>
          </w:p>
        </w:tc>
        <w:tc>
          <w:tcPr>
            <w:tcW w:w="0" w:type="dxa"/>
            <w:vAlign w:val="bottom"/>
          </w:tcPr>
          <w:p>
            <w:pPr>
              <w:spacing w:after="0"/>
              <w:rPr>
                <w:sz w:val="1"/>
                <w:szCs w:val="1"/>
                <w:color w:val="auto"/>
              </w:rPr>
            </w:pPr>
          </w:p>
        </w:tc>
      </w:tr>
      <w:tr>
        <w:trPr>
          <w:trHeight w:val="189"/>
        </w:trPr>
        <w:tc>
          <w:tcPr>
            <w:tcW w:w="1840" w:type="dxa"/>
            <w:vAlign w:val="bottom"/>
            <w:shd w:val="clear" w:color="auto" w:fill="E5F1F8"/>
          </w:tcPr>
          <w:p>
            <w:pPr>
              <w:spacing w:after="0"/>
              <w:rPr>
                <w:sz w:val="16"/>
                <w:szCs w:val="16"/>
                <w:color w:val="auto"/>
              </w:rPr>
            </w:pPr>
          </w:p>
        </w:tc>
        <w:tc>
          <w:tcPr>
            <w:tcW w:w="3880" w:type="dxa"/>
            <w:vAlign w:val="bottom"/>
            <w:shd w:val="clear" w:color="auto" w:fill="E5F1F8"/>
          </w:tcPr>
          <w:p>
            <w:pPr>
              <w:ind w:left="80"/>
              <w:spacing w:after="0" w:line="190"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1"/>
                <w:szCs w:val="21"/>
                <w:color w:val="auto"/>
                <w:vertAlign w:val="superscript"/>
              </w:rPr>
              <w:t>7</w:t>
            </w:r>
          </w:p>
        </w:tc>
        <w:tc>
          <w:tcPr>
            <w:tcW w:w="98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78,027</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3880" w:type="dxa"/>
            <w:vAlign w:val="bottom"/>
          </w:tcPr>
          <w:p>
            <w:pPr>
              <w:ind w:left="80"/>
              <w:spacing w:after="0" w:line="237"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3,268,764</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3880" w:type="dxa"/>
            <w:vAlign w:val="bottom"/>
          </w:tcPr>
          <w:p>
            <w:pPr>
              <w:ind w:left="80"/>
              <w:spacing w:after="0" w:line="167" w:lineRule="exact"/>
              <w:rPr>
                <w:sz w:val="20"/>
                <w:szCs w:val="20"/>
                <w:color w:val="auto"/>
              </w:rPr>
            </w:pPr>
            <w:r>
              <w:rPr>
                <w:rFonts w:ascii="Arial" w:cs="Arial" w:eastAsia="Arial" w:hAnsi="Arial"/>
                <w:sz w:val="12"/>
                <w:szCs w:val="12"/>
                <w:color w:val="auto"/>
              </w:rPr>
              <w:t>Unvested RSUs</w:t>
            </w:r>
            <w:r>
              <w:rPr>
                <w:rFonts w:ascii="Arial" w:cs="Arial" w:eastAsia="Arial" w:hAnsi="Arial"/>
                <w:sz w:val="19"/>
                <w:szCs w:val="19"/>
                <w:color w:val="auto"/>
                <w:vertAlign w:val="superscript"/>
              </w:rPr>
              <w:t>3</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2,077,166</w:t>
            </w:r>
          </w:p>
        </w:tc>
        <w:tc>
          <w:tcPr>
            <w:tcW w:w="10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2,077,166</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2,077,166</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2,077,166</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3880" w:type="dxa"/>
            <w:vAlign w:val="bottom"/>
          </w:tcPr>
          <w:p>
            <w:pPr>
              <w:ind w:left="80"/>
              <w:spacing w:after="0" w:line="153" w:lineRule="exact"/>
              <w:rPr>
                <w:sz w:val="20"/>
                <w:szCs w:val="20"/>
                <w:color w:val="auto"/>
              </w:rPr>
            </w:pPr>
            <w:r>
              <w:rPr>
                <w:rFonts w:ascii="Arial" w:cs="Arial" w:eastAsia="Arial" w:hAnsi="Arial"/>
                <w:sz w:val="14"/>
                <w:szCs w:val="14"/>
                <w:color w:val="auto"/>
              </w:rPr>
              <w:t>Unexercisable Options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James A. J. Nickolas</w:t>
            </w:r>
          </w:p>
        </w:tc>
        <w:tc>
          <w:tcPr>
            <w:tcW w:w="3880" w:type="dxa"/>
            <w:vAlign w:val="bottom"/>
          </w:tcPr>
          <w:p>
            <w:pPr>
              <w:ind w:left="80"/>
              <w:spacing w:after="0" w:line="160"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4</w:t>
            </w:r>
          </w:p>
        </w:tc>
        <w:tc>
          <w:tcPr>
            <w:tcW w:w="980" w:type="dxa"/>
            <w:vAlign w:val="bottom"/>
          </w:tcPr>
          <w:p>
            <w:pPr>
              <w:jc w:val="right"/>
              <w:ind w:right="49"/>
              <w:spacing w:after="0" w:line="160" w:lineRule="exact"/>
              <w:rPr>
                <w:sz w:val="20"/>
                <w:szCs w:val="20"/>
                <w:color w:val="auto"/>
              </w:rPr>
            </w:pPr>
            <w:r>
              <w:rPr>
                <w:rFonts w:ascii="Arial" w:cs="Arial" w:eastAsia="Arial" w:hAnsi="Arial"/>
                <w:sz w:val="14"/>
                <w:szCs w:val="14"/>
                <w:color w:val="auto"/>
              </w:rPr>
              <w:t>92,617</w:t>
            </w:r>
          </w:p>
        </w:tc>
        <w:tc>
          <w:tcPr>
            <w:tcW w:w="1040" w:type="dxa"/>
            <w:vAlign w:val="bottom"/>
          </w:tcPr>
          <w:p>
            <w:pPr>
              <w:jc w:val="right"/>
              <w:ind w:right="169"/>
              <w:spacing w:after="0" w:line="160" w:lineRule="exact"/>
              <w:rPr>
                <w:sz w:val="20"/>
                <w:szCs w:val="20"/>
                <w:color w:val="auto"/>
              </w:rPr>
            </w:pPr>
            <w:r>
              <w:rPr>
                <w:rFonts w:ascii="Arial" w:cs="Arial" w:eastAsia="Arial" w:hAnsi="Arial"/>
                <w:sz w:val="14"/>
                <w:szCs w:val="14"/>
                <w:color w:val="auto"/>
              </w:rPr>
              <w:t>27,240</w:t>
            </w:r>
          </w:p>
        </w:tc>
        <w:tc>
          <w:tcPr>
            <w:tcW w:w="100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92,617</w:t>
            </w:r>
          </w:p>
        </w:tc>
        <w:tc>
          <w:tcPr>
            <w:tcW w:w="1040" w:type="dxa"/>
            <w:vAlign w:val="bottom"/>
          </w:tcPr>
          <w:p>
            <w:pPr>
              <w:spacing w:after="0"/>
              <w:rPr>
                <w:sz w:val="13"/>
                <w:szCs w:val="13"/>
                <w:color w:val="auto"/>
              </w:rPr>
            </w:pPr>
          </w:p>
        </w:tc>
        <w:tc>
          <w:tcPr>
            <w:tcW w:w="108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3880" w:type="dxa"/>
            <w:vAlign w:val="bottom"/>
          </w:tcPr>
          <w:p>
            <w:pPr>
              <w:ind w:left="80"/>
              <w:spacing w:after="0" w:line="160"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5</w:t>
            </w:r>
          </w:p>
        </w:tc>
        <w:tc>
          <w:tcPr>
            <w:tcW w:w="980" w:type="dxa"/>
            <w:vAlign w:val="bottom"/>
          </w:tcPr>
          <w:p>
            <w:pPr>
              <w:jc w:val="right"/>
              <w:ind w:right="49"/>
              <w:spacing w:after="0" w:line="160" w:lineRule="exact"/>
              <w:rPr>
                <w:sz w:val="20"/>
                <w:szCs w:val="20"/>
                <w:color w:val="auto"/>
              </w:rPr>
            </w:pPr>
            <w:r>
              <w:rPr>
                <w:rFonts w:ascii="Arial" w:cs="Arial" w:eastAsia="Arial" w:hAnsi="Arial"/>
                <w:sz w:val="14"/>
                <w:szCs w:val="14"/>
                <w:color w:val="auto"/>
              </w:rPr>
              <w:t>1,282,988</w:t>
            </w:r>
          </w:p>
        </w:tc>
        <w:tc>
          <w:tcPr>
            <w:tcW w:w="1040" w:type="dxa"/>
            <w:vAlign w:val="bottom"/>
          </w:tcPr>
          <w:p>
            <w:pPr>
              <w:spacing w:after="0"/>
              <w:rPr>
                <w:sz w:val="13"/>
                <w:szCs w:val="13"/>
                <w:color w:val="auto"/>
              </w:rPr>
            </w:pPr>
          </w:p>
        </w:tc>
        <w:tc>
          <w:tcPr>
            <w:tcW w:w="100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1,282,988</w:t>
            </w:r>
          </w:p>
        </w:tc>
        <w:tc>
          <w:tcPr>
            <w:tcW w:w="10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1,282,988</w:t>
            </w:r>
          </w:p>
        </w:tc>
        <w:tc>
          <w:tcPr>
            <w:tcW w:w="108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1,282,988</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3880" w:type="dxa"/>
            <w:vAlign w:val="bottom"/>
          </w:tcPr>
          <w:p>
            <w:pPr>
              <w:ind w:left="80"/>
              <w:spacing w:after="0" w:line="160"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6</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1,666,690</w:t>
            </w:r>
          </w:p>
        </w:tc>
        <w:tc>
          <w:tcPr>
            <w:tcW w:w="10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1,945,812</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3880" w:type="dxa"/>
            <w:vAlign w:val="bottom"/>
          </w:tcPr>
          <w:p>
            <w:pPr>
              <w:ind w:left="80"/>
              <w:spacing w:after="0" w:line="190"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1"/>
                <w:szCs w:val="21"/>
                <w:color w:val="auto"/>
                <w:vertAlign w:val="superscript"/>
              </w:rPr>
              <w:t>7</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75,977</w:t>
            </w:r>
          </w:p>
        </w:tc>
        <w:tc>
          <w:tcPr>
            <w:tcW w:w="0" w:type="dxa"/>
            <w:vAlign w:val="bottom"/>
          </w:tcPr>
          <w:p>
            <w:pPr>
              <w:spacing w:after="0"/>
              <w:rPr>
                <w:sz w:val="1"/>
                <w:szCs w:val="1"/>
                <w:color w:val="auto"/>
              </w:rPr>
            </w:pPr>
          </w:p>
        </w:tc>
      </w:tr>
      <w:tr>
        <w:trPr>
          <w:trHeight w:val="237"/>
        </w:trPr>
        <w:tc>
          <w:tcPr>
            <w:tcW w:w="1840" w:type="dxa"/>
            <w:vAlign w:val="bottom"/>
            <w:shd w:val="clear" w:color="auto" w:fill="E5F1F8"/>
          </w:tcPr>
          <w:p>
            <w:pPr>
              <w:spacing w:after="0"/>
              <w:rPr>
                <w:sz w:val="20"/>
                <w:szCs w:val="20"/>
                <w:color w:val="auto"/>
              </w:rPr>
            </w:pPr>
          </w:p>
        </w:tc>
        <w:tc>
          <w:tcPr>
            <w:tcW w:w="3880" w:type="dxa"/>
            <w:vAlign w:val="bottom"/>
            <w:shd w:val="clear" w:color="auto" w:fill="E5F1F8"/>
          </w:tcPr>
          <w:p>
            <w:pPr>
              <w:ind w:left="80"/>
              <w:spacing w:after="0" w:line="237"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980" w:type="dxa"/>
            <w:vAlign w:val="bottom"/>
            <w:shd w:val="clear" w:color="auto" w:fill="E5F1F8"/>
          </w:tcPr>
          <w:p>
            <w:pPr>
              <w:spacing w:after="0"/>
              <w:rPr>
                <w:sz w:val="20"/>
                <w:szCs w:val="20"/>
                <w:color w:val="auto"/>
              </w:rPr>
            </w:pPr>
          </w:p>
        </w:tc>
        <w:tc>
          <w:tcPr>
            <w:tcW w:w="1040" w:type="dxa"/>
            <w:vAlign w:val="bottom"/>
            <w:shd w:val="clear" w:color="auto" w:fill="E5F1F8"/>
          </w:tcPr>
          <w:p>
            <w:pPr>
              <w:spacing w:after="0"/>
              <w:rPr>
                <w:sz w:val="20"/>
                <w:szCs w:val="20"/>
                <w:color w:val="auto"/>
              </w:rPr>
            </w:pPr>
          </w:p>
        </w:tc>
        <w:tc>
          <w:tcPr>
            <w:tcW w:w="1000" w:type="dxa"/>
            <w:vAlign w:val="bottom"/>
            <w:shd w:val="clear" w:color="auto" w:fill="E5F1F8"/>
          </w:tcPr>
          <w:p>
            <w:pPr>
              <w:spacing w:after="0"/>
              <w:rPr>
                <w:sz w:val="20"/>
                <w:szCs w:val="20"/>
                <w:color w:val="auto"/>
              </w:rPr>
            </w:pPr>
          </w:p>
        </w:tc>
        <w:tc>
          <w:tcPr>
            <w:tcW w:w="1040" w:type="dxa"/>
            <w:vAlign w:val="bottom"/>
            <w:shd w:val="clear" w:color="auto" w:fill="E5F1F8"/>
          </w:tcPr>
          <w:p>
            <w:pPr>
              <w:spacing w:after="0"/>
              <w:rPr>
                <w:sz w:val="20"/>
                <w:szCs w:val="20"/>
                <w:color w:val="auto"/>
              </w:rPr>
            </w:pP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3,839,622</w:t>
            </w:r>
          </w:p>
        </w:tc>
        <w:tc>
          <w:tcPr>
            <w:tcW w:w="0" w:type="dxa"/>
            <w:vAlign w:val="bottom"/>
          </w:tcPr>
          <w:p>
            <w:pPr>
              <w:spacing w:after="0"/>
              <w:rPr>
                <w:sz w:val="1"/>
                <w:szCs w:val="1"/>
                <w:color w:val="auto"/>
              </w:rPr>
            </w:pPr>
          </w:p>
        </w:tc>
      </w:tr>
      <w:tr>
        <w:trPr>
          <w:trHeight w:val="163"/>
        </w:trPr>
        <w:tc>
          <w:tcPr>
            <w:tcW w:w="1840" w:type="dxa"/>
            <w:vAlign w:val="bottom"/>
            <w:shd w:val="clear" w:color="auto" w:fill="E5F1F8"/>
          </w:tcPr>
          <w:p>
            <w:pPr>
              <w:spacing w:after="0"/>
              <w:rPr>
                <w:sz w:val="14"/>
                <w:szCs w:val="14"/>
                <w:color w:val="auto"/>
              </w:rPr>
            </w:pPr>
          </w:p>
        </w:tc>
        <w:tc>
          <w:tcPr>
            <w:tcW w:w="3880" w:type="dxa"/>
            <w:vAlign w:val="bottom"/>
            <w:shd w:val="clear" w:color="auto" w:fill="E5F1F8"/>
          </w:tcPr>
          <w:p>
            <w:pPr>
              <w:ind w:left="80"/>
              <w:spacing w:after="0" w:line="163"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980" w:type="dxa"/>
            <w:vAlign w:val="bottom"/>
            <w:shd w:val="clear" w:color="auto" w:fill="E5F1F8"/>
          </w:tcPr>
          <w:p>
            <w:pPr>
              <w:jc w:val="right"/>
              <w:ind w:right="49"/>
              <w:spacing w:after="0"/>
              <w:rPr>
                <w:sz w:val="20"/>
                <w:szCs w:val="20"/>
                <w:color w:val="auto"/>
              </w:rPr>
            </w:pPr>
            <w:r>
              <w:rPr>
                <w:rFonts w:ascii="Arial" w:cs="Arial" w:eastAsia="Arial" w:hAnsi="Arial"/>
                <w:sz w:val="14"/>
                <w:szCs w:val="14"/>
                <w:color w:val="auto"/>
              </w:rPr>
              <w:t>1,290,818</w:t>
            </w:r>
          </w:p>
        </w:tc>
        <w:tc>
          <w:tcPr>
            <w:tcW w:w="1040" w:type="dxa"/>
            <w:vAlign w:val="bottom"/>
            <w:shd w:val="clear" w:color="auto" w:fill="E5F1F8"/>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F1F8"/>
          </w:tcPr>
          <w:p>
            <w:pPr>
              <w:jc w:val="right"/>
              <w:ind w:right="149"/>
              <w:spacing w:after="0"/>
              <w:rPr>
                <w:sz w:val="20"/>
                <w:szCs w:val="20"/>
                <w:color w:val="auto"/>
              </w:rPr>
            </w:pPr>
            <w:r>
              <w:rPr>
                <w:rFonts w:ascii="Arial" w:cs="Arial" w:eastAsia="Arial" w:hAnsi="Arial"/>
                <w:sz w:val="14"/>
                <w:szCs w:val="14"/>
                <w:color w:val="auto"/>
              </w:rPr>
              <w:t>1,290,818</w:t>
            </w:r>
          </w:p>
        </w:tc>
        <w:tc>
          <w:tcPr>
            <w:tcW w:w="1040" w:type="dxa"/>
            <w:vAlign w:val="bottom"/>
            <w:shd w:val="clear" w:color="auto" w:fill="E5F1F8"/>
          </w:tcPr>
          <w:p>
            <w:pPr>
              <w:jc w:val="right"/>
              <w:ind w:right="149"/>
              <w:spacing w:after="0"/>
              <w:rPr>
                <w:sz w:val="20"/>
                <w:szCs w:val="20"/>
                <w:color w:val="auto"/>
              </w:rPr>
            </w:pPr>
            <w:r>
              <w:rPr>
                <w:rFonts w:ascii="Arial" w:cs="Arial" w:eastAsia="Arial" w:hAnsi="Arial"/>
                <w:sz w:val="14"/>
                <w:szCs w:val="14"/>
                <w:color w:val="auto"/>
              </w:rPr>
              <w:t>1,290,818</w:t>
            </w: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1,290,818</w:t>
            </w:r>
          </w:p>
        </w:tc>
        <w:tc>
          <w:tcPr>
            <w:tcW w:w="0" w:type="dxa"/>
            <w:vAlign w:val="bottom"/>
          </w:tcPr>
          <w:p>
            <w:pPr>
              <w:spacing w:after="0"/>
              <w:rPr>
                <w:sz w:val="1"/>
                <w:szCs w:val="1"/>
                <w:color w:val="auto"/>
              </w:rPr>
            </w:pPr>
          </w:p>
        </w:tc>
      </w:tr>
      <w:tr>
        <w:trPr>
          <w:trHeight w:val="157"/>
        </w:trPr>
        <w:tc>
          <w:tcPr>
            <w:tcW w:w="1840" w:type="dxa"/>
            <w:vAlign w:val="bottom"/>
            <w:shd w:val="clear" w:color="auto" w:fill="E5F1F8"/>
          </w:tcPr>
          <w:p>
            <w:pPr>
              <w:spacing w:after="0"/>
              <w:rPr>
                <w:sz w:val="13"/>
                <w:szCs w:val="13"/>
                <w:color w:val="auto"/>
              </w:rPr>
            </w:pPr>
          </w:p>
        </w:tc>
        <w:tc>
          <w:tcPr>
            <w:tcW w:w="3880" w:type="dxa"/>
            <w:vAlign w:val="bottom"/>
            <w:shd w:val="clear" w:color="auto" w:fill="E5F1F8"/>
          </w:tcPr>
          <w:p>
            <w:pPr>
              <w:ind w:left="80"/>
              <w:spacing w:after="0" w:line="157" w:lineRule="exact"/>
              <w:rPr>
                <w:sz w:val="20"/>
                <w:szCs w:val="20"/>
                <w:color w:val="auto"/>
              </w:rPr>
            </w:pPr>
            <w:r>
              <w:rPr>
                <w:rFonts w:ascii="Arial" w:cs="Arial" w:eastAsia="Arial" w:hAnsi="Arial"/>
                <w:sz w:val="14"/>
                <w:szCs w:val="14"/>
                <w:color w:val="auto"/>
              </w:rPr>
              <w:t>Unexercisable Options</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80" w:type="dxa"/>
            <w:vAlign w:val="bottom"/>
            <w:shd w:val="clear" w:color="auto" w:fill="E5F1F8"/>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40" w:type="dxa"/>
            <w:vAlign w:val="bottom"/>
            <w:vMerge w:val="restart"/>
            <w:shd w:val="clear" w:color="auto" w:fill="E5F1F8"/>
          </w:tcPr>
          <w:p>
            <w:pPr>
              <w:ind w:left="140"/>
              <w:spacing w:after="0"/>
              <w:rPr>
                <w:sz w:val="20"/>
                <w:szCs w:val="20"/>
                <w:color w:val="auto"/>
              </w:rPr>
            </w:pPr>
            <w:r>
              <w:rPr>
                <w:rFonts w:ascii="Arial" w:cs="Arial" w:eastAsia="Arial" w:hAnsi="Arial"/>
                <w:sz w:val="14"/>
                <w:szCs w:val="14"/>
                <w:b w:val="1"/>
                <w:bCs w:val="1"/>
                <w:color w:val="auto"/>
              </w:rPr>
              <w:t>Roselyn R. Bar</w:t>
            </w: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4</w:t>
            </w:r>
          </w:p>
        </w:tc>
        <w:tc>
          <w:tcPr>
            <w:tcW w:w="980" w:type="dxa"/>
            <w:vAlign w:val="bottom"/>
            <w:shd w:val="clear" w:color="auto" w:fill="E5F1F8"/>
          </w:tcPr>
          <w:p>
            <w:pPr>
              <w:jc w:val="right"/>
              <w:ind w:right="49"/>
              <w:spacing w:after="0" w:line="160" w:lineRule="exact"/>
              <w:rPr>
                <w:sz w:val="20"/>
                <w:szCs w:val="20"/>
                <w:color w:val="auto"/>
              </w:rPr>
            </w:pPr>
            <w:r>
              <w:rPr>
                <w:rFonts w:ascii="Arial" w:cs="Arial" w:eastAsia="Arial" w:hAnsi="Arial"/>
                <w:sz w:val="14"/>
                <w:szCs w:val="14"/>
                <w:color w:val="auto"/>
              </w:rPr>
              <w:t>277,274</w:t>
            </w:r>
          </w:p>
        </w:tc>
        <w:tc>
          <w:tcPr>
            <w:tcW w:w="1040" w:type="dxa"/>
            <w:vAlign w:val="bottom"/>
            <w:shd w:val="clear" w:color="auto" w:fill="E5F1F8"/>
          </w:tcPr>
          <w:p>
            <w:pPr>
              <w:jc w:val="right"/>
              <w:ind w:right="189"/>
              <w:spacing w:after="0" w:line="160" w:lineRule="exact"/>
              <w:rPr>
                <w:sz w:val="20"/>
                <w:szCs w:val="20"/>
                <w:color w:val="auto"/>
              </w:rPr>
            </w:pPr>
            <w:r>
              <w:rPr>
                <w:rFonts w:ascii="Arial" w:cs="Arial" w:eastAsia="Arial" w:hAnsi="Arial"/>
                <w:sz w:val="14"/>
                <w:szCs w:val="14"/>
                <w:color w:val="auto"/>
              </w:rPr>
              <w:t>117,881</w:t>
            </w: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277,274</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277,274</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277,274</w:t>
            </w:r>
          </w:p>
        </w:tc>
        <w:tc>
          <w:tcPr>
            <w:tcW w:w="0" w:type="dxa"/>
            <w:vAlign w:val="bottom"/>
          </w:tcPr>
          <w:p>
            <w:pPr>
              <w:spacing w:after="0"/>
              <w:rPr>
                <w:sz w:val="1"/>
                <w:szCs w:val="1"/>
                <w:color w:val="auto"/>
              </w:rPr>
            </w:pPr>
          </w:p>
        </w:tc>
      </w:tr>
      <w:tr>
        <w:trPr>
          <w:trHeight w:val="160"/>
        </w:trPr>
        <w:tc>
          <w:tcPr>
            <w:tcW w:w="1840" w:type="dxa"/>
            <w:vAlign w:val="bottom"/>
            <w:vMerge w:val="continue"/>
            <w:shd w:val="clear" w:color="auto" w:fill="E5F1F8"/>
          </w:tcPr>
          <w:p>
            <w:pPr>
              <w:spacing w:after="0"/>
              <w:rPr>
                <w:sz w:val="13"/>
                <w:szCs w:val="13"/>
                <w:color w:val="auto"/>
              </w:rPr>
            </w:pP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5</w:t>
            </w:r>
          </w:p>
        </w:tc>
        <w:tc>
          <w:tcPr>
            <w:tcW w:w="980" w:type="dxa"/>
            <w:vAlign w:val="bottom"/>
            <w:shd w:val="clear" w:color="auto" w:fill="E5F1F8"/>
          </w:tcPr>
          <w:p>
            <w:pPr>
              <w:jc w:val="right"/>
              <w:ind w:right="49"/>
              <w:spacing w:after="0" w:line="160" w:lineRule="exact"/>
              <w:rPr>
                <w:sz w:val="20"/>
                <w:szCs w:val="20"/>
                <w:color w:val="auto"/>
              </w:rPr>
            </w:pPr>
            <w:r>
              <w:rPr>
                <w:rFonts w:ascii="Arial" w:cs="Arial" w:eastAsia="Arial" w:hAnsi="Arial"/>
                <w:sz w:val="14"/>
                <w:szCs w:val="14"/>
                <w:color w:val="auto"/>
              </w:rPr>
              <w:t>1,397,361</w:t>
            </w: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1,397,361</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1,397,361</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1,397,361</w:t>
            </w:r>
          </w:p>
        </w:tc>
        <w:tc>
          <w:tcPr>
            <w:tcW w:w="0" w:type="dxa"/>
            <w:vAlign w:val="bottom"/>
          </w:tcPr>
          <w:p>
            <w:pPr>
              <w:spacing w:after="0"/>
              <w:rPr>
                <w:sz w:val="1"/>
                <w:szCs w:val="1"/>
                <w:color w:val="auto"/>
              </w:rPr>
            </w:pPr>
          </w:p>
        </w:tc>
      </w:tr>
      <w:tr>
        <w:trPr>
          <w:trHeight w:val="160"/>
        </w:trPr>
        <w:tc>
          <w:tcPr>
            <w:tcW w:w="1840" w:type="dxa"/>
            <w:vAlign w:val="bottom"/>
            <w:shd w:val="clear" w:color="auto" w:fill="E5F1F8"/>
          </w:tcPr>
          <w:p>
            <w:pPr>
              <w:spacing w:after="0"/>
              <w:rPr>
                <w:sz w:val="13"/>
                <w:szCs w:val="13"/>
                <w:color w:val="auto"/>
              </w:rPr>
            </w:pP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6</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4,697,590</w:t>
            </w:r>
          </w:p>
        </w:tc>
        <w:tc>
          <w:tcPr>
            <w:tcW w:w="0" w:type="dxa"/>
            <w:vAlign w:val="bottom"/>
          </w:tcPr>
          <w:p>
            <w:pPr>
              <w:spacing w:after="0"/>
              <w:rPr>
                <w:sz w:val="1"/>
                <w:szCs w:val="1"/>
                <w:color w:val="auto"/>
              </w:rPr>
            </w:pPr>
          </w:p>
        </w:tc>
      </w:tr>
      <w:tr>
        <w:trPr>
          <w:trHeight w:val="189"/>
        </w:trPr>
        <w:tc>
          <w:tcPr>
            <w:tcW w:w="1840" w:type="dxa"/>
            <w:vAlign w:val="bottom"/>
            <w:shd w:val="clear" w:color="auto" w:fill="E5F1F8"/>
          </w:tcPr>
          <w:p>
            <w:pPr>
              <w:spacing w:after="0"/>
              <w:rPr>
                <w:sz w:val="16"/>
                <w:szCs w:val="16"/>
                <w:color w:val="auto"/>
              </w:rPr>
            </w:pPr>
          </w:p>
        </w:tc>
        <w:tc>
          <w:tcPr>
            <w:tcW w:w="3880" w:type="dxa"/>
            <w:vAlign w:val="bottom"/>
            <w:shd w:val="clear" w:color="auto" w:fill="E5F1F8"/>
          </w:tcPr>
          <w:p>
            <w:pPr>
              <w:ind w:left="80"/>
              <w:spacing w:after="0" w:line="190"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1"/>
                <w:szCs w:val="21"/>
                <w:color w:val="auto"/>
                <w:vertAlign w:val="superscript"/>
              </w:rPr>
              <w:t>7</w:t>
            </w:r>
          </w:p>
        </w:tc>
        <w:tc>
          <w:tcPr>
            <w:tcW w:w="98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49,959</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3880" w:type="dxa"/>
            <w:vAlign w:val="bottom"/>
          </w:tcPr>
          <w:p>
            <w:pPr>
              <w:ind w:left="80"/>
              <w:spacing w:after="0" w:line="237"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2,347,767</w:t>
            </w: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3880" w:type="dxa"/>
            <w:vAlign w:val="bottom"/>
          </w:tcPr>
          <w:p>
            <w:pPr>
              <w:ind w:left="80"/>
              <w:spacing w:after="0" w:line="167" w:lineRule="exact"/>
              <w:rPr>
                <w:sz w:val="20"/>
                <w:szCs w:val="20"/>
                <w:color w:val="auto"/>
              </w:rPr>
            </w:pPr>
            <w:r>
              <w:rPr>
                <w:rFonts w:ascii="Arial" w:cs="Arial" w:eastAsia="Arial" w:hAnsi="Arial"/>
                <w:sz w:val="12"/>
                <w:szCs w:val="12"/>
                <w:color w:val="auto"/>
              </w:rPr>
              <w:t>Unvested RSUs</w:t>
            </w:r>
            <w:r>
              <w:rPr>
                <w:rFonts w:ascii="Arial" w:cs="Arial" w:eastAsia="Arial" w:hAnsi="Arial"/>
                <w:sz w:val="19"/>
                <w:szCs w:val="19"/>
                <w:color w:val="auto"/>
                <w:vertAlign w:val="superscript"/>
              </w:rPr>
              <w:t>3</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705,252</w:t>
            </w:r>
          </w:p>
        </w:tc>
        <w:tc>
          <w:tcPr>
            <w:tcW w:w="10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705,252</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705,252</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705,252</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3880" w:type="dxa"/>
            <w:vAlign w:val="bottom"/>
          </w:tcPr>
          <w:p>
            <w:pPr>
              <w:ind w:left="80"/>
              <w:spacing w:after="0" w:line="153" w:lineRule="exact"/>
              <w:rPr>
                <w:sz w:val="20"/>
                <w:szCs w:val="20"/>
                <w:color w:val="auto"/>
              </w:rPr>
            </w:pPr>
            <w:r>
              <w:rPr>
                <w:rFonts w:ascii="Arial" w:cs="Arial" w:eastAsia="Arial" w:hAnsi="Arial"/>
                <w:sz w:val="14"/>
                <w:szCs w:val="14"/>
                <w:color w:val="auto"/>
              </w:rPr>
              <w:t>Unexercisable Options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Daniel L. Grant</w:t>
            </w:r>
          </w:p>
        </w:tc>
        <w:tc>
          <w:tcPr>
            <w:tcW w:w="3880" w:type="dxa"/>
            <w:vAlign w:val="bottom"/>
          </w:tcPr>
          <w:p>
            <w:pPr>
              <w:ind w:left="80"/>
              <w:spacing w:after="0" w:line="160"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4</w:t>
            </w:r>
          </w:p>
        </w:tc>
        <w:tc>
          <w:tcPr>
            <w:tcW w:w="980" w:type="dxa"/>
            <w:vAlign w:val="bottom"/>
          </w:tcPr>
          <w:p>
            <w:pPr>
              <w:jc w:val="right"/>
              <w:ind w:right="49"/>
              <w:spacing w:after="0" w:line="160" w:lineRule="exact"/>
              <w:rPr>
                <w:sz w:val="20"/>
                <w:szCs w:val="20"/>
                <w:color w:val="auto"/>
              </w:rPr>
            </w:pPr>
            <w:r>
              <w:rPr>
                <w:rFonts w:ascii="Arial" w:cs="Arial" w:eastAsia="Arial" w:hAnsi="Arial"/>
                <w:sz w:val="14"/>
                <w:szCs w:val="14"/>
                <w:color w:val="auto"/>
              </w:rPr>
              <w:t>118,668</w:t>
            </w:r>
          </w:p>
        </w:tc>
        <w:tc>
          <w:tcPr>
            <w:tcW w:w="1040" w:type="dxa"/>
            <w:vAlign w:val="bottom"/>
          </w:tcPr>
          <w:p>
            <w:pPr>
              <w:jc w:val="right"/>
              <w:ind w:right="169"/>
              <w:spacing w:after="0" w:line="160" w:lineRule="exact"/>
              <w:rPr>
                <w:sz w:val="20"/>
                <w:szCs w:val="20"/>
                <w:color w:val="auto"/>
              </w:rPr>
            </w:pPr>
            <w:r>
              <w:rPr>
                <w:rFonts w:ascii="Arial" w:cs="Arial" w:eastAsia="Arial" w:hAnsi="Arial"/>
                <w:sz w:val="14"/>
                <w:szCs w:val="14"/>
                <w:color w:val="auto"/>
              </w:rPr>
              <w:t>54,394</w:t>
            </w:r>
          </w:p>
        </w:tc>
        <w:tc>
          <w:tcPr>
            <w:tcW w:w="100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118,668</w:t>
            </w:r>
          </w:p>
        </w:tc>
        <w:tc>
          <w:tcPr>
            <w:tcW w:w="10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118,668</w:t>
            </w:r>
          </w:p>
        </w:tc>
        <w:tc>
          <w:tcPr>
            <w:tcW w:w="108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118,668</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3880" w:type="dxa"/>
            <w:vAlign w:val="bottom"/>
          </w:tcPr>
          <w:p>
            <w:pPr>
              <w:ind w:left="80"/>
              <w:spacing w:after="0" w:line="160"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5</w:t>
            </w:r>
          </w:p>
        </w:tc>
        <w:tc>
          <w:tcPr>
            <w:tcW w:w="980" w:type="dxa"/>
            <w:vAlign w:val="bottom"/>
          </w:tcPr>
          <w:p>
            <w:pPr>
              <w:jc w:val="right"/>
              <w:ind w:right="49"/>
              <w:spacing w:after="0" w:line="160" w:lineRule="exact"/>
              <w:rPr>
                <w:sz w:val="20"/>
                <w:szCs w:val="20"/>
                <w:color w:val="auto"/>
              </w:rPr>
            </w:pPr>
            <w:r>
              <w:rPr>
                <w:rFonts w:ascii="Arial" w:cs="Arial" w:eastAsia="Arial" w:hAnsi="Arial"/>
                <w:sz w:val="14"/>
                <w:szCs w:val="14"/>
                <w:color w:val="auto"/>
              </w:rPr>
              <w:t>726,225</w:t>
            </w:r>
          </w:p>
        </w:tc>
        <w:tc>
          <w:tcPr>
            <w:tcW w:w="1040" w:type="dxa"/>
            <w:vAlign w:val="bottom"/>
          </w:tcPr>
          <w:p>
            <w:pPr>
              <w:spacing w:after="0"/>
              <w:rPr>
                <w:sz w:val="13"/>
                <w:szCs w:val="13"/>
                <w:color w:val="auto"/>
              </w:rPr>
            </w:pPr>
          </w:p>
        </w:tc>
        <w:tc>
          <w:tcPr>
            <w:tcW w:w="100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726,225</w:t>
            </w:r>
          </w:p>
        </w:tc>
        <w:tc>
          <w:tcPr>
            <w:tcW w:w="10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726,225</w:t>
            </w:r>
          </w:p>
        </w:tc>
        <w:tc>
          <w:tcPr>
            <w:tcW w:w="108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726,225</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3880" w:type="dxa"/>
            <w:vAlign w:val="bottom"/>
          </w:tcPr>
          <w:p>
            <w:pPr>
              <w:ind w:left="80"/>
              <w:spacing w:after="0" w:line="160"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6</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18,951</w:t>
            </w:r>
          </w:p>
        </w:tc>
        <w:tc>
          <w:tcPr>
            <w:tcW w:w="10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999,496</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3880" w:type="dxa"/>
            <w:vAlign w:val="bottom"/>
          </w:tcPr>
          <w:p>
            <w:pPr>
              <w:ind w:left="80"/>
              <w:spacing w:after="0" w:line="190"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1"/>
                <w:szCs w:val="21"/>
                <w:color w:val="auto"/>
                <w:vertAlign w:val="superscript"/>
              </w:rPr>
              <w:t>7</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33,183</w:t>
            </w:r>
          </w:p>
        </w:tc>
        <w:tc>
          <w:tcPr>
            <w:tcW w:w="0" w:type="dxa"/>
            <w:vAlign w:val="bottom"/>
          </w:tcPr>
          <w:p>
            <w:pPr>
              <w:spacing w:after="0"/>
              <w:rPr>
                <w:sz w:val="1"/>
                <w:szCs w:val="1"/>
                <w:color w:val="auto"/>
              </w:rPr>
            </w:pPr>
          </w:p>
        </w:tc>
      </w:tr>
      <w:tr>
        <w:trPr>
          <w:trHeight w:val="237"/>
        </w:trPr>
        <w:tc>
          <w:tcPr>
            <w:tcW w:w="1840" w:type="dxa"/>
            <w:vAlign w:val="bottom"/>
            <w:shd w:val="clear" w:color="auto" w:fill="E5F1F8"/>
          </w:tcPr>
          <w:p>
            <w:pPr>
              <w:spacing w:after="0"/>
              <w:rPr>
                <w:sz w:val="20"/>
                <w:szCs w:val="20"/>
                <w:color w:val="auto"/>
              </w:rPr>
            </w:pPr>
          </w:p>
        </w:tc>
        <w:tc>
          <w:tcPr>
            <w:tcW w:w="3880" w:type="dxa"/>
            <w:vAlign w:val="bottom"/>
            <w:shd w:val="clear" w:color="auto" w:fill="E5F1F8"/>
          </w:tcPr>
          <w:p>
            <w:pPr>
              <w:ind w:left="80"/>
              <w:spacing w:after="0" w:line="237"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980" w:type="dxa"/>
            <w:vAlign w:val="bottom"/>
            <w:shd w:val="clear" w:color="auto" w:fill="E5F1F8"/>
          </w:tcPr>
          <w:p>
            <w:pPr>
              <w:spacing w:after="0"/>
              <w:rPr>
                <w:sz w:val="20"/>
                <w:szCs w:val="20"/>
                <w:color w:val="auto"/>
              </w:rPr>
            </w:pPr>
          </w:p>
        </w:tc>
        <w:tc>
          <w:tcPr>
            <w:tcW w:w="1040" w:type="dxa"/>
            <w:vAlign w:val="bottom"/>
            <w:shd w:val="clear" w:color="auto" w:fill="E5F1F8"/>
          </w:tcPr>
          <w:p>
            <w:pPr>
              <w:spacing w:after="0"/>
              <w:rPr>
                <w:sz w:val="20"/>
                <w:szCs w:val="20"/>
                <w:color w:val="auto"/>
              </w:rPr>
            </w:pPr>
          </w:p>
        </w:tc>
        <w:tc>
          <w:tcPr>
            <w:tcW w:w="1000" w:type="dxa"/>
            <w:vAlign w:val="bottom"/>
            <w:shd w:val="clear" w:color="auto" w:fill="E5F1F8"/>
          </w:tcPr>
          <w:p>
            <w:pPr>
              <w:spacing w:after="0"/>
              <w:rPr>
                <w:sz w:val="20"/>
                <w:szCs w:val="20"/>
                <w:color w:val="auto"/>
              </w:rPr>
            </w:pPr>
          </w:p>
        </w:tc>
        <w:tc>
          <w:tcPr>
            <w:tcW w:w="1040" w:type="dxa"/>
            <w:vAlign w:val="bottom"/>
            <w:shd w:val="clear" w:color="auto" w:fill="E5F1F8"/>
          </w:tcPr>
          <w:p>
            <w:pPr>
              <w:spacing w:after="0"/>
              <w:rPr>
                <w:sz w:val="20"/>
                <w:szCs w:val="20"/>
                <w:color w:val="auto"/>
              </w:rPr>
            </w:pP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1,425,000</w:t>
            </w:r>
          </w:p>
        </w:tc>
        <w:tc>
          <w:tcPr>
            <w:tcW w:w="0" w:type="dxa"/>
            <w:vAlign w:val="bottom"/>
          </w:tcPr>
          <w:p>
            <w:pPr>
              <w:spacing w:after="0"/>
              <w:rPr>
                <w:sz w:val="1"/>
                <w:szCs w:val="1"/>
                <w:color w:val="auto"/>
              </w:rPr>
            </w:pPr>
          </w:p>
        </w:tc>
      </w:tr>
      <w:tr>
        <w:trPr>
          <w:trHeight w:val="163"/>
        </w:trPr>
        <w:tc>
          <w:tcPr>
            <w:tcW w:w="1840" w:type="dxa"/>
            <w:vAlign w:val="bottom"/>
            <w:shd w:val="clear" w:color="auto" w:fill="E5F1F8"/>
          </w:tcPr>
          <w:p>
            <w:pPr>
              <w:spacing w:after="0"/>
              <w:rPr>
                <w:sz w:val="14"/>
                <w:szCs w:val="14"/>
                <w:color w:val="auto"/>
              </w:rPr>
            </w:pPr>
          </w:p>
        </w:tc>
        <w:tc>
          <w:tcPr>
            <w:tcW w:w="3880" w:type="dxa"/>
            <w:vAlign w:val="bottom"/>
            <w:shd w:val="clear" w:color="auto" w:fill="E5F1F8"/>
          </w:tcPr>
          <w:p>
            <w:pPr>
              <w:ind w:left="80"/>
              <w:spacing w:after="0" w:line="163"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980" w:type="dxa"/>
            <w:vAlign w:val="bottom"/>
            <w:shd w:val="clear" w:color="auto" w:fill="E5F1F8"/>
          </w:tcPr>
          <w:p>
            <w:pPr>
              <w:jc w:val="right"/>
              <w:ind w:right="49"/>
              <w:spacing w:after="0"/>
              <w:rPr>
                <w:sz w:val="20"/>
                <w:szCs w:val="20"/>
                <w:color w:val="auto"/>
              </w:rPr>
            </w:pPr>
            <w:r>
              <w:rPr>
                <w:rFonts w:ascii="Arial" w:cs="Arial" w:eastAsia="Arial" w:hAnsi="Arial"/>
                <w:sz w:val="14"/>
                <w:szCs w:val="14"/>
                <w:color w:val="auto"/>
              </w:rPr>
              <w:t>2,259,491</w:t>
            </w:r>
          </w:p>
        </w:tc>
        <w:tc>
          <w:tcPr>
            <w:tcW w:w="1040" w:type="dxa"/>
            <w:vAlign w:val="bottom"/>
            <w:shd w:val="clear" w:color="auto" w:fill="E5F1F8"/>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F1F8"/>
          </w:tcPr>
          <w:p>
            <w:pPr>
              <w:jc w:val="right"/>
              <w:ind w:right="149"/>
              <w:spacing w:after="0"/>
              <w:rPr>
                <w:sz w:val="20"/>
                <w:szCs w:val="20"/>
                <w:color w:val="auto"/>
              </w:rPr>
            </w:pPr>
            <w:r>
              <w:rPr>
                <w:rFonts w:ascii="Arial" w:cs="Arial" w:eastAsia="Arial" w:hAnsi="Arial"/>
                <w:sz w:val="14"/>
                <w:szCs w:val="14"/>
                <w:color w:val="auto"/>
              </w:rPr>
              <w:t>2,259,491</w:t>
            </w:r>
          </w:p>
        </w:tc>
        <w:tc>
          <w:tcPr>
            <w:tcW w:w="1040" w:type="dxa"/>
            <w:vAlign w:val="bottom"/>
            <w:shd w:val="clear" w:color="auto" w:fill="E5F1F8"/>
          </w:tcPr>
          <w:p>
            <w:pPr>
              <w:jc w:val="right"/>
              <w:ind w:right="149"/>
              <w:spacing w:after="0"/>
              <w:rPr>
                <w:sz w:val="20"/>
                <w:szCs w:val="20"/>
                <w:color w:val="auto"/>
              </w:rPr>
            </w:pPr>
            <w:r>
              <w:rPr>
                <w:rFonts w:ascii="Arial" w:cs="Arial" w:eastAsia="Arial" w:hAnsi="Arial"/>
                <w:sz w:val="14"/>
                <w:szCs w:val="14"/>
                <w:color w:val="auto"/>
              </w:rPr>
              <w:t>2,259,491</w:t>
            </w: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2,259,491</w:t>
            </w:r>
          </w:p>
        </w:tc>
        <w:tc>
          <w:tcPr>
            <w:tcW w:w="0" w:type="dxa"/>
            <w:vAlign w:val="bottom"/>
          </w:tcPr>
          <w:p>
            <w:pPr>
              <w:spacing w:after="0"/>
              <w:rPr>
                <w:sz w:val="1"/>
                <w:szCs w:val="1"/>
                <w:color w:val="auto"/>
              </w:rPr>
            </w:pPr>
          </w:p>
        </w:tc>
      </w:tr>
      <w:tr>
        <w:trPr>
          <w:trHeight w:val="157"/>
        </w:trPr>
        <w:tc>
          <w:tcPr>
            <w:tcW w:w="1840" w:type="dxa"/>
            <w:vAlign w:val="bottom"/>
            <w:shd w:val="clear" w:color="auto" w:fill="E5F1F8"/>
          </w:tcPr>
          <w:p>
            <w:pPr>
              <w:spacing w:after="0"/>
              <w:rPr>
                <w:sz w:val="13"/>
                <w:szCs w:val="13"/>
                <w:color w:val="auto"/>
              </w:rPr>
            </w:pPr>
          </w:p>
        </w:tc>
        <w:tc>
          <w:tcPr>
            <w:tcW w:w="3880" w:type="dxa"/>
            <w:vAlign w:val="bottom"/>
            <w:shd w:val="clear" w:color="auto" w:fill="E5F1F8"/>
          </w:tcPr>
          <w:p>
            <w:pPr>
              <w:ind w:left="80"/>
              <w:spacing w:after="0" w:line="157" w:lineRule="exact"/>
              <w:rPr>
                <w:sz w:val="20"/>
                <w:szCs w:val="20"/>
                <w:color w:val="auto"/>
              </w:rPr>
            </w:pPr>
            <w:r>
              <w:rPr>
                <w:rFonts w:ascii="Arial" w:cs="Arial" w:eastAsia="Arial" w:hAnsi="Arial"/>
                <w:sz w:val="14"/>
                <w:szCs w:val="14"/>
                <w:color w:val="auto"/>
              </w:rPr>
              <w:t>Unexercisable Options</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80" w:type="dxa"/>
            <w:vAlign w:val="bottom"/>
            <w:shd w:val="clear" w:color="auto" w:fill="E5F1F8"/>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40" w:type="dxa"/>
            <w:vAlign w:val="bottom"/>
            <w:vMerge w:val="restart"/>
            <w:shd w:val="clear" w:color="auto" w:fill="E5F1F8"/>
          </w:tcPr>
          <w:p>
            <w:pPr>
              <w:ind w:left="140"/>
              <w:spacing w:after="0"/>
              <w:rPr>
                <w:sz w:val="20"/>
                <w:szCs w:val="20"/>
                <w:color w:val="auto"/>
              </w:rPr>
            </w:pPr>
            <w:r>
              <w:rPr>
                <w:rFonts w:ascii="Arial" w:cs="Arial" w:eastAsia="Arial" w:hAnsi="Arial"/>
                <w:sz w:val="14"/>
                <w:szCs w:val="14"/>
                <w:b w:val="1"/>
                <w:bCs w:val="1"/>
                <w:color w:val="auto"/>
              </w:rPr>
              <w:t>Craig M. LaTorre</w:t>
            </w: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4</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40" w:type="dxa"/>
            <w:vAlign w:val="bottom"/>
            <w:vMerge w:val="continue"/>
            <w:shd w:val="clear" w:color="auto" w:fill="E5F1F8"/>
          </w:tcPr>
          <w:p>
            <w:pPr>
              <w:spacing w:after="0"/>
              <w:rPr>
                <w:sz w:val="13"/>
                <w:szCs w:val="13"/>
                <w:color w:val="auto"/>
              </w:rPr>
            </w:pP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5</w:t>
            </w:r>
          </w:p>
        </w:tc>
        <w:tc>
          <w:tcPr>
            <w:tcW w:w="980" w:type="dxa"/>
            <w:vAlign w:val="bottom"/>
            <w:shd w:val="clear" w:color="auto" w:fill="E5F1F8"/>
          </w:tcPr>
          <w:p>
            <w:pPr>
              <w:jc w:val="right"/>
              <w:ind w:right="49"/>
              <w:spacing w:after="0" w:line="160" w:lineRule="exact"/>
              <w:rPr>
                <w:sz w:val="20"/>
                <w:szCs w:val="20"/>
                <w:color w:val="auto"/>
              </w:rPr>
            </w:pPr>
            <w:r>
              <w:rPr>
                <w:rFonts w:ascii="Arial" w:cs="Arial" w:eastAsia="Arial" w:hAnsi="Arial"/>
                <w:sz w:val="14"/>
                <w:szCs w:val="14"/>
                <w:color w:val="auto"/>
              </w:rPr>
              <w:t>291,385</w:t>
            </w: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291,385</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291,385</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291,385</w:t>
            </w:r>
          </w:p>
        </w:tc>
        <w:tc>
          <w:tcPr>
            <w:tcW w:w="0" w:type="dxa"/>
            <w:vAlign w:val="bottom"/>
          </w:tcPr>
          <w:p>
            <w:pPr>
              <w:spacing w:after="0"/>
              <w:rPr>
                <w:sz w:val="1"/>
                <w:szCs w:val="1"/>
                <w:color w:val="auto"/>
              </w:rPr>
            </w:pPr>
          </w:p>
        </w:tc>
      </w:tr>
      <w:tr>
        <w:trPr>
          <w:trHeight w:val="160"/>
        </w:trPr>
        <w:tc>
          <w:tcPr>
            <w:tcW w:w="1840" w:type="dxa"/>
            <w:vAlign w:val="bottom"/>
            <w:shd w:val="clear" w:color="auto" w:fill="E5F1F8"/>
          </w:tcPr>
          <w:p>
            <w:pPr>
              <w:spacing w:after="0"/>
              <w:rPr>
                <w:sz w:val="13"/>
                <w:szCs w:val="13"/>
                <w:color w:val="auto"/>
              </w:rPr>
            </w:pPr>
          </w:p>
        </w:tc>
        <w:tc>
          <w:tcPr>
            <w:tcW w:w="3880" w:type="dxa"/>
            <w:vAlign w:val="bottom"/>
            <w:shd w:val="clear" w:color="auto" w:fill="E5F1F8"/>
          </w:tcPr>
          <w:p>
            <w:pPr>
              <w:ind w:left="80"/>
              <w:spacing w:after="0" w:line="160"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6</w:t>
            </w:r>
          </w:p>
        </w:tc>
        <w:tc>
          <w:tcPr>
            <w:tcW w:w="980" w:type="dxa"/>
            <w:vAlign w:val="bottom"/>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00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802,785</w:t>
            </w:r>
          </w:p>
        </w:tc>
        <w:tc>
          <w:tcPr>
            <w:tcW w:w="1040" w:type="dxa"/>
            <w:vAlign w:val="bottom"/>
            <w:shd w:val="clear" w:color="auto" w:fill="E5F1F8"/>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080" w:type="dxa"/>
            <w:vAlign w:val="bottom"/>
            <w:shd w:val="clear" w:color="auto" w:fill="E5F1F8"/>
          </w:tcPr>
          <w:p>
            <w:pPr>
              <w:jc w:val="right"/>
              <w:ind w:right="109"/>
              <w:spacing w:after="0" w:line="160" w:lineRule="exact"/>
              <w:rPr>
                <w:sz w:val="20"/>
                <w:szCs w:val="20"/>
                <w:color w:val="auto"/>
              </w:rPr>
            </w:pPr>
            <w:r>
              <w:rPr>
                <w:rFonts w:ascii="Arial" w:cs="Arial" w:eastAsia="Arial" w:hAnsi="Arial"/>
                <w:sz w:val="14"/>
                <w:szCs w:val="14"/>
                <w:color w:val="auto"/>
              </w:rPr>
              <w:t>945,816</w:t>
            </w:r>
          </w:p>
        </w:tc>
        <w:tc>
          <w:tcPr>
            <w:tcW w:w="0" w:type="dxa"/>
            <w:vAlign w:val="bottom"/>
          </w:tcPr>
          <w:p>
            <w:pPr>
              <w:spacing w:after="0"/>
              <w:rPr>
                <w:sz w:val="1"/>
                <w:szCs w:val="1"/>
                <w:color w:val="auto"/>
              </w:rPr>
            </w:pPr>
          </w:p>
        </w:tc>
      </w:tr>
      <w:tr>
        <w:trPr>
          <w:trHeight w:val="189"/>
        </w:trPr>
        <w:tc>
          <w:tcPr>
            <w:tcW w:w="1840" w:type="dxa"/>
            <w:vAlign w:val="bottom"/>
            <w:shd w:val="clear" w:color="auto" w:fill="E5F1F8"/>
          </w:tcPr>
          <w:p>
            <w:pPr>
              <w:spacing w:after="0"/>
              <w:rPr>
                <w:sz w:val="16"/>
                <w:szCs w:val="16"/>
                <w:color w:val="auto"/>
              </w:rPr>
            </w:pPr>
          </w:p>
        </w:tc>
        <w:tc>
          <w:tcPr>
            <w:tcW w:w="3880" w:type="dxa"/>
            <w:vAlign w:val="bottom"/>
            <w:shd w:val="clear" w:color="auto" w:fill="E5F1F8"/>
          </w:tcPr>
          <w:p>
            <w:pPr>
              <w:ind w:left="80"/>
              <w:spacing w:after="0" w:line="190"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1"/>
                <w:szCs w:val="21"/>
                <w:color w:val="auto"/>
                <w:vertAlign w:val="superscript"/>
              </w:rPr>
              <w:t>7</w:t>
            </w:r>
          </w:p>
        </w:tc>
        <w:tc>
          <w:tcPr>
            <w:tcW w:w="98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1080" w:type="dxa"/>
            <w:vAlign w:val="bottom"/>
            <w:shd w:val="clear" w:color="auto" w:fill="E5F1F8"/>
          </w:tcPr>
          <w:p>
            <w:pPr>
              <w:jc w:val="right"/>
              <w:ind w:right="109"/>
              <w:spacing w:after="0"/>
              <w:rPr>
                <w:sz w:val="20"/>
                <w:szCs w:val="20"/>
                <w:color w:val="auto"/>
              </w:rPr>
            </w:pPr>
            <w:r>
              <w:rPr>
                <w:rFonts w:ascii="Arial" w:cs="Arial" w:eastAsia="Arial" w:hAnsi="Arial"/>
                <w:sz w:val="14"/>
                <w:szCs w:val="14"/>
                <w:color w:val="auto"/>
              </w:rPr>
              <w:t>78,092</w:t>
            </w: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400" w:hanging="213"/>
        <w:spacing w:after="0" w:line="196" w:lineRule="auto"/>
        <w:tabs>
          <w:tab w:leader="none" w:pos="400" w:val="left"/>
        </w:tabs>
        <w:numPr>
          <w:ilvl w:val="0"/>
          <w:numId w:val="162"/>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2019.</w:t>
      </w:r>
    </w:p>
    <w:p>
      <w:pPr>
        <w:ind w:left="400" w:hanging="213"/>
        <w:spacing w:after="0" w:line="210" w:lineRule="auto"/>
        <w:tabs>
          <w:tab w:leader="none" w:pos="400" w:val="left"/>
        </w:tabs>
        <w:numPr>
          <w:ilvl w:val="0"/>
          <w:numId w:val="163"/>
        </w:numPr>
        <w:rPr>
          <w:rFonts w:ascii="Arial" w:cs="Arial" w:eastAsia="Arial" w:hAnsi="Arial"/>
          <w:sz w:val="24"/>
          <w:szCs w:val="24"/>
          <w:color w:val="auto"/>
          <w:vertAlign w:val="superscript"/>
        </w:rPr>
      </w:pPr>
      <w:r>
        <w:rPr>
          <w:rFonts w:ascii="Arial" w:cs="Arial" w:eastAsia="Arial" w:hAnsi="Arial"/>
          <w:sz w:val="14"/>
          <w:szCs w:val="14"/>
          <w:color w:val="auto"/>
        </w:rPr>
        <w:t>Assumes all earned base salary has been paid.</w:t>
      </w:r>
    </w:p>
    <w:p>
      <w:pPr>
        <w:ind w:left="400" w:hanging="213"/>
        <w:spacing w:after="0" w:line="209" w:lineRule="auto"/>
        <w:tabs>
          <w:tab w:leader="none" w:pos="400" w:val="left"/>
        </w:tabs>
        <w:numPr>
          <w:ilvl w:val="0"/>
          <w:numId w:val="164"/>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RSUs.</w:t>
      </w:r>
    </w:p>
    <w:p>
      <w:pPr>
        <w:spacing w:after="0" w:line="69" w:lineRule="exact"/>
        <w:rPr>
          <w:sz w:val="20"/>
          <w:szCs w:val="20"/>
          <w:color w:val="auto"/>
        </w:rPr>
      </w:pPr>
    </w:p>
    <w:p>
      <w:pPr>
        <w:ind w:left="400" w:hanging="213"/>
        <w:spacing w:after="0" w:line="181" w:lineRule="auto"/>
        <w:tabs>
          <w:tab w:leader="none" w:pos="400" w:val="left"/>
        </w:tabs>
        <w:numPr>
          <w:ilvl w:val="0"/>
          <w:numId w:val="165"/>
        </w:numPr>
        <w:rPr>
          <w:rFonts w:ascii="Arial" w:cs="Arial" w:eastAsia="Arial" w:hAnsi="Arial"/>
          <w:sz w:val="24"/>
          <w:szCs w:val="24"/>
          <w:color w:val="auto"/>
          <w:vertAlign w:val="superscript"/>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ind w:left="400" w:hanging="213"/>
        <w:spacing w:after="0" w:line="209" w:lineRule="auto"/>
        <w:tabs>
          <w:tab w:leader="none" w:pos="400" w:val="left"/>
        </w:tabs>
        <w:numPr>
          <w:ilvl w:val="0"/>
          <w:numId w:val="166"/>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PSUs.</w:t>
      </w:r>
    </w:p>
    <w:p>
      <w:pPr>
        <w:spacing w:after="0" w:line="70" w:lineRule="exact"/>
        <w:rPr>
          <w:sz w:val="20"/>
          <w:szCs w:val="20"/>
          <w:color w:val="auto"/>
        </w:rPr>
      </w:pPr>
    </w:p>
    <w:p>
      <w:pPr>
        <w:jc w:val="both"/>
        <w:ind w:left="400" w:hanging="213"/>
        <w:spacing w:after="0" w:line="205" w:lineRule="auto"/>
        <w:tabs>
          <w:tab w:leader="none" w:pos="400" w:val="left"/>
        </w:tabs>
        <w:numPr>
          <w:ilvl w:val="0"/>
          <w:numId w:val="167"/>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63. Change of Control values include the incremental value of the benefit (including three times Martin Marietta’s match to the defined contribution plan) payable upon a qualifying termination of employment following a Change of Control.</w:t>
      </w:r>
    </w:p>
    <w:p>
      <w:pPr>
        <w:spacing w:after="0" w:line="71" w:lineRule="exact"/>
        <w:rPr>
          <w:sz w:val="20"/>
          <w:szCs w:val="20"/>
          <w:color w:val="auto"/>
        </w:rPr>
      </w:pPr>
    </w:p>
    <w:p>
      <w:pPr>
        <w:ind w:left="400" w:hanging="213"/>
        <w:spacing w:after="0" w:line="181" w:lineRule="auto"/>
        <w:tabs>
          <w:tab w:leader="none" w:pos="400" w:val="left"/>
        </w:tabs>
        <w:numPr>
          <w:ilvl w:val="0"/>
          <w:numId w:val="168"/>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83820</wp:posOffset>
            </wp:positionV>
            <wp:extent cx="406400" cy="2451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46" w:lineRule="exact"/>
        <w:rPr>
          <w:sz w:val="20"/>
          <w:szCs w:val="20"/>
          <w:color w:val="auto"/>
        </w:rPr>
      </w:pPr>
    </w:p>
    <w:p>
      <w:pPr>
        <w:ind w:left="620" w:hanging="433"/>
        <w:spacing w:after="0"/>
        <w:tabs>
          <w:tab w:leader="none" w:pos="620" w:val="left"/>
        </w:tabs>
        <w:numPr>
          <w:ilvl w:val="0"/>
          <w:numId w:val="169"/>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007CBA"/>
        </w:rPr>
        <w:t>CEO Pay Ratio Disclosure</w:t>
      </w:r>
    </w:p>
    <w:p>
      <w:pPr>
        <w:spacing w:after="0" w:line="209"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Company is required to disclose in its proxy statement the annual total compensation of the median-compensated employee of, generally, all Company employees (excluding the CEO), the annual total compensation of its CEO, and the ratio of the CEO compensation to the median employee’s compensation.</w:t>
      </w:r>
    </w:p>
    <w:p>
      <w:pPr>
        <w:spacing w:after="0" w:line="177"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The Company in 2019 employed approximately 8,700 employees that were located primarily in the United States, but also with employees in Canada and The Bahamas.</w:t>
      </w:r>
    </w:p>
    <w:p>
      <w:pPr>
        <w:spacing w:after="0" w:line="160"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methodology described in this section was used to identify the median employee in 2017 and 2018. For 2019, we used the rule allowing us to use the same median employee as last year. The median employee compensation was identified using a consistently applied compensation measure, encompassing base salary, overtime, incentive compensation with a performance period of one year or less (such as annual incentives and sales or other bonuses), and allowances (such as personal use of company-provided vehicles). As allowed under the SEC rules, base pay was annualized for employees hired during the year to reflect a full year of service.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determined the required ratio by:</w:t>
      </w:r>
    </w:p>
    <w:p>
      <w:pPr>
        <w:spacing w:after="0" w:line="123" w:lineRule="exact"/>
        <w:rPr>
          <w:sz w:val="20"/>
          <w:szCs w:val="20"/>
          <w:color w:val="auto"/>
        </w:rPr>
      </w:pPr>
    </w:p>
    <w:p>
      <w:pPr>
        <w:jc w:val="both"/>
        <w:ind w:left="540" w:hanging="274"/>
        <w:spacing w:after="0" w:line="249" w:lineRule="auto"/>
        <w:tabs>
          <w:tab w:leader="none" w:pos="540" w:val="left"/>
        </w:tabs>
        <w:numPr>
          <w:ilvl w:val="0"/>
          <w:numId w:val="170"/>
        </w:numPr>
        <w:rPr>
          <w:rFonts w:ascii="Arial" w:cs="Arial" w:eastAsia="Arial" w:hAnsi="Arial"/>
          <w:sz w:val="16"/>
          <w:szCs w:val="16"/>
          <w:color w:val="007CBA"/>
        </w:rPr>
      </w:pPr>
      <w:r>
        <w:rPr>
          <w:rFonts w:ascii="Arial" w:cs="Arial" w:eastAsia="Arial" w:hAnsi="Arial"/>
          <w:sz w:val="16"/>
          <w:szCs w:val="16"/>
          <w:color w:val="auto"/>
        </w:rPr>
        <w:t>calculating the compensation based on a consistently applied measure as described above of all employees except the CEO, and then sorting those employees from highest to lowest;</w:t>
      </w:r>
    </w:p>
    <w:p>
      <w:pPr>
        <w:spacing w:after="0" w:line="107" w:lineRule="exact"/>
        <w:rPr>
          <w:rFonts w:ascii="Arial" w:cs="Arial" w:eastAsia="Arial" w:hAnsi="Arial"/>
          <w:sz w:val="16"/>
          <w:szCs w:val="16"/>
          <w:color w:val="007CBA"/>
        </w:rPr>
      </w:pPr>
    </w:p>
    <w:p>
      <w:pPr>
        <w:jc w:val="both"/>
        <w:ind w:left="540" w:hanging="274"/>
        <w:spacing w:after="0" w:line="247" w:lineRule="auto"/>
        <w:tabs>
          <w:tab w:leader="none" w:pos="540" w:val="left"/>
        </w:tabs>
        <w:numPr>
          <w:ilvl w:val="0"/>
          <w:numId w:val="170"/>
        </w:numPr>
        <w:rPr>
          <w:rFonts w:ascii="Arial" w:cs="Arial" w:eastAsia="Arial" w:hAnsi="Arial"/>
          <w:sz w:val="16"/>
          <w:szCs w:val="16"/>
          <w:color w:val="007CBA"/>
        </w:rPr>
      </w:pPr>
      <w:r>
        <w:rPr>
          <w:rFonts w:ascii="Arial" w:cs="Arial" w:eastAsia="Arial" w:hAnsi="Arial"/>
          <w:sz w:val="16"/>
          <w:szCs w:val="16"/>
          <w:color w:val="auto"/>
        </w:rPr>
        <w:t>determining the median employee from that list, including evaluating employees situated slightly above and below the calculated median to ensure the selected employee reflects our population as a whole;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right"/>
        <w:spacing w:after="0" w:line="276" w:lineRule="exact"/>
        <w:rPr>
          <w:sz w:val="20"/>
          <w:szCs w:val="20"/>
          <w:color w:val="auto"/>
        </w:rPr>
      </w:pPr>
      <w:r>
        <w:rPr>
          <w:rFonts w:ascii="Arial" w:cs="Arial" w:eastAsia="Arial" w:hAnsi="Arial"/>
          <w:sz w:val="13"/>
          <w:szCs w:val="13"/>
          <w:color w:val="auto"/>
        </w:rPr>
        <w:t xml:space="preserve">CEO Pay Ratio Disclosure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-668020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60" w:right="20" w:hanging="288"/>
        <w:spacing w:after="0" w:line="249" w:lineRule="auto"/>
        <w:tabs>
          <w:tab w:leader="none" w:pos="360" w:val="left"/>
        </w:tabs>
        <w:numPr>
          <w:ilvl w:val="0"/>
          <w:numId w:val="171"/>
        </w:numPr>
        <w:rPr>
          <w:rFonts w:ascii="Arial" w:cs="Arial" w:eastAsia="Arial" w:hAnsi="Arial"/>
          <w:sz w:val="16"/>
          <w:szCs w:val="16"/>
          <w:color w:val="007CBA"/>
        </w:rPr>
      </w:pPr>
      <w:r>
        <w:rPr>
          <w:rFonts w:ascii="Arial" w:cs="Arial" w:eastAsia="Arial" w:hAnsi="Arial"/>
          <w:sz w:val="16"/>
          <w:szCs w:val="16"/>
          <w:color w:val="auto"/>
        </w:rPr>
        <w:t>calculating the total annual compensation of our CEO and of the median employee using the same methodology required for the Summary Compensation Table.</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total annual compensation for our CEO for fiscal year 2019 was $12,198,358. The total annual compensation in 2019 for the median employee (other than our CEO) was $67,956. The resulting ratio of CEO pay to the pay of our median employee for fiscal year 2019 is 180 to one.</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above, as other companies may have different employment and compensation practices and may utilize different methodologies, exclusions, estimates and assumptions in calculating their own pay ratios. As permitted by the SEC rules, we used the same median employee as in 2017 and 2018, as there were no changes to our median employee’s status, our employee population or our compensation programs in 2019 that we would reasonably believe would result in a significant change in our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679450</wp:posOffset>
            </wp:positionV>
            <wp:extent cx="406400" cy="2451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67</w:t>
            </w:r>
          </w:p>
        </w:tc>
      </w:tr>
    </w:tbl>
    <w:p>
      <w:pPr>
        <w:sectPr>
          <w:pgSz w:w="11900" w:h="16838" w:orient="portrait"/>
          <w:cols w:equalWidth="0" w:num="2">
            <w:col w:w="5400" w:space="340"/>
            <w:col w:w="5320"/>
          </w:cols>
          <w:pgMar w:left="320" w:top="455"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0"/>
        <w:spacing w:after="0"/>
        <w:rPr>
          <w:sz w:val="20"/>
          <w:szCs w:val="20"/>
          <w:color w:val="auto"/>
        </w:rPr>
      </w:pPr>
      <w:r>
        <w:rPr>
          <w:rFonts w:ascii="Arial" w:cs="Arial" w:eastAsia="Arial" w:hAnsi="Arial"/>
          <w:sz w:val="43"/>
          <w:szCs w:val="43"/>
          <w:color w:val="auto"/>
        </w:rPr>
        <w:t>Proposal 3</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24"/>
          <w:szCs w:val="24"/>
          <w:b w:val="1"/>
          <w:bCs w:val="1"/>
          <w:color w:val="007CBA"/>
        </w:rPr>
        <w:t>Advisory Vote on the Compensation of Our Named Executive Officers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007CBA"/>
        </w:rPr>
        <w:t>(Item 3 on Proxy Card)</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Public companies are required to provide their shareholders with a periodic opportunity to endorse or not endorse their executive officer pay program and policies. The Board of Directors has elected to do so annually and intends to present the following non-binding resolution for approval by shareholders at the Annual Meeting:</w:t>
      </w:r>
    </w:p>
    <w:p>
      <w:pPr>
        <w:spacing w:after="0" w:line="163" w:lineRule="exact"/>
        <w:rPr>
          <w:sz w:val="20"/>
          <w:szCs w:val="20"/>
          <w:color w:val="auto"/>
        </w:rPr>
      </w:pPr>
    </w:p>
    <w:p>
      <w:pPr>
        <w:jc w:val="both"/>
        <w:ind w:left="500" w:right="320"/>
        <w:spacing w:after="0" w:line="245" w:lineRule="auto"/>
        <w:rPr>
          <w:sz w:val="20"/>
          <w:szCs w:val="20"/>
          <w:color w:val="auto"/>
        </w:rPr>
      </w:pPr>
      <w:r>
        <w:rPr>
          <w:rFonts w:ascii="Arial" w:cs="Arial" w:eastAsia="Arial" w:hAnsi="Arial"/>
          <w:sz w:val="16"/>
          <w:szCs w:val="16"/>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and consider the various factors regarding compensation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2019 was appropriate and aligned with 2019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 The next such vote will occur at the 2021 Annual Meeting.</w:t>
      </w:r>
    </w:p>
    <w:p>
      <w:pPr>
        <w:spacing w:after="0" w:line="20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395" w:lineRule="exact"/>
        <w:rPr>
          <w:sz w:val="20"/>
          <w:szCs w:val="20"/>
          <w:color w:val="auto"/>
        </w:rPr>
      </w:pPr>
    </w:p>
    <w:p>
      <w:pPr>
        <w:ind w:left="3100" w:right="2160"/>
        <w:spacing w:after="0" w:line="279"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-405765</wp:posOffset>
            </wp:positionV>
            <wp:extent cx="321310" cy="3213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1310" cy="32131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67310</wp:posOffset>
            </wp:positionV>
            <wp:extent cx="406400" cy="2451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21" w:lineRule="exact"/>
        <w:rPr>
          <w:sz w:val="20"/>
          <w:szCs w:val="20"/>
          <w:color w:val="auto"/>
        </w:rPr>
      </w:pPr>
    </w:p>
    <w:p>
      <w:pPr>
        <w:ind w:left="620" w:hanging="433"/>
        <w:spacing w:after="0"/>
        <w:tabs>
          <w:tab w:leader="none" w:pos="620" w:val="left"/>
        </w:tabs>
        <w:numPr>
          <w:ilvl w:val="0"/>
          <w:numId w:val="172"/>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380"/>
        <w:spacing w:after="0"/>
        <w:rPr>
          <w:sz w:val="20"/>
          <w:szCs w:val="20"/>
          <w:color w:val="auto"/>
        </w:rPr>
      </w:pPr>
      <w:r>
        <w:rPr>
          <w:rFonts w:ascii="Arial" w:cs="Arial" w:eastAsia="Arial" w:hAnsi="Arial"/>
          <w:sz w:val="43"/>
          <w:szCs w:val="43"/>
          <w:color w:val="auto"/>
        </w:rPr>
        <w:t>Securities Authorized for Issuance</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43"/>
          <w:szCs w:val="43"/>
          <w:color w:val="auto"/>
        </w:rPr>
        <w:t>Under Equity Compensation Plans</w:t>
      </w:r>
    </w:p>
    <w:p>
      <w:pPr>
        <w:spacing w:after="0" w:line="320" w:lineRule="exact"/>
        <w:rPr>
          <w:sz w:val="20"/>
          <w:szCs w:val="20"/>
          <w:color w:val="auto"/>
        </w:rPr>
      </w:pPr>
    </w:p>
    <w:p>
      <w:pPr>
        <w:jc w:val="both"/>
        <w:ind w:left="180"/>
        <w:spacing w:after="0" w:line="245" w:lineRule="auto"/>
        <w:rPr>
          <w:sz w:val="20"/>
          <w:szCs w:val="20"/>
          <w:color w:val="auto"/>
        </w:rPr>
      </w:pPr>
      <w:r>
        <w:rPr>
          <w:rFonts w:ascii="Arial" w:cs="Arial" w:eastAsia="Arial" w:hAnsi="Arial"/>
          <w:sz w:val="16"/>
          <w:szCs w:val="16"/>
          <w:color w:val="auto"/>
        </w:rPr>
        <w:t>The following table shows information as of December 31, 2019 regarding Martin Marietta’s compensation plans that allow Martin Marietta to issue its equity securities. Martin Marietta’s equity compensation plans consist of the Amended and Restated Martin Marietta Materials, Inc. Common Stock Purchase Plan for Directors (the Directors’ Plan), the Stock Plan, the Martin Marietta Materials, Inc. Amended and Restated Stock-Based Award Plan (the Stock-Based Award Plan), under which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Plan Category</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Equity compensation plans approved by shareholders</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Equity compensation plans not approved by shareholders</w:t>
      </w:r>
    </w:p>
    <w:p>
      <w:pPr>
        <w:ind w:left="2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0"/>
        </w:trPr>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remaining available</w:t>
            </w:r>
          </w:p>
        </w:tc>
      </w:tr>
      <w:tr>
        <w:trPr>
          <w:trHeight w:val="160"/>
        </w:trPr>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Number of securities</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for future issuance</w:t>
            </w:r>
          </w:p>
        </w:tc>
      </w:tr>
      <w:tr>
        <w:trPr>
          <w:trHeight w:val="160"/>
        </w:trPr>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to be issued upon</w:t>
            </w: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FFFFFF"/>
              </w:rPr>
              <w:t>Weighted-average</w:t>
            </w:r>
          </w:p>
        </w:tc>
        <w:tc>
          <w:tcPr>
            <w:tcW w:w="142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under equity</w:t>
            </w:r>
          </w:p>
        </w:tc>
      </w:tr>
      <w:tr>
        <w:trPr>
          <w:trHeight w:val="160"/>
        </w:trPr>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exercise of</w:t>
            </w: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FFFFFF"/>
              </w:rPr>
              <w:t>exercise price of</w:t>
            </w:r>
          </w:p>
        </w:tc>
        <w:tc>
          <w:tcPr>
            <w:tcW w:w="142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compensation plans</w:t>
            </w:r>
          </w:p>
        </w:tc>
      </w:tr>
      <w:tr>
        <w:trPr>
          <w:trHeight w:val="160"/>
        </w:trPr>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outstanding</w:t>
            </w: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FFFFFF"/>
              </w:rPr>
              <w:t>outstanding</w:t>
            </w:r>
          </w:p>
        </w:tc>
        <w:tc>
          <w:tcPr>
            <w:tcW w:w="142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(excluding securities</w:t>
            </w:r>
          </w:p>
        </w:tc>
      </w:tr>
      <w:tr>
        <w:trPr>
          <w:trHeight w:val="160"/>
        </w:trPr>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FFFFFF"/>
              </w:rPr>
              <w:t>options, warrants,</w:t>
            </w:r>
          </w:p>
        </w:tc>
        <w:tc>
          <w:tcPr>
            <w:tcW w:w="266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FFFFFF"/>
              </w:rPr>
              <w:t>options, warrants, reflected in column</w:t>
            </w:r>
          </w:p>
        </w:tc>
      </w:tr>
      <w:tr>
        <w:trPr>
          <w:trHeight w:val="157"/>
        </w:trPr>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color w:val="FFFFFF"/>
              </w:rPr>
              <w:t>and rights</w:t>
            </w: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FFFFFF"/>
              </w:rPr>
              <w:t>and rights</w:t>
            </w:r>
          </w:p>
        </w:tc>
        <w:tc>
          <w:tcPr>
            <w:tcW w:w="1420" w:type="dxa"/>
            <w:vAlign w:val="bottom"/>
          </w:tcPr>
          <w:p>
            <w:pPr>
              <w:jc w:val="center"/>
              <w:spacing w:after="0" w:line="157" w:lineRule="exact"/>
              <w:rPr>
                <w:sz w:val="20"/>
                <w:szCs w:val="20"/>
                <w:color w:val="auto"/>
              </w:rPr>
            </w:pPr>
            <w:r>
              <w:rPr>
                <w:rFonts w:ascii="Arial" w:cs="Arial" w:eastAsia="Arial" w:hAnsi="Arial"/>
                <w:sz w:val="14"/>
                <w:szCs w:val="14"/>
                <w:b w:val="1"/>
                <w:bCs w:val="1"/>
                <w:color w:val="FFFFFF"/>
              </w:rPr>
              <w:t>(a))</w:t>
            </w:r>
          </w:p>
        </w:tc>
      </w:tr>
      <w:tr>
        <w:trPr>
          <w:trHeight w:val="230"/>
        </w:trPr>
        <w:tc>
          <w:tcPr>
            <w:tcW w:w="1440" w:type="dxa"/>
            <w:vAlign w:val="bottom"/>
          </w:tcPr>
          <w:p>
            <w:pPr>
              <w:jc w:val="center"/>
              <w:spacing w:after="0"/>
              <w:rPr>
                <w:sz w:val="20"/>
                <w:szCs w:val="20"/>
                <w:color w:val="auto"/>
              </w:rPr>
            </w:pPr>
            <w:r>
              <w:rPr>
                <w:rFonts w:ascii="Arial" w:cs="Arial" w:eastAsia="Arial" w:hAnsi="Arial"/>
                <w:sz w:val="14"/>
                <w:szCs w:val="14"/>
                <w:b w:val="1"/>
                <w:bCs w:val="1"/>
                <w:color w:val="FFFFFF"/>
              </w:rPr>
              <w:t>(a)</w:t>
            </w:r>
          </w:p>
        </w:tc>
        <w:tc>
          <w:tcPr>
            <w:tcW w:w="420" w:type="dxa"/>
            <w:vAlign w:val="bottom"/>
          </w:tcPr>
          <w:p>
            <w:pPr>
              <w:spacing w:after="0"/>
              <w:rPr>
                <w:sz w:val="19"/>
                <w:szCs w:val="19"/>
                <w:color w:val="auto"/>
              </w:rPr>
            </w:pPr>
          </w:p>
        </w:tc>
        <w:tc>
          <w:tcPr>
            <w:tcW w:w="820" w:type="dxa"/>
            <w:vAlign w:val="bottom"/>
          </w:tcPr>
          <w:p>
            <w:pPr>
              <w:jc w:val="center"/>
              <w:ind w:right="369"/>
              <w:spacing w:after="0" w:line="229" w:lineRule="exact"/>
              <w:rPr>
                <w:sz w:val="20"/>
                <w:szCs w:val="20"/>
                <w:color w:val="auto"/>
              </w:rPr>
            </w:pPr>
            <w:r>
              <w:rPr>
                <w:rFonts w:ascii="Arial" w:cs="Arial" w:eastAsia="Arial" w:hAnsi="Arial"/>
                <w:sz w:val="14"/>
                <w:szCs w:val="14"/>
                <w:b w:val="1"/>
                <w:bCs w:val="1"/>
                <w:color w:val="FFFFFF"/>
                <w:w w:val="96"/>
              </w:rPr>
              <w:t>(b)</w:t>
            </w:r>
            <w:r>
              <w:rPr>
                <w:rFonts w:ascii="Arial" w:cs="Arial" w:eastAsia="Arial" w:hAnsi="Arial"/>
                <w:sz w:val="24"/>
                <w:szCs w:val="24"/>
                <w:b w:val="1"/>
                <w:bCs w:val="1"/>
                <w:color w:val="FFFFFF"/>
                <w:w w:val="96"/>
                <w:vertAlign w:val="superscript"/>
              </w:rPr>
              <w:t>3</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FFFFFF"/>
              </w:rPr>
              <w:t>(c)</w:t>
            </w:r>
          </w:p>
        </w:tc>
      </w:tr>
      <w:tr>
        <w:trPr>
          <w:trHeight w:val="211"/>
        </w:trPr>
        <w:tc>
          <w:tcPr>
            <w:tcW w:w="1440" w:type="dxa"/>
            <w:vAlign w:val="bottom"/>
            <w:tcBorders>
              <w:right w:val="single" w:sz="8" w:color="007CBA"/>
            </w:tcBorders>
          </w:tcPr>
          <w:p>
            <w:pPr>
              <w:jc w:val="right"/>
              <w:ind w:right="150"/>
              <w:spacing w:after="0" w:line="211" w:lineRule="exact"/>
              <w:rPr>
                <w:sz w:val="20"/>
                <w:szCs w:val="20"/>
                <w:color w:val="auto"/>
              </w:rPr>
            </w:pPr>
            <w:r>
              <w:rPr>
                <w:rFonts w:ascii="Arial" w:cs="Arial" w:eastAsia="Arial" w:hAnsi="Arial"/>
                <w:sz w:val="14"/>
                <w:szCs w:val="14"/>
                <w:color w:val="auto"/>
              </w:rPr>
              <w:t>403,076</w:t>
            </w:r>
            <w:r>
              <w:rPr>
                <w:rFonts w:ascii="Arial" w:cs="Arial" w:eastAsia="Arial" w:hAnsi="Arial"/>
                <w:sz w:val="24"/>
                <w:szCs w:val="24"/>
                <w:color w:val="auto"/>
                <w:vertAlign w:val="superscript"/>
              </w:rPr>
              <w:t>1</w:t>
            </w: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tcPr>
          <w:p>
            <w:pPr>
              <w:jc w:val="right"/>
              <w:ind w:right="209"/>
              <w:spacing w:after="0"/>
              <w:rPr>
                <w:sz w:val="20"/>
                <w:szCs w:val="20"/>
                <w:color w:val="auto"/>
              </w:rPr>
            </w:pPr>
            <w:r>
              <w:rPr>
                <w:rFonts w:ascii="Arial" w:cs="Arial" w:eastAsia="Arial" w:hAnsi="Arial"/>
                <w:sz w:val="14"/>
                <w:szCs w:val="14"/>
                <w:color w:val="auto"/>
              </w:rPr>
              <w:t>132.12</w:t>
            </w:r>
          </w:p>
        </w:tc>
        <w:tc>
          <w:tcPr>
            <w:tcW w:w="1420" w:type="dxa"/>
            <w:vAlign w:val="bottom"/>
          </w:tcPr>
          <w:p>
            <w:pPr>
              <w:jc w:val="right"/>
              <w:ind w:right="130"/>
              <w:spacing w:after="0" w:line="211" w:lineRule="exact"/>
              <w:rPr>
                <w:sz w:val="20"/>
                <w:szCs w:val="20"/>
                <w:color w:val="auto"/>
              </w:rPr>
            </w:pPr>
            <w:r>
              <w:rPr>
                <w:rFonts w:ascii="Arial" w:cs="Arial" w:eastAsia="Arial" w:hAnsi="Arial"/>
                <w:sz w:val="14"/>
                <w:szCs w:val="14"/>
                <w:color w:val="auto"/>
              </w:rPr>
              <w:t>1,090,688</w:t>
            </w:r>
            <w:r>
              <w:rPr>
                <w:rFonts w:ascii="Arial" w:cs="Arial" w:eastAsia="Arial" w:hAnsi="Arial"/>
                <w:sz w:val="24"/>
                <w:szCs w:val="24"/>
                <w:color w:val="auto"/>
                <w:vertAlign w:val="superscript"/>
              </w:rPr>
              <w:t>4</w:t>
            </w:r>
          </w:p>
        </w:tc>
      </w:tr>
      <w:tr>
        <w:trPr>
          <w:trHeight w:val="167"/>
        </w:trPr>
        <w:tc>
          <w:tcPr>
            <w:tcW w:w="1440" w:type="dxa"/>
            <w:vAlign w:val="bottom"/>
            <w:tcBorders>
              <w:right w:val="single" w:sz="8" w:color="007CBA"/>
            </w:tcBorders>
          </w:tcPr>
          <w:p>
            <w:pPr>
              <w:jc w:val="right"/>
              <w:ind w:right="150"/>
              <w:spacing w:after="0" w:line="167" w:lineRule="exact"/>
              <w:rPr>
                <w:sz w:val="20"/>
                <w:szCs w:val="20"/>
                <w:color w:val="auto"/>
              </w:rPr>
            </w:pPr>
            <w:r>
              <w:rPr>
                <w:rFonts w:ascii="Arial" w:cs="Arial" w:eastAsia="Arial" w:hAnsi="Arial"/>
                <w:sz w:val="12"/>
                <w:szCs w:val="12"/>
                <w:color w:val="auto"/>
              </w:rPr>
              <w:t>3,508</w:t>
            </w:r>
            <w:r>
              <w:rPr>
                <w:rFonts w:ascii="Arial" w:cs="Arial" w:eastAsia="Arial" w:hAnsi="Arial"/>
                <w:sz w:val="19"/>
                <w:szCs w:val="19"/>
                <w:color w:val="auto"/>
                <w:vertAlign w:val="superscript"/>
              </w:rPr>
              <w:t>2</w:t>
            </w: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tcPr>
          <w:p>
            <w:pPr>
              <w:jc w:val="right"/>
              <w:ind w:right="209"/>
              <w:spacing w:after="0"/>
              <w:rPr>
                <w:sz w:val="20"/>
                <w:szCs w:val="20"/>
                <w:color w:val="auto"/>
              </w:rPr>
            </w:pPr>
            <w:r>
              <w:rPr>
                <w:rFonts w:ascii="Arial" w:cs="Arial" w:eastAsia="Arial" w:hAnsi="Arial"/>
                <w:sz w:val="14"/>
                <w:szCs w:val="14"/>
                <w:color w:val="auto"/>
              </w:rPr>
              <w:t>47.22</w:t>
            </w:r>
          </w:p>
        </w:tc>
        <w:tc>
          <w:tcPr>
            <w:tcW w:w="1420" w:type="dxa"/>
            <w:vAlign w:val="bottom"/>
          </w:tcPr>
          <w:p>
            <w:pPr>
              <w:jc w:val="right"/>
              <w:ind w:right="130"/>
              <w:spacing w:after="0" w:line="167" w:lineRule="exact"/>
              <w:rPr>
                <w:sz w:val="20"/>
                <w:szCs w:val="20"/>
                <w:color w:val="auto"/>
              </w:rPr>
            </w:pPr>
            <w:r>
              <w:rPr>
                <w:rFonts w:ascii="Arial" w:cs="Arial" w:eastAsia="Arial" w:hAnsi="Arial"/>
                <w:sz w:val="12"/>
                <w:szCs w:val="12"/>
                <w:color w:val="auto"/>
              </w:rPr>
              <w:t>0</w:t>
            </w:r>
            <w:r>
              <w:rPr>
                <w:rFonts w:ascii="Arial" w:cs="Arial" w:eastAsia="Arial" w:hAnsi="Arial"/>
                <w:sz w:val="19"/>
                <w:szCs w:val="19"/>
                <w:color w:val="auto"/>
                <w:vertAlign w:val="superscript"/>
              </w:rPr>
              <w:t>5</w:t>
            </w:r>
          </w:p>
        </w:tc>
      </w:tr>
      <w:tr>
        <w:trPr>
          <w:trHeight w:val="169"/>
        </w:trPr>
        <w:tc>
          <w:tcPr>
            <w:tcW w:w="1440" w:type="dxa"/>
            <w:vAlign w:val="bottom"/>
            <w:tcBorders>
              <w:right w:val="single" w:sz="8" w:color="007CBA"/>
            </w:tcBorders>
          </w:tcPr>
          <w:p>
            <w:pPr>
              <w:jc w:val="right"/>
              <w:ind w:right="210"/>
              <w:spacing w:after="0"/>
              <w:rPr>
                <w:sz w:val="20"/>
                <w:szCs w:val="20"/>
                <w:color w:val="auto"/>
              </w:rPr>
            </w:pPr>
            <w:r>
              <w:rPr>
                <w:rFonts w:ascii="Arial" w:cs="Arial" w:eastAsia="Arial" w:hAnsi="Arial"/>
                <w:sz w:val="14"/>
                <w:szCs w:val="14"/>
                <w:color w:val="auto"/>
              </w:rPr>
              <w:t>406,584</w:t>
            </w: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tcPr>
          <w:p>
            <w:pPr>
              <w:jc w:val="right"/>
              <w:ind w:right="209"/>
              <w:spacing w:after="0"/>
              <w:rPr>
                <w:sz w:val="20"/>
                <w:szCs w:val="20"/>
                <w:color w:val="auto"/>
              </w:rPr>
            </w:pPr>
            <w:r>
              <w:rPr>
                <w:rFonts w:ascii="Arial" w:cs="Arial" w:eastAsia="Arial" w:hAnsi="Arial"/>
                <w:sz w:val="14"/>
                <w:szCs w:val="14"/>
                <w:color w:val="auto"/>
              </w:rPr>
              <w:t>129.10</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1,090,688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-1294130</wp:posOffset>
            </wp:positionV>
            <wp:extent cx="6905625" cy="129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05625" cy="129476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240" w:space="720"/>
            <w:col w:w="4100"/>
          </w:cols>
          <w:pgMar w:left="320" w:top="455" w:right="519" w:bottom="1440" w:gutter="0" w:footer="0" w:header="0"/>
          <w:type w:val="continuous"/>
        </w:sectPr>
      </w:pPr>
    </w:p>
    <w:p>
      <w:pPr>
        <w:jc w:val="both"/>
        <w:ind w:left="500" w:hanging="313"/>
        <w:spacing w:after="0" w:line="241" w:lineRule="auto"/>
        <w:tabs>
          <w:tab w:leader="none" w:pos="500" w:val="left"/>
        </w:tabs>
        <w:numPr>
          <w:ilvl w:val="0"/>
          <w:numId w:val="173"/>
        </w:numPr>
        <w:rPr>
          <w:rFonts w:ascii="Arial" w:cs="Arial" w:eastAsia="Arial" w:hAnsi="Arial"/>
          <w:sz w:val="11"/>
          <w:szCs w:val="11"/>
          <w:color w:val="auto"/>
        </w:rPr>
      </w:pPr>
      <w:r>
        <w:rPr>
          <w:rFonts w:ascii="Arial" w:cs="Arial" w:eastAsia="Arial" w:hAnsi="Arial"/>
          <w:sz w:val="13"/>
          <w:szCs w:val="13"/>
          <w:color w:val="auto"/>
        </w:rPr>
        <w:t>Includes 55,332 stock options that have a weighted-average exercise price of $112.84; 308,160 restricted stock units that have a $0 exercise price; and 39,584 stock units granted in accordance with the Incentive Stock Plan that are credited to participants at an average weighted cost of $159.07. The restricted stock units and stock units granted in accordance with the Incentive Stock Plan represent Martin Marietta’s obligation to issue shares in the future subject to certain conditions in accordance with the Stock-Based Award Plan.</w:t>
      </w:r>
    </w:p>
    <w:p>
      <w:pPr>
        <w:spacing w:after="0" w:line="216" w:lineRule="exact"/>
        <w:rPr>
          <w:sz w:val="20"/>
          <w:szCs w:val="20"/>
          <w:color w:val="auto"/>
        </w:rPr>
      </w:pPr>
    </w:p>
    <w:p>
      <w:pPr>
        <w:ind w:left="500" w:hanging="313"/>
        <w:spacing w:after="0"/>
        <w:tabs>
          <w:tab w:leader="none" w:pos="50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Represents stock options granted to legacy Texas Industries, Inc. (“TXI”) employees and employees hired after July 1, 2014.</w:t>
      </w:r>
    </w:p>
    <w:p>
      <w:pPr>
        <w:spacing w:after="0" w:line="77" w:lineRule="exact"/>
        <w:rPr>
          <w:sz w:val="20"/>
          <w:szCs w:val="20"/>
          <w:color w:val="auto"/>
        </w:rPr>
      </w:pPr>
    </w:p>
    <w:p>
      <w:pPr>
        <w:ind w:left="500" w:hanging="313"/>
        <w:spacing w:after="0"/>
        <w:tabs>
          <w:tab w:leader="none" w:pos="50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The weighted-average exercise price does not take into account the restricted stock units and stock units for which there is no exercise price.</w:t>
      </w:r>
    </w:p>
    <w:p>
      <w:pPr>
        <w:spacing w:after="0" w:line="77" w:lineRule="exact"/>
        <w:rPr>
          <w:sz w:val="20"/>
          <w:szCs w:val="20"/>
          <w:color w:val="auto"/>
        </w:rPr>
      </w:pPr>
    </w:p>
    <w:p>
      <w:pPr>
        <w:jc w:val="both"/>
        <w:ind w:left="500" w:hanging="313"/>
        <w:spacing w:after="0" w:line="239" w:lineRule="auto"/>
        <w:tabs>
          <w:tab w:leader="none" w:pos="500" w:val="left"/>
        </w:tabs>
        <w:numPr>
          <w:ilvl w:val="0"/>
          <w:numId w:val="176"/>
        </w:numPr>
        <w:rPr>
          <w:rFonts w:ascii="Arial" w:cs="Arial" w:eastAsia="Arial" w:hAnsi="Arial"/>
          <w:sz w:val="11"/>
          <w:szCs w:val="11"/>
          <w:color w:val="auto"/>
        </w:rPr>
      </w:pPr>
      <w:r>
        <w:rPr>
          <w:rFonts w:ascii="Arial" w:cs="Arial" w:eastAsia="Arial" w:hAnsi="Arial"/>
          <w:sz w:val="13"/>
          <w:szCs w:val="13"/>
          <w:color w:val="auto"/>
        </w:rPr>
        <w:t>Includes shares of Martin Marietta’s common stock available for issuance (other than those reported in column (a)) under Martin Marietta’s equity compensation plans as of December 31, 2019 in the following amounts: Directors’ Plan (140,727 shares), Stock-Based Award Plan (741,986 shares), and Achievement Plan (207,975 shares). Also excludes Texas Industries Inc. stock-based award plans (1,893,311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69" w:lineRule="exact"/>
        <w:rPr>
          <w:sz w:val="20"/>
          <w:szCs w:val="20"/>
          <w:color w:val="auto"/>
        </w:rPr>
      </w:pPr>
    </w:p>
    <w:p>
      <w:pPr>
        <w:jc w:val="both"/>
        <w:ind w:left="500" w:hanging="313"/>
        <w:spacing w:after="0" w:line="245" w:lineRule="auto"/>
        <w:tabs>
          <w:tab w:leader="none" w:pos="50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There are 1,893,311 shares of Martin Marietta’s common stock available for issuance to legacy TXI employees. These shares will be used to settle currently outstanding awards but no further awards will be granted for these shares, as indicated by management in connection with the approval by shareholders of the Stock-Based Award Plan on May 19, 2017.</w:t>
      </w:r>
    </w:p>
    <w:p>
      <w:pPr>
        <w:sectPr>
          <w:pgSz w:w="11900" w:h="16838" w:orient="portrait"/>
          <w:cols w:equalWidth="0" w:num="1">
            <w:col w:w="11060"/>
          </w:cols>
          <w:pgMar w:left="320" w:top="455" w:right="51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7CBA"/>
        </w:rPr>
        <w:t>Description of the TXI Legacy Plan</w:t>
      </w:r>
    </w:p>
    <w:p>
      <w:pPr>
        <w:spacing w:after="0" w:line="223"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TXI Legacy Plan became effective as of July 11, 2012 and will terminate on July 11, 2022 unless sooner terminated. All legacy employees of TXI and its affiliates and subsidiaries are eligible to receive awards. However, no further awards will be granted under the TXI Legacy Plan, as indicated by management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connection with the approval by shareholders of the Amended and Restated Stock-Based Award Plan on May 19, 2017.</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478790</wp:posOffset>
            </wp:positionV>
            <wp:extent cx="406400" cy="2451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88"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69</w:t>
            </w:r>
          </w:p>
        </w:tc>
      </w:tr>
    </w:tbl>
    <w:p>
      <w:pPr>
        <w:sectPr>
          <w:pgSz w:w="11900" w:h="16838" w:orient="portrait"/>
          <w:cols w:equalWidth="0" w:num="1">
            <w:col w:w="11060"/>
          </w:cols>
          <w:pgMar w:left="320" w:top="455" w:right="51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Securities Authorized for Issuance Under Equity Compensation Plans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Description of the Deferred Compensation Plan</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200" w:right="220"/>
        <w:spacing w:after="0" w:line="279" w:lineRule="auto"/>
        <w:rPr>
          <w:sz w:val="20"/>
          <w:szCs w:val="20"/>
          <w:color w:val="auto"/>
        </w:rPr>
      </w:pPr>
      <w:r>
        <w:rPr>
          <w:rFonts w:ascii="Arial" w:cs="Arial" w:eastAsia="Arial" w:hAnsi="Arial"/>
          <w:sz w:val="25"/>
          <w:szCs w:val="25"/>
          <w:b w:val="1"/>
          <w:bCs w:val="1"/>
          <w:color w:val="007CBA"/>
        </w:rPr>
        <w:t>Description of the Deferred Compensation Plan</w:t>
      </w:r>
    </w:p>
    <w:p>
      <w:pPr>
        <w:spacing w:after="0" w:line="55"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TXI DC Plan became effective as of July 11, 2012 and will terminate on July 11, 2022 unless sooner terminated. Key management legacy employees of TXI, its subsidiaries and its affiliates are eligible to participate in the TXI DC Plan. Under the terms of the TXI DC Plan, participants may elect each year to defer all or a portion of their eligible compensation received during that year. However, no further awards will be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TXI DC Plan, as indicated by management in connection with the approval by shareholders of the Stock-Based Award Plan on May 19, 2017.</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381635</wp:posOffset>
            </wp:positionV>
            <wp:extent cx="406400" cy="2451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17" w:lineRule="exact"/>
        <w:rPr>
          <w:sz w:val="20"/>
          <w:szCs w:val="20"/>
          <w:color w:val="auto"/>
        </w:rPr>
      </w:pPr>
    </w:p>
    <w:p>
      <w:pPr>
        <w:ind w:left="620" w:hanging="433"/>
        <w:spacing w:after="0"/>
        <w:tabs>
          <w:tab w:leader="none" w:pos="620" w:val="left"/>
        </w:tabs>
        <w:numPr>
          <w:ilvl w:val="0"/>
          <w:numId w:val="178"/>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2"/>
          <w:szCs w:val="42"/>
          <w:color w:val="auto"/>
        </w:rPr>
        <w:t>Annual Meeting and Voting Information</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What is the purpose of the Annual Meeting?</w:t>
      </w:r>
    </w:p>
    <w:p>
      <w:pPr>
        <w:spacing w:after="0" w:line="2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77"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Whether or not you plan to attend the meeting, we encourage you to date, sign, and return your proxy in the enclosed envelope.</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Who is entitled to vote at the meeting?</w:t>
      </w:r>
    </w:p>
    <w:p>
      <w:pPr>
        <w:spacing w:after="0" w:line="2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Only shareholders of record at the close of business on March 6, 2020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45" w:lineRule="exact"/>
        <w:rPr>
          <w:sz w:val="20"/>
          <w:szCs w:val="20"/>
          <w:color w:val="auto"/>
        </w:rPr>
      </w:pPr>
    </w:p>
    <w:p>
      <w:pPr>
        <w:ind w:left="200" w:right="60"/>
        <w:spacing w:after="0" w:line="255" w:lineRule="auto"/>
        <w:rPr>
          <w:sz w:val="20"/>
          <w:szCs w:val="20"/>
          <w:color w:val="auto"/>
        </w:rPr>
      </w:pPr>
      <w:r>
        <w:rPr>
          <w:rFonts w:ascii="Arial" w:cs="Arial" w:eastAsia="Arial" w:hAnsi="Arial"/>
          <w:sz w:val="16"/>
          <w:szCs w:val="16"/>
          <w:b w:val="1"/>
          <w:bCs w:val="1"/>
          <w:i w:val="1"/>
          <w:iCs w:val="1"/>
          <w:color w:val="007CBA"/>
        </w:rPr>
        <w:t>What are the voting rights of the holders of Martin Marietta common stock?</w:t>
      </w:r>
    </w:p>
    <w:p>
      <w:pPr>
        <w:jc w:val="both"/>
        <w:ind w:left="200"/>
        <w:spacing w:after="0" w:line="254" w:lineRule="auto"/>
        <w:rPr>
          <w:sz w:val="20"/>
          <w:szCs w:val="20"/>
          <w:color w:val="auto"/>
        </w:rPr>
      </w:pPr>
      <w:r>
        <w:rPr>
          <w:rFonts w:ascii="Arial" w:cs="Arial" w:eastAsia="Arial" w:hAnsi="Arial"/>
          <w:sz w:val="16"/>
          <w:szCs w:val="16"/>
          <w:color w:val="auto"/>
        </w:rPr>
        <w:t>Each share of Martin Marietta common stock is entitled to one vote on each matter considered at the meeting.</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Who can attend the meeting?</w:t>
      </w:r>
    </w:p>
    <w:p>
      <w:pPr>
        <w:spacing w:after="0" w:line="2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What constitutes a quorum?</w:t>
      </w:r>
    </w:p>
    <w:p>
      <w:pPr>
        <w:spacing w:after="0" w:line="2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presence at the meeting, in person or by proxy, of the holders of a majority of the common stock outstanding on the record date constitutes a quorum, permitting shareholders to take action at the meeting. On March 6, 2020, there were 62,143,706 shares outstanding of Martin Marietta’s common stock, $.01 par value per share.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Who will oversee the voting results?</w:t>
      </w:r>
    </w:p>
    <w:p>
      <w:pPr>
        <w:spacing w:after="0" w:line="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or such other person as appointed by the Chairman of the Board if a representative of American Stock Transfer &amp; Trust Company is unable to attend the Annual Meeting.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 I vote?</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have four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w:t>
      </w:r>
    </w:p>
    <w:p>
      <w:pPr>
        <w:spacing w:after="0" w:line="64" w:lineRule="exact"/>
        <w:rPr>
          <w:sz w:val="20"/>
          <w:szCs w:val="20"/>
          <w:color w:val="auto"/>
        </w:rPr>
      </w:pPr>
    </w:p>
    <w:p>
      <w:pPr>
        <w:ind w:left="360" w:right="20" w:hanging="288"/>
        <w:spacing w:after="0" w:line="254" w:lineRule="auto"/>
        <w:tabs>
          <w:tab w:leader="none" w:pos="360" w:val="left"/>
        </w:tabs>
        <w:numPr>
          <w:ilvl w:val="0"/>
          <w:numId w:val="179"/>
        </w:numPr>
        <w:rPr>
          <w:rFonts w:ascii="Arial" w:cs="Arial" w:eastAsia="Arial" w:hAnsi="Arial"/>
          <w:sz w:val="16"/>
          <w:szCs w:val="16"/>
          <w:color w:val="007CBA"/>
        </w:rPr>
      </w:pPr>
      <w:r>
        <w:rPr>
          <w:rFonts w:ascii="Arial" w:cs="Arial" w:eastAsia="Arial" w:hAnsi="Arial"/>
          <w:sz w:val="16"/>
          <w:szCs w:val="16"/>
          <w:color w:val="auto"/>
        </w:rPr>
        <w:t>over the Internet at the internet address shown on the enclosed proxy card;</w:t>
      </w:r>
    </w:p>
    <w:p>
      <w:pPr>
        <w:spacing w:after="0" w:line="63" w:lineRule="exact"/>
        <w:rPr>
          <w:rFonts w:ascii="Arial" w:cs="Arial" w:eastAsia="Arial" w:hAnsi="Arial"/>
          <w:sz w:val="16"/>
          <w:szCs w:val="16"/>
          <w:color w:val="007CBA"/>
        </w:rPr>
      </w:pPr>
    </w:p>
    <w:p>
      <w:pPr>
        <w:ind w:left="360" w:hanging="288"/>
        <w:spacing w:after="0"/>
        <w:tabs>
          <w:tab w:leader="none" w:pos="360" w:val="left"/>
        </w:tabs>
        <w:numPr>
          <w:ilvl w:val="0"/>
          <w:numId w:val="179"/>
        </w:numPr>
        <w:rPr>
          <w:rFonts w:ascii="Arial" w:cs="Arial" w:eastAsia="Arial" w:hAnsi="Arial"/>
          <w:sz w:val="16"/>
          <w:szCs w:val="16"/>
          <w:color w:val="007CBA"/>
        </w:rPr>
      </w:pPr>
      <w:r>
        <w:rPr>
          <w:rFonts w:ascii="Arial" w:cs="Arial" w:eastAsia="Arial" w:hAnsi="Arial"/>
          <w:sz w:val="16"/>
          <w:szCs w:val="16"/>
          <w:color w:val="auto"/>
        </w:rPr>
        <w:t>by telephone through the number shown on the enclosed proxy card;</w:t>
      </w:r>
    </w:p>
    <w:p>
      <w:pPr>
        <w:spacing w:after="0" w:line="82" w:lineRule="exact"/>
        <w:rPr>
          <w:rFonts w:ascii="Arial" w:cs="Arial" w:eastAsia="Arial" w:hAnsi="Arial"/>
          <w:sz w:val="16"/>
          <w:szCs w:val="16"/>
          <w:color w:val="007CBA"/>
        </w:rPr>
      </w:pPr>
    </w:p>
    <w:p>
      <w:pPr>
        <w:ind w:left="360" w:right="20" w:hanging="288"/>
        <w:spacing w:after="0" w:line="254" w:lineRule="auto"/>
        <w:tabs>
          <w:tab w:leader="none" w:pos="360" w:val="left"/>
        </w:tabs>
        <w:numPr>
          <w:ilvl w:val="0"/>
          <w:numId w:val="179"/>
        </w:numPr>
        <w:rPr>
          <w:rFonts w:ascii="Arial" w:cs="Arial" w:eastAsia="Arial" w:hAnsi="Arial"/>
          <w:sz w:val="16"/>
          <w:szCs w:val="16"/>
          <w:color w:val="007CBA"/>
        </w:rPr>
      </w:pPr>
      <w:r>
        <w:rPr>
          <w:rFonts w:ascii="Arial" w:cs="Arial" w:eastAsia="Arial" w:hAnsi="Arial"/>
          <w:sz w:val="16"/>
          <w:szCs w:val="16"/>
          <w:color w:val="auto"/>
        </w:rPr>
        <w:t>by completing, signing, dating and returning the enclosed proxy card by mail; or</w:t>
      </w:r>
    </w:p>
    <w:p>
      <w:pPr>
        <w:spacing w:after="0" w:line="63" w:lineRule="exact"/>
        <w:rPr>
          <w:rFonts w:ascii="Arial" w:cs="Arial" w:eastAsia="Arial" w:hAnsi="Arial"/>
          <w:sz w:val="16"/>
          <w:szCs w:val="16"/>
          <w:color w:val="007CBA"/>
        </w:rPr>
      </w:pPr>
    </w:p>
    <w:p>
      <w:pPr>
        <w:ind w:left="360" w:hanging="288"/>
        <w:spacing w:after="0"/>
        <w:tabs>
          <w:tab w:leader="none" w:pos="360" w:val="left"/>
        </w:tabs>
        <w:numPr>
          <w:ilvl w:val="0"/>
          <w:numId w:val="179"/>
        </w:numPr>
        <w:rPr>
          <w:rFonts w:ascii="Arial" w:cs="Arial" w:eastAsia="Arial" w:hAnsi="Arial"/>
          <w:sz w:val="16"/>
          <w:szCs w:val="16"/>
          <w:color w:val="007CBA"/>
        </w:rPr>
      </w:pPr>
      <w:r>
        <w:rPr>
          <w:rFonts w:ascii="Arial" w:cs="Arial" w:eastAsia="Arial" w:hAnsi="Arial"/>
          <w:sz w:val="16"/>
          <w:szCs w:val="16"/>
          <w:color w:val="auto"/>
        </w:rPr>
        <w:t>in person at the meeting.</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Even if you plan to attend the meeting, we encourage you to vote your shares by submitting your proxy. If you choose to vote your shares at the meeting, please bring proof of stock ownership and proof of your identity for entrance to the meeting.</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Martin Marietta shares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name,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can I do if I change my mind after I vote my shares?</w:t>
      </w:r>
    </w:p>
    <w:p>
      <w:pPr>
        <w:spacing w:after="0" w:line="2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Even if you have submitted your vote, you may revoke your proxy and change your vote at any time before voting begins at the Annual Meeting.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may change their votes</w:t>
      </w:r>
      <w:r>
        <w:rPr>
          <w:rFonts w:ascii="Arial" w:cs="Arial" w:eastAsia="Arial" w:hAnsi="Arial"/>
          <w:sz w:val="16"/>
          <w:szCs w:val="16"/>
          <w:i w:val="1"/>
          <w:iCs w:val="1"/>
          <w:color w:val="auto"/>
        </w:rPr>
        <w:t xml:space="preserve"> </w:t>
      </w:r>
      <w:r>
        <w:rPr>
          <w:rFonts w:ascii="Arial" w:cs="Arial" w:eastAsia="Arial" w:hAnsi="Arial"/>
          <w:sz w:val="16"/>
          <w:szCs w:val="16"/>
          <w:color w:val="auto"/>
        </w:rPr>
        <w:t>in one of two ways:</w:t>
      </w:r>
    </w:p>
    <w:p>
      <w:pPr>
        <w:spacing w:after="0" w:line="47" w:lineRule="exact"/>
        <w:rPr>
          <w:sz w:val="20"/>
          <w:szCs w:val="20"/>
          <w:color w:val="auto"/>
        </w:rPr>
      </w:pPr>
    </w:p>
    <w:p>
      <w:pPr>
        <w:ind w:left="360" w:right="20" w:hanging="288"/>
        <w:spacing w:after="0" w:line="254" w:lineRule="auto"/>
        <w:tabs>
          <w:tab w:leader="none" w:pos="360" w:val="left"/>
        </w:tabs>
        <w:numPr>
          <w:ilvl w:val="0"/>
          <w:numId w:val="180"/>
        </w:numPr>
        <w:rPr>
          <w:rFonts w:ascii="Arial" w:cs="Arial" w:eastAsia="Arial" w:hAnsi="Arial"/>
          <w:sz w:val="16"/>
          <w:szCs w:val="16"/>
          <w:color w:val="007CBA"/>
        </w:rPr>
      </w:pPr>
      <w:r>
        <w:rPr>
          <w:rFonts w:ascii="Arial" w:cs="Arial" w:eastAsia="Arial" w:hAnsi="Arial"/>
          <w:sz w:val="16"/>
          <w:szCs w:val="16"/>
          <w:color w:val="auto"/>
        </w:rPr>
        <w:t>by voting on a later date by telephone or over the Internet (only your last dated proxy card or telephone or Internet vote is counted); or</w:t>
      </w:r>
    </w:p>
    <w:p>
      <w:pPr>
        <w:spacing w:after="0" w:line="63" w:lineRule="exact"/>
        <w:rPr>
          <w:rFonts w:ascii="Arial" w:cs="Arial" w:eastAsia="Arial" w:hAnsi="Arial"/>
          <w:sz w:val="16"/>
          <w:szCs w:val="16"/>
          <w:color w:val="007CBA"/>
        </w:rPr>
      </w:pPr>
    </w:p>
    <w:p>
      <w:pPr>
        <w:jc w:val="both"/>
        <w:ind w:left="360" w:right="20" w:hanging="288"/>
        <w:spacing w:after="0" w:line="247" w:lineRule="auto"/>
        <w:tabs>
          <w:tab w:leader="none" w:pos="360" w:val="left"/>
        </w:tabs>
        <w:numPr>
          <w:ilvl w:val="0"/>
          <w:numId w:val="180"/>
        </w:numPr>
        <w:rPr>
          <w:rFonts w:ascii="Arial" w:cs="Arial" w:eastAsia="Arial" w:hAnsi="Arial"/>
          <w:sz w:val="16"/>
          <w:szCs w:val="16"/>
          <w:color w:val="007CBA"/>
        </w:rPr>
      </w:pPr>
      <w:r>
        <w:rPr>
          <w:rFonts w:ascii="Arial" w:cs="Arial" w:eastAsia="Arial" w:hAnsi="Arial"/>
          <w:sz w:val="16"/>
          <w:szCs w:val="16"/>
          <w:color w:val="auto"/>
        </w:rPr>
        <w:t>by delivering a later dated proxy card to our Secretary, either prior to or at the meeting; or by voting your shares in person at the meeting. In order to vote your shares at the meeting, you must specifically revoke a previously submitted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338455</wp:posOffset>
            </wp:positionV>
            <wp:extent cx="406400" cy="2451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107" w:lineRule="exact"/>
        <w:rPr>
          <w:sz w:val="20"/>
          <w:szCs w:val="20"/>
          <w:color w:val="auto"/>
        </w:rPr>
      </w:pPr>
    </w:p>
    <w:tbl>
      <w:tblPr>
        <w:tblLayout w:type="fixed"/>
        <w:tblInd w:w="912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71</w:t>
            </w:r>
          </w:p>
        </w:tc>
      </w:tr>
    </w:tbl>
    <w:p>
      <w:pPr>
        <w:sectPr>
          <w:pgSz w:w="11900" w:h="16838" w:orient="portrait"/>
          <w:cols w:equalWidth="0" w:num="1">
            <w:col w:w="11060"/>
          </w:cols>
          <w:pgMar w:left="320" w:top="455" w:right="51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520" w:hanging="260"/>
        <w:spacing w:after="0"/>
        <w:tabs>
          <w:tab w:leader="none" w:pos="520" w:val="left"/>
        </w:tabs>
        <w:numPr>
          <w:ilvl w:val="0"/>
          <w:numId w:val="181"/>
        </w:numPr>
        <w:rPr>
          <w:rFonts w:ascii="MS PGothic" w:cs="MS PGothic" w:eastAsia="MS PGothic" w:hAnsi="MS PGothic"/>
          <w:sz w:val="25"/>
          <w:szCs w:val="25"/>
          <w:color w:val="007CBA"/>
        </w:rPr>
      </w:pPr>
      <w:r>
        <w:rPr>
          <w:rFonts w:ascii="Arial" w:cs="Arial" w:eastAsia="Arial" w:hAnsi="Arial"/>
          <w:sz w:val="13"/>
          <w:szCs w:val="13"/>
          <w:color w:val="007CBA"/>
        </w:rPr>
        <w:t>Annual Meeting and Voting Information</w:t>
      </w:r>
    </w:p>
    <w:p>
      <w:pPr>
        <w:spacing w:after="0" w:line="200" w:lineRule="exact"/>
        <w:rPr>
          <w:sz w:val="20"/>
          <w:szCs w:val="20"/>
          <w:color w:val="auto"/>
        </w:rPr>
      </w:pPr>
    </w:p>
    <w:p>
      <w:pPr>
        <w:spacing w:after="0" w:line="226"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shares in street name, you</w:t>
      </w:r>
      <w:r>
        <w:rPr>
          <w:rFonts w:ascii="Arial" w:cs="Arial" w:eastAsia="Arial" w:hAnsi="Arial"/>
          <w:sz w:val="16"/>
          <w:szCs w:val="16"/>
          <w:i w:val="1"/>
          <w:iCs w:val="1"/>
          <w:color w:val="auto"/>
        </w:rPr>
        <w:t xml:space="preserve"> </w:t>
      </w:r>
      <w:r>
        <w:rPr>
          <w:rFonts w:ascii="Arial" w:cs="Arial" w:eastAsia="Arial" w:hAnsi="Arial"/>
          <w:sz w:val="16"/>
          <w:szCs w:val="16"/>
          <w:color w:val="auto"/>
        </w:rPr>
        <w:t>should contact your bank, broker or other nominee to find out how to revoke your proxy.</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How do I vote my 401(k) shares?</w:t>
      </w:r>
    </w:p>
    <w:p>
      <w:pPr>
        <w:spacing w:after="0" w:line="2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47" w:lineRule="exact"/>
        <w:rPr>
          <w:sz w:val="20"/>
          <w:szCs w:val="20"/>
          <w:color w:val="auto"/>
        </w:rPr>
      </w:pPr>
    </w:p>
    <w:p>
      <w:pPr>
        <w:ind w:left="200" w:right="720"/>
        <w:spacing w:after="0" w:line="255" w:lineRule="auto"/>
        <w:rPr>
          <w:sz w:val="20"/>
          <w:szCs w:val="20"/>
          <w:color w:val="auto"/>
        </w:rPr>
      </w:pPr>
      <w:r>
        <w:rPr>
          <w:rFonts w:ascii="Arial" w:cs="Arial" w:eastAsia="Arial" w:hAnsi="Arial"/>
          <w:sz w:val="16"/>
          <w:szCs w:val="16"/>
          <w:b w:val="1"/>
          <w:bCs w:val="1"/>
          <w:i w:val="1"/>
          <w:iCs w:val="1"/>
          <w:color w:val="007CBA"/>
        </w:rPr>
        <w:t>Will my broker vote my shares for me if I do not give voting instructions? What are “broker non-votes”?</w:t>
      </w:r>
    </w:p>
    <w:p>
      <w:pPr>
        <w:jc w:val="both"/>
        <w:ind w:left="200"/>
        <w:spacing w:after="0" w:line="244"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NYSE rules preclude brokers from exercising their voting discretion on certain proposals, such as the election of Directors and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What vote is required to approve each item?</w:t>
      </w:r>
    </w:p>
    <w:p>
      <w:pPr>
        <w:spacing w:after="0" w:line="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6"/>
          <w:szCs w:val="16"/>
          <w:i w:val="1"/>
          <w:iCs w:val="1"/>
          <w:color w:val="auto"/>
        </w:rPr>
        <w:t>i.e.</w:t>
      </w:r>
      <w:r>
        <w:rPr>
          <w:rFonts w:ascii="Arial" w:cs="Arial" w:eastAsia="Arial" w:hAnsi="Arial"/>
          <w:sz w:val="16"/>
          <w:szCs w:val="16"/>
          <w:color w:val="auto"/>
        </w:rPr>
        <w:t>, an election where the only nominees are those proposed by our Board of Directors, such as at the 2020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8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Under North Carolina law, if an incumbent director is not re-elected at an Annual Meeting, then, even though his or her term has expired, the incumbent director continues to serve in office as a holdover director until his or her successor is elected or until there is a decrease in the number of directors.</w:t>
      </w:r>
    </w:p>
    <w:p>
      <w:pPr>
        <w:spacing w:after="0" w:line="163"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North Carolina law further provides that if the shareholders fail to elect the full authorized number of directors, a board of directors</w:t>
      </w:r>
    </w:p>
    <w:p>
      <w:pPr>
        <w:spacing w:after="0" w:line="309" w:lineRule="exact"/>
        <w:rPr>
          <w:sz w:val="20"/>
          <w:szCs w:val="20"/>
          <w:color w:val="auto"/>
        </w:rPr>
      </w:pPr>
    </w:p>
    <w:p>
      <w:pPr>
        <w:ind w:left="620" w:hanging="433"/>
        <w:spacing w:after="0"/>
        <w:tabs>
          <w:tab w:leader="none" w:pos="620" w:val="left"/>
        </w:tabs>
        <w:numPr>
          <w:ilvl w:val="0"/>
          <w:numId w:val="182"/>
        </w:numPr>
        <w:rPr>
          <w:rFonts w:ascii="Arial" w:cs="Arial" w:eastAsia="Arial" w:hAnsi="Arial"/>
          <w:sz w:val="12"/>
          <w:szCs w:val="12"/>
          <w:b w:val="1"/>
          <w:bCs w:val="1"/>
          <w:color w:val="auto"/>
        </w:rPr>
      </w:pPr>
      <w:r>
        <w:rPr>
          <w:rFonts w:ascii="Arial" w:cs="Arial" w:eastAsia="Arial" w:hAnsi="Arial"/>
          <w:sz w:val="12"/>
          <w:szCs w:val="12"/>
          <w:color w:val="007CBA"/>
        </w:rPr>
        <w:t>2020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-1581150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ratification of the selection of independent auditors, the advisory vote to approve the compensation of the named executive officers, and any other proposal presented at the meeting, will be approved if more votes are cast by proxy or in person in favor of the proposal than are cast against it.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Abstentions and broker non-votes, if any, will not be counted “for” or “against” any of these proposals.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is required to attend the meeting?</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Attendance at the Annual Meeting will be limited to our shareholders as of the record date of March 6, 2020 and their proxies. If you are a shareholder and plan to attend the Annual Meeting and your shares are held in street name (for example, if your shares are held through an account maintained by a bank or securities broker), you must present evidence of your stock ownership as of March 6, 2020 in order to be admitted to the Annual Meeting. You can obtain this evidence from your bank or brokerage firm. If your shares are held in street name as of March 6, 2020 and you intend to vote your shares at the Annual Meeting, you must also request a legal proxy appointment from your bank, broker or other nominee and present that proxy appointment at the Annual Meeting’s registration desk. Whether you are a registered shareholder, your shares are held in street name, or you are a duly authorized proxy for a shareholder, a government-issued identification will be required to obtain admittance to the Annual Meeting.</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speak to almost all of our largest shareholders each year and we rarely have any shareholders in attendance at our shareholders’ meetings. In addition, the proposals to be considered at the 2020 Annual Meeting are routine. For these reasons, we currently intend to hold the Annual Meeting in person. We are actively monitoring developments regarding COVID-19 and are sensitive to public health concerns and the protocols that federal, state, and local governments may impose. In the event that alternative arrangements for the Annual Meeting are required, we intend to promptly advise our shareholders. Please monitor our website, https://ir.martinmarietta.com/events-presentations, for updated information if you are planning to attend the Annual Meeting. To assist with logistical planning for the Annual Meeting, we request that shareholders planning on attending the Annual Meeting notify us by email at corporatesecretary@martinmarietta.com. Providing such notice is not required for attendance at the Annual Meeting and is requested solely to assist in our planning.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voting results for the Annual Meeting?</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533400</wp:posOffset>
            </wp:positionV>
            <wp:extent cx="406400" cy="2451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ectPr>
          <w:pgSz w:w="11900" w:h="16838" w:orient="portrait"/>
          <w:cols w:equalWidth="0" w:num="2">
            <w:col w:w="5400" w:space="340"/>
            <w:col w:w="5320"/>
          </w:cols>
          <w:pgMar w:left="320" w:top="455"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jc w:val="right"/>
        <w:ind w:right="80"/>
        <w:spacing w:after="0" w:line="276" w:lineRule="exact"/>
        <w:rPr>
          <w:sz w:val="20"/>
          <w:szCs w:val="20"/>
          <w:color w:val="auto"/>
        </w:rPr>
      </w:pPr>
      <w:r>
        <w:rPr>
          <w:rFonts w:ascii="Arial" w:cs="Arial" w:eastAsia="Arial" w:hAnsi="Arial"/>
          <w:sz w:val="13"/>
          <w:szCs w:val="13"/>
          <w:color w:val="007CBA"/>
        </w:rPr>
        <w:t xml:space="preserve">Annual Meeting and Voting Information </w:t>
      </w:r>
      <w:r>
        <w:rPr>
          <w:rFonts w:ascii="MS PGothic" w:cs="MS PGothic" w:eastAsia="MS PGothic" w:hAnsi="MS PGothic"/>
          <w:sz w:val="24"/>
          <w:szCs w:val="24"/>
          <w:color w:val="007CBA"/>
        </w:rPr>
        <w:t>◆</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7CBA"/>
        </w:rPr>
        <w:t>Where can I find out more information about Martin Marietta?</w:t>
      </w:r>
    </w:p>
    <w:p>
      <w:pPr>
        <w:spacing w:after="0" w:line="21"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as well as our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are all available through the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Alternatively, </w:t>
      </w:r>
      <w:r>
        <w:rPr>
          <w:rFonts w:ascii="Arial" w:cs="Arial" w:eastAsia="Arial" w:hAnsi="Arial"/>
          <w:sz w:val="16"/>
          <w:szCs w:val="16"/>
          <w:b w:val="1"/>
          <w:bCs w:val="1"/>
          <w:i w:val="1"/>
          <w:iCs w:val="1"/>
          <w:color w:val="auto"/>
        </w:rPr>
        <w:t>our shareholders and other interested parties may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obtain, without charge, copies of all of these documents by writing to the Corporate Secretary, Martin Marietta, 2710 Wycliff Road, Raleigh, NC 27607</w:t>
      </w:r>
      <w:r>
        <w:rPr>
          <w:rFonts w:ascii="Arial" w:cs="Arial" w:eastAsia="Arial" w:hAnsi="Arial"/>
          <w:sz w:val="16"/>
          <w:szCs w:val="16"/>
          <w:color w:val="auto"/>
        </w:rPr>
        <w:t>. Please note that the information contained on Martin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Marietta’s website is not incorporated by reference in, or considered to be a part of, this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is paying for this proxy statement?</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 paid to such individuals. Martin Marietta will use the services of Morrow Sodali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w:t>
      </w:r>
    </w:p>
    <w:p>
      <w:pPr>
        <w:spacing w:after="0" w:line="387"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42"/>
          <w:szCs w:val="42"/>
          <w:color w:val="auto"/>
        </w:rPr>
        <w:t>Incorporation by Reference</w:t>
      </w:r>
    </w:p>
    <w:p>
      <w:pPr>
        <w:sectPr>
          <w:pgSz w:w="11900" w:h="16838" w:orient="portrait"/>
          <w:cols w:equalWidth="0" w:num="1">
            <w:col w:w="11060"/>
          </w:cols>
          <w:pgMar w:left="320" w:top="455" w:right="51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Audit Committee Report beginning on page 32 and the Management Development and Compensation Committee Report beginning on page 33 do not constitute soliciting material and should not be deemed filed or incorporated by reference into any other filing by Martin Marietta under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200" w:lineRule="exact"/>
        <w:rPr>
          <w:sz w:val="20"/>
          <w:szCs w:val="20"/>
          <w:color w:val="auto"/>
        </w:rPr>
      </w:pPr>
    </w:p>
    <w:p>
      <w:pPr>
        <w:sectPr>
          <w:pgSz w:w="11900" w:h="16838" w:orient="portrait"/>
          <w:cols w:equalWidth="0" w:num="2">
            <w:col w:w="5400" w:space="340"/>
            <w:col w:w="532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20"/>
        <w:spacing w:after="0"/>
        <w:rPr>
          <w:sz w:val="20"/>
          <w:szCs w:val="20"/>
          <w:color w:val="auto"/>
        </w:rPr>
      </w:pPr>
      <w:r>
        <w:rPr>
          <w:rFonts w:ascii="Arial" w:cs="Arial" w:eastAsia="Arial" w:hAnsi="Arial"/>
          <w:sz w:val="42"/>
          <w:szCs w:val="42"/>
          <w:color w:val="auto"/>
        </w:rPr>
        <w:t>Shareholders’ Proposals for 2021 Annual Meeting</w:t>
      </w:r>
    </w:p>
    <w:p>
      <w:pPr>
        <w:sectPr>
          <w:pgSz w:w="11900" w:h="16838" w:orient="portrait"/>
          <w:cols w:equalWidth="0" w:num="1">
            <w:col w:w="11060"/>
          </w:cols>
          <w:pgMar w:left="320" w:top="455" w:right="51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Proposals by shareholders intended to be presented at the 2021 Annual Meeting of Shareholders of Martin Marietta must be received by the Secretary of Martin Marietta no later than December 18, 2020 in order to be included in the proxy statement and on the proxy card that will be solicited by the Board of Directors in connection with that meeting. The inclusion of any proposal will be subject to applicable rules of the SEC. In addition, the Bylaws of Martin Marietta establish an advance notice requirement for any proposal of business to be considered at an Annual Meeting,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2021 Annual Meeting, proposals must be received by the Secretary of Martin Marietta no earlier than January 16, 2021 and no later than February 15, 2021. Any waiver by Martin Marietta of these requirements with respect to the submission of a particular shareholder proposal shall not constitute a waiver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with respect to the submission of any other shareholder proposal nor shall it obligate Martin Marietta to waive these requirements with respect to future submissions of the shareholder proposal or any other shareholder proposal. Our Bylaws provide a proxy access right to permit a shareholder, or a group of up to 20 shareholders, owning at least 3% of our outstanding common stock continuously for at least three years, to nominate and include in our proxy materials director nominees constituting up to 25% of the Board of Directors or two Directors, whichever is greater, provided that the shareholder(s) and the nominee(s) satisfy the requirements specified in our Bylaws. Under our Bylaws, compliant notice of proxy access Director nominations for the 2020 Annual Meeting must be submitted to the Secretary no earlier than November 17, 2020 and no later than December 17, 2020. The notice must contain the information required by the Bylaws. Any shareholder desiring a copy of the Bylaws of Martin Marietta will be furnished one without charge upon written request to the Secretary of Martin Marietta at its principal executive office, 2710 Wycliff Road, Raleigh, North Carolina 27607.</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MARTIN MARIETTA MATERIALS,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April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186690</wp:posOffset>
            </wp:positionV>
            <wp:extent cx="406400" cy="2451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94" w:lineRule="exact"/>
        <w:rPr>
          <w:sz w:val="20"/>
          <w:szCs w:val="20"/>
          <w:color w:val="auto"/>
        </w:rPr>
      </w:pPr>
    </w:p>
    <w:tbl>
      <w:tblPr>
        <w:tblLayout w:type="fixed"/>
        <w:tblInd w:w="3380" w:type="dxa"/>
        <w:tblCellMar>
          <w:top w:w="0" w:type="dxa"/>
          <w:left w:w="0" w:type="dxa"/>
          <w:bottom w:w="0" w:type="dxa"/>
          <w:right w:w="0" w:type="dxa"/>
        </w:tblCellMar>
      </w:tblPr>
      <w:tr>
        <w:trPr>
          <w:trHeight w:val="163"/>
        </w:trPr>
        <w:tc>
          <w:tcPr>
            <w:tcW w:w="1660" w:type="dxa"/>
            <w:vAlign w:val="bottom"/>
          </w:tcPr>
          <w:p>
            <w:pPr>
              <w:spacing w:after="0"/>
              <w:rPr>
                <w:sz w:val="20"/>
                <w:szCs w:val="20"/>
                <w:color w:val="auto"/>
              </w:rPr>
            </w:pPr>
            <w:r>
              <w:rPr>
                <w:rFonts w:ascii="Arial" w:cs="Arial" w:eastAsia="Arial" w:hAnsi="Arial"/>
                <w:sz w:val="12"/>
                <w:szCs w:val="12"/>
                <w:color w:val="007CBA"/>
              </w:rPr>
              <w:t>2020 PROXY STATEMENT</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73</w:t>
            </w:r>
          </w:p>
        </w:tc>
      </w:tr>
    </w:tbl>
    <w:p>
      <w:pPr>
        <w:sectPr>
          <w:pgSz w:w="11900" w:h="16838" w:orient="portrait"/>
          <w:cols w:equalWidth="0" w:num="2">
            <w:col w:w="5400" w:space="340"/>
            <w:col w:w="5320"/>
          </w:cols>
          <w:pgMar w:left="320" w:top="455" w:right="51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Appendix A</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7CBA"/>
        </w:rPr>
        <w:t>MARTIN MARIETTA</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007CBA"/>
        </w:rPr>
        <w:t>GUIDELINES FOR POTENTIAL NEW BOARD MEMBERS</w:t>
      </w:r>
    </w:p>
    <w:p>
      <w:pPr>
        <w:sectPr>
          <w:pgSz w:w="11900" w:h="16838" w:orient="portrait"/>
          <w:cols w:equalWidth="0" w:num="1">
            <w:col w:w="11060"/>
          </w:cols>
          <w:pgMar w:left="320" w:top="455" w:right="519" w:bottom="1440" w:gutter="0" w:footer="0" w:header="0"/>
        </w:sectPr>
      </w:pPr>
    </w:p>
    <w:p>
      <w:pPr>
        <w:spacing w:after="0" w:line="295"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i w:val="1"/>
          <w:iCs w:val="1"/>
          <w:u w:val="single" w:color="auto"/>
          <w:color w:val="auto"/>
        </w:rPr>
        <w:t>Preamble</w:t>
      </w:r>
      <w:r>
        <w:rPr>
          <w:rFonts w:ascii="Arial" w:cs="Arial" w:eastAsia="Arial" w:hAnsi="Arial"/>
          <w:sz w:val="16"/>
          <w:szCs w:val="16"/>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7" w:lineRule="exact"/>
        <w:rPr>
          <w:sz w:val="20"/>
          <w:szCs w:val="20"/>
          <w:color w:val="auto"/>
        </w:rPr>
      </w:pPr>
    </w:p>
    <w:p>
      <w:pPr>
        <w:ind w:left="500" w:right="20" w:hanging="307"/>
        <w:spacing w:after="0" w:line="254" w:lineRule="auto"/>
        <w:tabs>
          <w:tab w:leader="none" w:pos="5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Candidates should have a long-term history of the highest integrity and should ascribe fully to the ethics program of Martin Marietta.</w:t>
      </w:r>
    </w:p>
    <w:p>
      <w:pPr>
        <w:spacing w:after="0" w:line="103" w:lineRule="exact"/>
        <w:rPr>
          <w:rFonts w:ascii="Arial" w:cs="Arial" w:eastAsia="Arial" w:hAnsi="Arial"/>
          <w:sz w:val="16"/>
          <w:szCs w:val="16"/>
          <w:color w:val="auto"/>
        </w:rPr>
      </w:pPr>
    </w:p>
    <w:p>
      <w:pPr>
        <w:jc w:val="both"/>
        <w:ind w:left="500" w:hanging="307"/>
        <w:spacing w:after="0" w:line="249" w:lineRule="auto"/>
        <w:tabs>
          <w:tab w:leader="none" w:pos="5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if they are still active in their careers.</w:t>
      </w:r>
    </w:p>
    <w:p>
      <w:pPr>
        <w:spacing w:after="0" w:line="107" w:lineRule="exact"/>
        <w:rPr>
          <w:rFonts w:ascii="Arial" w:cs="Arial" w:eastAsia="Arial" w:hAnsi="Arial"/>
          <w:sz w:val="16"/>
          <w:szCs w:val="16"/>
          <w:color w:val="auto"/>
        </w:rPr>
      </w:pPr>
    </w:p>
    <w:p>
      <w:pPr>
        <w:ind w:left="500" w:right="20" w:hanging="307"/>
        <w:spacing w:after="0" w:line="254" w:lineRule="auto"/>
        <w:tabs>
          <w:tab w:leader="none" w:pos="5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Consideration should be given to matching the geographic base of the candidate with the geographic coverage of Martin Marietta.</w:t>
      </w:r>
    </w:p>
    <w:p>
      <w:pPr>
        <w:spacing w:after="0" w:line="103" w:lineRule="exact"/>
        <w:rPr>
          <w:rFonts w:ascii="Arial" w:cs="Arial" w:eastAsia="Arial" w:hAnsi="Arial"/>
          <w:sz w:val="16"/>
          <w:szCs w:val="16"/>
          <w:color w:val="auto"/>
        </w:rPr>
      </w:pPr>
    </w:p>
    <w:p>
      <w:pPr>
        <w:jc w:val="both"/>
        <w:ind w:left="500" w:right="20" w:hanging="307"/>
        <w:spacing w:after="0" w:line="247" w:lineRule="auto"/>
        <w:tabs>
          <w:tab w:leader="none" w:pos="5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108" w:lineRule="exact"/>
        <w:rPr>
          <w:rFonts w:ascii="Arial" w:cs="Arial" w:eastAsia="Arial" w:hAnsi="Arial"/>
          <w:sz w:val="16"/>
          <w:szCs w:val="16"/>
          <w:color w:val="auto"/>
        </w:rPr>
      </w:pPr>
    </w:p>
    <w:p>
      <w:pPr>
        <w:jc w:val="both"/>
        <w:ind w:left="500" w:hanging="307"/>
        <w:spacing w:after="0" w:line="249" w:lineRule="auto"/>
        <w:tabs>
          <w:tab w:leader="none" w:pos="5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Martin Marietta.</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both"/>
        <w:ind w:left="323" w:right="20" w:hanging="239"/>
        <w:spacing w:after="0" w:line="245" w:lineRule="auto"/>
        <w:tabs>
          <w:tab w:leader="none" w:pos="32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left="323" w:right="20" w:hanging="239"/>
        <w:spacing w:after="0" w:line="245" w:lineRule="auto"/>
        <w:tabs>
          <w:tab w:leader="none" w:pos="32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12" w:lineRule="exact"/>
        <w:rPr>
          <w:rFonts w:ascii="Arial" w:cs="Arial" w:eastAsia="Arial" w:hAnsi="Arial"/>
          <w:sz w:val="16"/>
          <w:szCs w:val="16"/>
          <w:color w:val="auto"/>
        </w:rPr>
      </w:pPr>
    </w:p>
    <w:p>
      <w:pPr>
        <w:jc w:val="both"/>
        <w:ind w:left="323" w:right="20" w:hanging="239"/>
        <w:spacing w:after="0" w:line="245" w:lineRule="auto"/>
        <w:tabs>
          <w:tab w:leader="none" w:pos="32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112" w:lineRule="exact"/>
        <w:rPr>
          <w:rFonts w:ascii="Arial" w:cs="Arial" w:eastAsia="Arial" w:hAnsi="Arial"/>
          <w:sz w:val="16"/>
          <w:szCs w:val="16"/>
          <w:color w:val="auto"/>
        </w:rPr>
      </w:pPr>
    </w:p>
    <w:p>
      <w:pPr>
        <w:ind w:left="323" w:hanging="239"/>
        <w:spacing w:after="0"/>
        <w:tabs>
          <w:tab w:leader="none" w:pos="32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Public company experience is highly desirable.</w:t>
      </w:r>
    </w:p>
    <w:p>
      <w:pPr>
        <w:spacing w:after="0" w:line="122" w:lineRule="exact"/>
        <w:rPr>
          <w:rFonts w:ascii="Arial" w:cs="Arial" w:eastAsia="Arial" w:hAnsi="Arial"/>
          <w:sz w:val="16"/>
          <w:szCs w:val="16"/>
          <w:color w:val="auto"/>
        </w:rPr>
      </w:pPr>
    </w:p>
    <w:p>
      <w:pPr>
        <w:jc w:val="both"/>
        <w:ind w:left="323" w:right="20" w:hanging="323"/>
        <w:spacing w:after="0" w:line="249" w:lineRule="auto"/>
        <w:tabs>
          <w:tab w:leader="none" w:pos="32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Candidates from education or nonprofit organizations will be considered where there is a specific priority need identified by the Board and where such a candidate can add value.</w:t>
      </w:r>
    </w:p>
    <w:p>
      <w:pPr>
        <w:spacing w:after="0" w:line="107" w:lineRule="exact"/>
        <w:rPr>
          <w:rFonts w:ascii="Arial" w:cs="Arial" w:eastAsia="Arial" w:hAnsi="Arial"/>
          <w:sz w:val="16"/>
          <w:szCs w:val="16"/>
          <w:color w:val="auto"/>
        </w:rPr>
      </w:pPr>
    </w:p>
    <w:p>
      <w:pPr>
        <w:jc w:val="both"/>
        <w:ind w:left="323" w:right="20" w:hanging="323"/>
        <w:spacing w:after="0" w:line="249" w:lineRule="auto"/>
        <w:tabs>
          <w:tab w:leader="none" w:pos="32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Board candidates ideally would serve on no more than three for-profit boards inclusive of Martin Marietta Materials to assure adequate time to discharge the duties of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650875</wp:posOffset>
            </wp:positionV>
            <wp:extent cx="406400" cy="2451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946" w:lineRule="exact"/>
        <w:rPr>
          <w:sz w:val="20"/>
          <w:szCs w:val="20"/>
          <w:color w:val="auto"/>
        </w:rPr>
      </w:pPr>
    </w:p>
    <w:p>
      <w:pPr>
        <w:sectPr>
          <w:pgSz w:w="11900" w:h="16838" w:orient="portrait"/>
          <w:cols w:equalWidth="0" w:num="2">
            <w:col w:w="5400" w:space="337"/>
            <w:col w:w="5323"/>
          </w:cols>
          <w:pgMar w:left="320" w:top="455" w:right="519" w:bottom="1440" w:gutter="0" w:footer="0" w:header="0"/>
          <w:type w:val="continuous"/>
        </w:sectPr>
      </w:pPr>
    </w:p>
    <w:p>
      <w:pPr>
        <w:spacing w:after="0" w:line="98" w:lineRule="exact"/>
        <w:rPr>
          <w:sz w:val="20"/>
          <w:szCs w:val="20"/>
          <w:color w:val="auto"/>
        </w:rPr>
      </w:pPr>
    </w:p>
    <w:p>
      <w:pPr>
        <w:ind w:left="9120"/>
        <w:spacing w:after="0"/>
        <w:tabs>
          <w:tab w:leader="none" w:pos="10840" w:val="left"/>
        </w:tabs>
        <w:rPr>
          <w:sz w:val="20"/>
          <w:szCs w:val="20"/>
          <w:color w:val="auto"/>
        </w:rPr>
      </w:pPr>
      <w:r>
        <w:rPr>
          <w:rFonts w:ascii="Arial" w:cs="Arial" w:eastAsia="Arial" w:hAnsi="Arial"/>
          <w:sz w:val="12"/>
          <w:szCs w:val="12"/>
          <w:color w:val="007CBA"/>
        </w:rPr>
        <w:t>2020 PROXY STATEMENT</w:t>
      </w:r>
      <w:r>
        <w:rPr>
          <w:sz w:val="20"/>
          <w:szCs w:val="20"/>
          <w:color w:val="auto"/>
        </w:rPr>
        <w:tab/>
      </w:r>
      <w:r>
        <w:rPr>
          <w:rFonts w:ascii="Arial" w:cs="Arial" w:eastAsia="Arial" w:hAnsi="Arial"/>
          <w:sz w:val="12"/>
          <w:szCs w:val="12"/>
          <w:b w:val="1"/>
          <w:bCs w:val="1"/>
          <w:color w:val="auto"/>
        </w:rPr>
        <w:t>A-1</w:t>
      </w:r>
    </w:p>
    <w:p>
      <w:pPr>
        <w:sectPr>
          <w:pgSz w:w="11900" w:h="16838" w:orient="portrait"/>
          <w:cols w:equalWidth="0" w:num="1">
            <w:col w:w="11060"/>
          </w:cols>
          <w:pgMar w:left="320" w:top="455" w:right="5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Appendix B</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07CBA"/>
        </w:rPr>
        <w:t>NON-GAAP MEASURES</w:t>
      </w:r>
    </w:p>
    <w:p>
      <w:pPr>
        <w:spacing w:after="0" w:line="249"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Non-GAAP financial measures disclosed by management are provided as additional information to investors in order to provide them with an alternative method for assessing our financial condition and operating results, and are often requested by investors. These measures are not in accordance with, or a substitute for, GAAP and may be different from or inconsistent with non-GAAP financial measures used by other companies. Adjusted EBITDA is an indicator used by the Company and investors to evaluate the Company’s operating performance period to period.</w:t>
      </w:r>
    </w:p>
    <w:p>
      <w:pPr>
        <w:spacing w:after="0" w:line="175" w:lineRule="exact"/>
        <w:rPr>
          <w:sz w:val="20"/>
          <w:szCs w:val="20"/>
          <w:color w:val="auto"/>
        </w:rPr>
      </w:pPr>
    </w:p>
    <w:p>
      <w:pPr>
        <w:jc w:val="both"/>
        <w:ind w:left="180"/>
        <w:spacing w:after="0" w:line="247"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is not defined by GAAP and, as such, should not be construed as an alternative to earnings from operations, net earnings or operating cash flow. Consolidated adjusted EBITDA excludes the impact of selling acquired inventory after its markup to fair value as part of acquisition accounting; acquisition-related expenses, net; and asset and portfolio rationalization charge.</w:t>
      </w:r>
    </w:p>
    <w:p>
      <w:pPr>
        <w:spacing w:after="0" w:line="162"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color w:val="auto"/>
        </w:rPr>
        <w:t>The following presents a reconciliation of net earnings attributable to Martin Marietta to consolidated adjusted EBITDA for the years ended December 31, 2019, 2018, and 2010.</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Consolidated adjusted EBITDA for year ended December 31:</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8040" w:type="dxa"/>
            <w:vAlign w:val="bottom"/>
            <w:tcBorders>
              <w:bottom w:val="single" w:sz="8" w:color="007CBA"/>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(dollars in millions)</w:t>
            </w:r>
          </w:p>
        </w:tc>
        <w:tc>
          <w:tcPr>
            <w:tcW w:w="200" w:type="dxa"/>
            <w:vAlign w:val="bottom"/>
            <w:tcBorders>
              <w:bottom w:val="single" w:sz="8" w:color="007CBA"/>
            </w:tcBorders>
            <w:shd w:val="clear" w:color="auto" w:fill="007CBA"/>
          </w:tcPr>
          <w:p>
            <w:pPr>
              <w:spacing w:after="0"/>
              <w:rPr>
                <w:sz w:val="20"/>
                <w:szCs w:val="20"/>
                <w:color w:val="auto"/>
              </w:rPr>
            </w:pPr>
          </w:p>
        </w:tc>
        <w:tc>
          <w:tcPr>
            <w:tcW w:w="80" w:type="dxa"/>
            <w:vAlign w:val="bottom"/>
            <w:tcBorders>
              <w:bottom w:val="single" w:sz="8" w:color="007CBA"/>
            </w:tcBorders>
            <w:shd w:val="clear" w:color="auto" w:fill="007CBA"/>
          </w:tcPr>
          <w:p>
            <w:pPr>
              <w:spacing w:after="0"/>
              <w:rPr>
                <w:sz w:val="20"/>
                <w:szCs w:val="20"/>
                <w:color w:val="auto"/>
              </w:rPr>
            </w:pPr>
          </w:p>
        </w:tc>
        <w:tc>
          <w:tcPr>
            <w:tcW w:w="480" w:type="dxa"/>
            <w:vAlign w:val="bottom"/>
            <w:tcBorders>
              <w:bottom w:val="single" w:sz="8" w:color="007CBA"/>
            </w:tcBorders>
            <w:shd w:val="clear" w:color="auto" w:fill="007CBA"/>
          </w:tcPr>
          <w:p>
            <w:pPr>
              <w:jc w:val="right"/>
              <w:ind w:right="49"/>
              <w:spacing w:after="0"/>
              <w:rPr>
                <w:sz w:val="20"/>
                <w:szCs w:val="20"/>
                <w:color w:val="auto"/>
              </w:rPr>
            </w:pPr>
            <w:r>
              <w:rPr>
                <w:rFonts w:ascii="Arial" w:cs="Arial" w:eastAsia="Arial" w:hAnsi="Arial"/>
                <w:sz w:val="14"/>
                <w:szCs w:val="14"/>
                <w:b w:val="1"/>
                <w:bCs w:val="1"/>
                <w:color w:val="FFFFFF"/>
              </w:rPr>
              <w:t>2019</w:t>
            </w:r>
          </w:p>
        </w:tc>
        <w:tc>
          <w:tcPr>
            <w:tcW w:w="260" w:type="dxa"/>
            <w:vAlign w:val="bottom"/>
            <w:tcBorders>
              <w:bottom w:val="single" w:sz="8" w:color="007CBA"/>
            </w:tcBorders>
            <w:shd w:val="clear" w:color="auto" w:fill="007CBA"/>
          </w:tcPr>
          <w:p>
            <w:pPr>
              <w:spacing w:after="0"/>
              <w:rPr>
                <w:sz w:val="20"/>
                <w:szCs w:val="20"/>
                <w:color w:val="auto"/>
              </w:rPr>
            </w:pPr>
          </w:p>
        </w:tc>
        <w:tc>
          <w:tcPr>
            <w:tcW w:w="120" w:type="dxa"/>
            <w:vAlign w:val="bottom"/>
            <w:tcBorders>
              <w:bottom w:val="single" w:sz="8" w:color="007CBA"/>
            </w:tcBorders>
            <w:shd w:val="clear" w:color="auto" w:fill="007CBA"/>
          </w:tcPr>
          <w:p>
            <w:pPr>
              <w:spacing w:after="0"/>
              <w:rPr>
                <w:sz w:val="20"/>
                <w:szCs w:val="20"/>
                <w:color w:val="auto"/>
              </w:rPr>
            </w:pPr>
          </w:p>
        </w:tc>
        <w:tc>
          <w:tcPr>
            <w:tcW w:w="80" w:type="dxa"/>
            <w:vAlign w:val="bottom"/>
            <w:tcBorders>
              <w:bottom w:val="single" w:sz="8" w:color="007CBA"/>
            </w:tcBorders>
            <w:shd w:val="clear" w:color="auto" w:fill="007CBA"/>
          </w:tcPr>
          <w:p>
            <w:pPr>
              <w:spacing w:after="0"/>
              <w:rPr>
                <w:sz w:val="20"/>
                <w:szCs w:val="20"/>
                <w:color w:val="auto"/>
              </w:rPr>
            </w:pPr>
          </w:p>
        </w:tc>
        <w:tc>
          <w:tcPr>
            <w:tcW w:w="480" w:type="dxa"/>
            <w:vAlign w:val="bottom"/>
            <w:tcBorders>
              <w:bottom w:val="single" w:sz="8" w:color="007CBA"/>
            </w:tcBorders>
            <w:shd w:val="clear" w:color="auto" w:fill="007CBA"/>
          </w:tcPr>
          <w:p>
            <w:pPr>
              <w:jc w:val="right"/>
              <w:ind w:right="49"/>
              <w:spacing w:after="0"/>
              <w:rPr>
                <w:sz w:val="20"/>
                <w:szCs w:val="20"/>
                <w:color w:val="auto"/>
              </w:rPr>
            </w:pPr>
            <w:r>
              <w:rPr>
                <w:rFonts w:ascii="Arial" w:cs="Arial" w:eastAsia="Arial" w:hAnsi="Arial"/>
                <w:sz w:val="14"/>
                <w:szCs w:val="14"/>
                <w:b w:val="1"/>
                <w:bCs w:val="1"/>
                <w:color w:val="FFFFFF"/>
              </w:rPr>
              <w:t>2018</w:t>
            </w:r>
          </w:p>
        </w:tc>
        <w:tc>
          <w:tcPr>
            <w:tcW w:w="260" w:type="dxa"/>
            <w:vAlign w:val="bottom"/>
            <w:tcBorders>
              <w:bottom w:val="single" w:sz="8" w:color="007CBA"/>
            </w:tcBorders>
            <w:shd w:val="clear" w:color="auto" w:fill="007CBA"/>
          </w:tcPr>
          <w:p>
            <w:pPr>
              <w:spacing w:after="0"/>
              <w:rPr>
                <w:sz w:val="20"/>
                <w:szCs w:val="20"/>
                <w:color w:val="auto"/>
              </w:rPr>
            </w:pPr>
          </w:p>
        </w:tc>
        <w:tc>
          <w:tcPr>
            <w:tcW w:w="580" w:type="dxa"/>
            <w:vAlign w:val="bottom"/>
            <w:tcBorders>
              <w:bottom w:val="single" w:sz="8" w:color="007CBA"/>
            </w:tcBorders>
            <w:gridSpan w:val="3"/>
            <w:shd w:val="clear" w:color="auto" w:fill="007CBA"/>
          </w:tcPr>
          <w:p>
            <w:pPr>
              <w:jc w:val="right"/>
              <w:ind w:right="9"/>
              <w:spacing w:after="0"/>
              <w:rPr>
                <w:sz w:val="20"/>
                <w:szCs w:val="20"/>
                <w:color w:val="auto"/>
              </w:rPr>
            </w:pPr>
            <w:r>
              <w:rPr>
                <w:rFonts w:ascii="Arial" w:cs="Arial" w:eastAsia="Arial" w:hAnsi="Arial"/>
                <w:sz w:val="14"/>
                <w:szCs w:val="14"/>
                <w:b w:val="1"/>
                <w:bCs w:val="1"/>
                <w:color w:val="FFFFFF"/>
              </w:rPr>
              <w:t>2010</w:t>
            </w:r>
          </w:p>
        </w:tc>
        <w:tc>
          <w:tcPr>
            <w:tcW w:w="280" w:type="dxa"/>
            <w:vAlign w:val="bottom"/>
            <w:tcBorders>
              <w:bottom w:val="single" w:sz="8" w:color="007CBA"/>
            </w:tcBorders>
            <w:shd w:val="clear" w:color="auto" w:fill="007CBA"/>
          </w:tcPr>
          <w:p>
            <w:pPr>
              <w:spacing w:after="0"/>
              <w:rPr>
                <w:sz w:val="20"/>
                <w:szCs w:val="20"/>
                <w:color w:val="auto"/>
              </w:rPr>
            </w:pPr>
          </w:p>
        </w:tc>
      </w:tr>
      <w:tr>
        <w:trPr>
          <w:trHeight w:val="213"/>
        </w:trPr>
        <w:tc>
          <w:tcPr>
            <w:tcW w:w="80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Net Earnings Attributable to Martin Marietta</w:t>
            </w:r>
          </w:p>
        </w:tc>
        <w:tc>
          <w:tcPr>
            <w:tcW w:w="280" w:type="dxa"/>
            <w:vAlign w:val="bottom"/>
            <w:gridSpan w:val="2"/>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611.9</w:t>
            </w:r>
          </w:p>
        </w:tc>
        <w:tc>
          <w:tcPr>
            <w:tcW w:w="260" w:type="dxa"/>
            <w:vAlign w:val="bottom"/>
            <w:shd w:val="clear" w:color="auto" w:fill="E5F1F8"/>
          </w:tcPr>
          <w:p>
            <w:pPr>
              <w:spacing w:after="0"/>
              <w:rPr>
                <w:sz w:val="18"/>
                <w:szCs w:val="18"/>
                <w:color w:val="auto"/>
              </w:rPr>
            </w:pPr>
          </w:p>
        </w:tc>
        <w:tc>
          <w:tcPr>
            <w:tcW w:w="200" w:type="dxa"/>
            <w:vAlign w:val="bottom"/>
            <w:gridSpan w:val="2"/>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470.0</w:t>
            </w:r>
          </w:p>
        </w:tc>
        <w:tc>
          <w:tcPr>
            <w:tcW w:w="260" w:type="dxa"/>
            <w:vAlign w:val="bottom"/>
            <w:shd w:val="clear" w:color="auto" w:fill="E5F1F8"/>
          </w:tcPr>
          <w:p>
            <w:pPr>
              <w:spacing w:after="0"/>
              <w:rPr>
                <w:sz w:val="18"/>
                <w:szCs w:val="18"/>
                <w:color w:val="auto"/>
              </w:rPr>
            </w:pPr>
          </w:p>
        </w:tc>
        <w:tc>
          <w:tcPr>
            <w:tcW w:w="220" w:type="dxa"/>
            <w:vAlign w:val="bottom"/>
            <w:gridSpan w:val="2"/>
            <w:shd w:val="clear" w:color="auto" w:fill="E5F1F8"/>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97.0</w:t>
            </w:r>
          </w:p>
        </w:tc>
        <w:tc>
          <w:tcPr>
            <w:tcW w:w="280" w:type="dxa"/>
            <w:vAlign w:val="bottom"/>
            <w:shd w:val="clear" w:color="auto" w:fill="E5F1F8"/>
          </w:tcPr>
          <w:p>
            <w:pPr>
              <w:spacing w:after="0"/>
              <w:rPr>
                <w:sz w:val="18"/>
                <w:szCs w:val="18"/>
                <w:color w:val="auto"/>
              </w:rPr>
            </w:pPr>
          </w:p>
        </w:tc>
      </w:tr>
      <w:tr>
        <w:trPr>
          <w:trHeight w:val="213"/>
        </w:trPr>
        <w:tc>
          <w:tcPr>
            <w:tcW w:w="80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Add back (deduct):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3"/>
        </w:trPr>
        <w:tc>
          <w:tcPr>
            <w:tcW w:w="8040" w:type="dxa"/>
            <w:vAlign w:val="bottom"/>
            <w:tcBorders>
              <w:right w:val="single" w:sz="8" w:color="007CBA"/>
            </w:tcBorders>
            <w:shd w:val="clear" w:color="auto" w:fill="E5F1F8"/>
          </w:tcPr>
          <w:p>
            <w:pPr>
              <w:ind w:left="30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128.9</w:t>
            </w:r>
          </w:p>
        </w:tc>
        <w:tc>
          <w:tcPr>
            <w:tcW w:w="2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137.1</w:t>
            </w:r>
          </w:p>
        </w:tc>
        <w:tc>
          <w:tcPr>
            <w:tcW w:w="260" w:type="dxa"/>
            <w:vAlign w:val="bottom"/>
            <w:shd w:val="clear" w:color="auto" w:fill="E5F1F8"/>
          </w:tcPr>
          <w:p>
            <w:pPr>
              <w:spacing w:after="0"/>
              <w:rPr>
                <w:sz w:val="18"/>
                <w:szCs w:val="18"/>
                <w:color w:val="auto"/>
              </w:rPr>
            </w:pPr>
          </w:p>
        </w:tc>
        <w:tc>
          <w:tcPr>
            <w:tcW w:w="14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3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68.5</w:t>
            </w:r>
          </w:p>
        </w:tc>
        <w:tc>
          <w:tcPr>
            <w:tcW w:w="280" w:type="dxa"/>
            <w:vAlign w:val="bottom"/>
            <w:shd w:val="clear" w:color="auto" w:fill="E5F1F8"/>
          </w:tcPr>
          <w:p>
            <w:pPr>
              <w:spacing w:after="0"/>
              <w:rPr>
                <w:sz w:val="18"/>
                <w:szCs w:val="18"/>
                <w:color w:val="auto"/>
              </w:rPr>
            </w:pPr>
          </w:p>
        </w:tc>
      </w:tr>
      <w:tr>
        <w:trPr>
          <w:trHeight w:val="213"/>
        </w:trPr>
        <w:tc>
          <w:tcPr>
            <w:tcW w:w="8040" w:type="dxa"/>
            <w:vAlign w:val="bottom"/>
            <w:tcBorders>
              <w:right w:val="single" w:sz="8" w:color="007CBA"/>
            </w:tcBorders>
          </w:tcPr>
          <w:p>
            <w:pPr>
              <w:ind w:left="300"/>
              <w:spacing w:after="0"/>
              <w:rPr>
                <w:sz w:val="20"/>
                <w:szCs w:val="20"/>
                <w:color w:val="auto"/>
              </w:rPr>
            </w:pPr>
            <w:r>
              <w:rPr>
                <w:rFonts w:ascii="Arial" w:cs="Arial" w:eastAsia="Arial" w:hAnsi="Arial"/>
                <w:sz w:val="14"/>
                <w:szCs w:val="14"/>
                <w:color w:val="auto"/>
              </w:rPr>
              <w:t>Income tax expense (benefit) for controlling interests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29.3</w:t>
            </w:r>
          </w:p>
        </w:tc>
        <w:tc>
          <w:tcPr>
            <w:tcW w:w="280" w:type="dxa"/>
            <w:vAlign w:val="bottom"/>
          </w:tcPr>
          <w:p>
            <w:pPr>
              <w:spacing w:after="0"/>
              <w:rPr>
                <w:sz w:val="18"/>
                <w:szCs w:val="18"/>
                <w:color w:val="auto"/>
              </w:rPr>
            </w:pPr>
          </w:p>
        </w:tc>
      </w:tr>
      <w:tr>
        <w:trPr>
          <w:trHeight w:val="213"/>
        </w:trPr>
        <w:tc>
          <w:tcPr>
            <w:tcW w:w="8040" w:type="dxa"/>
            <w:vAlign w:val="bottom"/>
            <w:tcBorders>
              <w:right w:val="single" w:sz="8" w:color="007CBA"/>
            </w:tcBorders>
            <w:shd w:val="clear" w:color="auto" w:fill="E5F1F8"/>
          </w:tcPr>
          <w:p>
            <w:pPr>
              <w:ind w:left="300"/>
              <w:spacing w:after="0"/>
              <w:rPr>
                <w:sz w:val="20"/>
                <w:szCs w:val="20"/>
                <w:color w:val="auto"/>
              </w:rPr>
            </w:pPr>
            <w:r>
              <w:rPr>
                <w:rFonts w:ascii="Arial" w:cs="Arial" w:eastAsia="Arial" w:hAnsi="Arial"/>
                <w:sz w:val="14"/>
                <w:szCs w:val="14"/>
                <w:color w:val="auto"/>
              </w:rPr>
              <w:t>Depreciation, depletion and amortization expense and earnings/loss from nonconsolidated equity affiliates</w:t>
            </w:r>
          </w:p>
        </w:tc>
        <w:tc>
          <w:tcPr>
            <w:tcW w:w="20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377.4</w:t>
            </w:r>
          </w:p>
        </w:tc>
        <w:tc>
          <w:tcPr>
            <w:tcW w:w="2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328.4</w:t>
            </w:r>
          </w:p>
        </w:tc>
        <w:tc>
          <w:tcPr>
            <w:tcW w:w="260" w:type="dxa"/>
            <w:vAlign w:val="bottom"/>
            <w:shd w:val="clear" w:color="auto" w:fill="E5F1F8"/>
          </w:tcPr>
          <w:p>
            <w:pPr>
              <w:spacing w:after="0"/>
              <w:rPr>
                <w:sz w:val="18"/>
                <w:szCs w:val="18"/>
                <w:color w:val="auto"/>
              </w:rPr>
            </w:pPr>
          </w:p>
        </w:tc>
        <w:tc>
          <w:tcPr>
            <w:tcW w:w="14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360" w:type="dxa"/>
            <w:vAlign w:val="bottom"/>
            <w:shd w:val="clear" w:color="auto" w:fill="E5F1F8"/>
          </w:tcPr>
          <w:p>
            <w:pPr>
              <w:jc w:val="right"/>
              <w:spacing w:after="0"/>
              <w:rPr>
                <w:sz w:val="20"/>
                <w:szCs w:val="20"/>
                <w:color w:val="auto"/>
              </w:rPr>
            </w:pPr>
            <w:r>
              <w:rPr>
                <w:rFonts w:ascii="Arial" w:cs="Arial" w:eastAsia="Arial" w:hAnsi="Arial"/>
                <w:sz w:val="14"/>
                <w:szCs w:val="14"/>
                <w:color w:val="auto"/>
                <w:w w:val="91"/>
              </w:rPr>
              <w:t>182.3</w:t>
            </w:r>
          </w:p>
        </w:tc>
        <w:tc>
          <w:tcPr>
            <w:tcW w:w="280" w:type="dxa"/>
            <w:vAlign w:val="bottom"/>
            <w:shd w:val="clear" w:color="auto" w:fill="E5F1F8"/>
          </w:tcPr>
          <w:p>
            <w:pPr>
              <w:spacing w:after="0"/>
              <w:rPr>
                <w:sz w:val="18"/>
                <w:szCs w:val="18"/>
                <w:color w:val="auto"/>
              </w:rPr>
            </w:pPr>
          </w:p>
        </w:tc>
      </w:tr>
      <w:tr>
        <w:trPr>
          <w:trHeight w:val="213"/>
        </w:trPr>
        <w:tc>
          <w:tcPr>
            <w:tcW w:w="8040" w:type="dxa"/>
            <w:vAlign w:val="bottom"/>
            <w:tcBorders>
              <w:right w:val="single" w:sz="8" w:color="007CBA"/>
            </w:tcBorders>
          </w:tcPr>
          <w:p>
            <w:pPr>
              <w:ind w:left="300"/>
              <w:spacing w:after="0"/>
              <w:rPr>
                <w:sz w:val="20"/>
                <w:szCs w:val="20"/>
                <w:color w:val="auto"/>
              </w:rPr>
            </w:pPr>
            <w:r>
              <w:rPr>
                <w:rFonts w:ascii="Arial" w:cs="Arial" w:eastAsia="Arial" w:hAnsi="Arial"/>
                <w:sz w:val="14"/>
                <w:szCs w:val="14"/>
                <w:color w:val="auto"/>
              </w:rPr>
              <w:t>Impact of selling acquired inventory after markup to fair value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r>
      <w:tr>
        <w:trPr>
          <w:trHeight w:val="213"/>
        </w:trPr>
        <w:tc>
          <w:tcPr>
            <w:tcW w:w="8040" w:type="dxa"/>
            <w:vAlign w:val="bottom"/>
            <w:tcBorders>
              <w:right w:val="single" w:sz="8" w:color="007CBA"/>
            </w:tcBorders>
            <w:shd w:val="clear" w:color="auto" w:fill="E5F1F8"/>
          </w:tcPr>
          <w:p>
            <w:pPr>
              <w:ind w:left="300"/>
              <w:spacing w:after="0"/>
              <w:rPr>
                <w:sz w:val="20"/>
                <w:szCs w:val="20"/>
                <w:color w:val="auto"/>
              </w:rPr>
            </w:pPr>
            <w:r>
              <w:rPr>
                <w:rFonts w:ascii="Arial" w:cs="Arial" w:eastAsia="Arial" w:hAnsi="Arial"/>
                <w:sz w:val="14"/>
                <w:szCs w:val="14"/>
                <w:color w:val="auto"/>
              </w:rPr>
              <w:t>Acquisition-related expenses, net</w:t>
            </w:r>
          </w:p>
        </w:tc>
        <w:tc>
          <w:tcPr>
            <w:tcW w:w="20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740" w:type="dxa"/>
            <w:vAlign w:val="bottom"/>
            <w:gridSpan w:val="2"/>
            <w:shd w:val="clear" w:color="auto" w:fill="E5F1F8"/>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4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E5F1F8"/>
          </w:tcPr>
          <w:p>
            <w:pPr>
              <w:spacing w:after="0"/>
              <w:rPr>
                <w:sz w:val="18"/>
                <w:szCs w:val="18"/>
                <w:color w:val="auto"/>
              </w:rPr>
            </w:pPr>
          </w:p>
        </w:tc>
        <w:tc>
          <w:tcPr>
            <w:tcW w:w="140" w:type="dxa"/>
            <w:vAlign w:val="bottom"/>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640" w:type="dxa"/>
            <w:vAlign w:val="bottom"/>
            <w:gridSpan w:val="2"/>
            <w:shd w:val="clear" w:color="auto" w:fill="E5F1F8"/>
          </w:tcPr>
          <w:p>
            <w:pPr>
              <w:jc w:val="right"/>
              <w:ind w:right="380"/>
              <w:spacing w:after="0"/>
              <w:rPr>
                <w:sz w:val="20"/>
                <w:szCs w:val="20"/>
                <w:color w:val="auto"/>
              </w:rPr>
            </w:pPr>
            <w:r>
              <w:rPr>
                <w:rFonts w:ascii="Arial" w:cs="Arial" w:eastAsia="Arial" w:hAnsi="Arial"/>
                <w:sz w:val="14"/>
                <w:szCs w:val="14"/>
                <w:color w:val="auto"/>
              </w:rPr>
              <w:t>—</w:t>
            </w:r>
          </w:p>
        </w:tc>
      </w:tr>
      <w:tr>
        <w:trPr>
          <w:trHeight w:val="220"/>
        </w:trPr>
        <w:tc>
          <w:tcPr>
            <w:tcW w:w="8040" w:type="dxa"/>
            <w:vAlign w:val="bottom"/>
            <w:tcBorders>
              <w:right w:val="single" w:sz="8" w:color="007CBA"/>
            </w:tcBorders>
          </w:tcPr>
          <w:p>
            <w:pPr>
              <w:ind w:left="300"/>
              <w:spacing w:after="0"/>
              <w:rPr>
                <w:sz w:val="20"/>
                <w:szCs w:val="20"/>
                <w:color w:val="auto"/>
              </w:rPr>
            </w:pPr>
            <w:r>
              <w:rPr>
                <w:rFonts w:ascii="Arial" w:cs="Arial" w:eastAsia="Arial" w:hAnsi="Arial"/>
                <w:sz w:val="14"/>
                <w:szCs w:val="14"/>
                <w:color w:val="auto"/>
              </w:rPr>
              <w:t>Asset and portfolio rationalization charges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r>
      <w:tr>
        <w:trPr>
          <w:trHeight w:val="180"/>
        </w:trPr>
        <w:tc>
          <w:tcPr>
            <w:tcW w:w="8040" w:type="dxa"/>
            <w:vAlign w:val="bottom"/>
            <w:tcBorders>
              <w:right w:val="single" w:sz="8" w:color="007CBA"/>
            </w:tcBorders>
            <w:shd w:val="clear" w:color="auto" w:fill="E5F1F8"/>
          </w:tcPr>
          <w:p>
            <w:pPr>
              <w:ind w:left="60"/>
              <w:spacing w:after="0" w:line="160" w:lineRule="exact"/>
              <w:rPr>
                <w:sz w:val="20"/>
                <w:szCs w:val="20"/>
                <w:color w:val="auto"/>
              </w:rPr>
            </w:pPr>
            <w:r>
              <w:rPr>
                <w:rFonts w:ascii="Arial" w:cs="Arial" w:eastAsia="Arial" w:hAnsi="Arial"/>
                <w:sz w:val="14"/>
                <w:szCs w:val="14"/>
                <w:color w:val="auto"/>
              </w:rPr>
              <w:t>Consolidated Adjusted EBITDA</w:t>
            </w:r>
          </w:p>
        </w:tc>
        <w:tc>
          <w:tcPr>
            <w:tcW w:w="280" w:type="dxa"/>
            <w:vAlign w:val="bottom"/>
            <w:gridSpan w:val="2"/>
            <w:shd w:val="clear" w:color="auto" w:fill="E5F1F8"/>
          </w:tcPr>
          <w:p>
            <w:pPr>
              <w:jc w:val="right"/>
              <w:spacing w:after="0" w:line="160"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E5F1F8"/>
          </w:tcPr>
          <w:p>
            <w:pPr>
              <w:jc w:val="right"/>
              <w:spacing w:after="0" w:line="160" w:lineRule="exact"/>
              <w:rPr>
                <w:sz w:val="20"/>
                <w:szCs w:val="20"/>
                <w:color w:val="auto"/>
              </w:rPr>
            </w:pPr>
            <w:r>
              <w:rPr>
                <w:rFonts w:ascii="Arial" w:cs="Arial" w:eastAsia="Arial" w:hAnsi="Arial"/>
                <w:sz w:val="14"/>
                <w:szCs w:val="14"/>
                <w:color w:val="auto"/>
                <w:w w:val="98"/>
              </w:rPr>
              <w:t>1,254.5</w:t>
            </w:r>
          </w:p>
        </w:tc>
        <w:tc>
          <w:tcPr>
            <w:tcW w:w="260" w:type="dxa"/>
            <w:vAlign w:val="bottom"/>
            <w:shd w:val="clear" w:color="auto" w:fill="E5F1F8"/>
          </w:tcPr>
          <w:p>
            <w:pPr>
              <w:spacing w:after="0"/>
              <w:rPr>
                <w:sz w:val="15"/>
                <w:szCs w:val="15"/>
                <w:color w:val="auto"/>
              </w:rPr>
            </w:pPr>
          </w:p>
        </w:tc>
        <w:tc>
          <w:tcPr>
            <w:tcW w:w="200" w:type="dxa"/>
            <w:vAlign w:val="bottom"/>
            <w:gridSpan w:val="2"/>
            <w:shd w:val="clear" w:color="auto" w:fill="E5F1F8"/>
          </w:tcPr>
          <w:p>
            <w:pPr>
              <w:jc w:val="right"/>
              <w:spacing w:after="0" w:line="160"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E5F1F8"/>
          </w:tcPr>
          <w:p>
            <w:pPr>
              <w:jc w:val="right"/>
              <w:spacing w:after="0" w:line="160" w:lineRule="exact"/>
              <w:rPr>
                <w:sz w:val="20"/>
                <w:szCs w:val="20"/>
                <w:color w:val="auto"/>
              </w:rPr>
            </w:pPr>
            <w:r>
              <w:rPr>
                <w:rFonts w:ascii="Arial" w:cs="Arial" w:eastAsia="Arial" w:hAnsi="Arial"/>
                <w:sz w:val="14"/>
                <w:szCs w:val="14"/>
                <w:color w:val="auto"/>
                <w:w w:val="98"/>
              </w:rPr>
              <w:t>1,092.1</w:t>
            </w:r>
          </w:p>
        </w:tc>
        <w:tc>
          <w:tcPr>
            <w:tcW w:w="260" w:type="dxa"/>
            <w:vAlign w:val="bottom"/>
            <w:shd w:val="clear" w:color="auto" w:fill="E5F1F8"/>
          </w:tcPr>
          <w:p>
            <w:pPr>
              <w:spacing w:after="0"/>
              <w:rPr>
                <w:sz w:val="15"/>
                <w:szCs w:val="15"/>
                <w:color w:val="auto"/>
              </w:rPr>
            </w:pPr>
          </w:p>
        </w:tc>
        <w:tc>
          <w:tcPr>
            <w:tcW w:w="220" w:type="dxa"/>
            <w:vAlign w:val="bottom"/>
            <w:gridSpan w:val="2"/>
            <w:shd w:val="clear" w:color="auto" w:fill="E5F1F8"/>
          </w:tcPr>
          <w:p>
            <w:pPr>
              <w:jc w:val="right"/>
              <w:ind w:right="20"/>
              <w:spacing w:after="0" w:line="160" w:lineRule="exact"/>
              <w:rPr>
                <w:sz w:val="20"/>
                <w:szCs w:val="20"/>
                <w:color w:val="auto"/>
              </w:rPr>
            </w:pPr>
            <w:r>
              <w:rPr>
                <w:rFonts w:ascii="Arial" w:cs="Arial" w:eastAsia="Arial" w:hAnsi="Arial"/>
                <w:sz w:val="14"/>
                <w:szCs w:val="14"/>
                <w:u w:val="single" w:color="auto"/>
                <w:color w:val="auto"/>
              </w:rPr>
              <w:t>$</w:t>
            </w:r>
          </w:p>
        </w:tc>
        <w:tc>
          <w:tcPr>
            <w:tcW w:w="360" w:type="dxa"/>
            <w:vAlign w:val="bottom"/>
            <w:shd w:val="clear" w:color="auto" w:fill="E5F1F8"/>
          </w:tcPr>
          <w:p>
            <w:pPr>
              <w:jc w:val="right"/>
              <w:spacing w:after="0" w:line="160" w:lineRule="exact"/>
              <w:rPr>
                <w:sz w:val="20"/>
                <w:szCs w:val="20"/>
                <w:color w:val="auto"/>
              </w:rPr>
            </w:pPr>
            <w:r>
              <w:rPr>
                <w:rFonts w:ascii="Arial" w:cs="Arial" w:eastAsia="Arial" w:hAnsi="Arial"/>
                <w:sz w:val="14"/>
                <w:szCs w:val="14"/>
                <w:color w:val="auto"/>
                <w:w w:val="91"/>
              </w:rPr>
              <w:t>377.1</w:t>
            </w:r>
          </w:p>
        </w:tc>
        <w:tc>
          <w:tcPr>
            <w:tcW w:w="280" w:type="dxa"/>
            <w:vAlign w:val="bottom"/>
            <w:shd w:val="clear" w:color="auto" w:fill="E5F1F8"/>
          </w:tcPr>
          <w:p>
            <w:pPr>
              <w:spacing w:after="0"/>
              <w:rPr>
                <w:sz w:val="15"/>
                <w:szCs w:val="15"/>
                <w:color w:val="auto"/>
              </w:rPr>
            </w:pPr>
          </w:p>
        </w:tc>
      </w:tr>
      <w:tr>
        <w:trPr>
          <w:trHeight w:val="20"/>
        </w:trPr>
        <w:tc>
          <w:tcPr>
            <w:tcW w:w="80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20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5F1F8"/>
            </w:tcBorders>
            <w:shd w:val="clear" w:color="auto" w:fill="E5F1F8"/>
          </w:tcPr>
          <w:p>
            <w:pPr>
              <w:spacing w:after="0" w:line="20" w:lineRule="exact"/>
              <w:rPr>
                <w:sz w:val="1"/>
                <w:szCs w:val="1"/>
                <w:color w:val="auto"/>
              </w:rPr>
            </w:pPr>
          </w:p>
        </w:tc>
      </w:tr>
      <w:tr>
        <w:trPr>
          <w:trHeight w:val="207"/>
        </w:trPr>
        <w:tc>
          <w:tcPr>
            <w:tcW w:w="80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Consolidated Total Revenues</w:t>
            </w:r>
          </w:p>
        </w:tc>
        <w:tc>
          <w:tcPr>
            <w:tcW w:w="2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4,739.1</w:t>
            </w:r>
          </w:p>
        </w:tc>
        <w:tc>
          <w:tcPr>
            <w:tcW w:w="2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4,244.3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804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7"/>
        </w:trPr>
        <w:tc>
          <w:tcPr>
            <w:tcW w:w="80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Adjusted EBITDA Margin</w:t>
            </w:r>
          </w:p>
        </w:tc>
        <w:tc>
          <w:tcPr>
            <w:tcW w:w="200" w:type="dxa"/>
            <w:vAlign w:val="bottom"/>
            <w:shd w:val="clear" w:color="auto" w:fill="E5F1F8"/>
          </w:tcPr>
          <w:p>
            <w:pPr>
              <w:spacing w:after="0"/>
              <w:rPr>
                <w:sz w:val="23"/>
                <w:szCs w:val="23"/>
                <w:color w:val="auto"/>
              </w:rPr>
            </w:pPr>
          </w:p>
        </w:tc>
        <w:tc>
          <w:tcPr>
            <w:tcW w:w="80" w:type="dxa"/>
            <w:vAlign w:val="bottom"/>
            <w:shd w:val="clear" w:color="auto" w:fill="E5F1F8"/>
          </w:tcPr>
          <w:p>
            <w:pPr>
              <w:spacing w:after="0"/>
              <w:rPr>
                <w:sz w:val="23"/>
                <w:szCs w:val="23"/>
                <w:color w:val="auto"/>
              </w:rPr>
            </w:pPr>
          </w:p>
        </w:tc>
        <w:tc>
          <w:tcPr>
            <w:tcW w:w="740" w:type="dxa"/>
            <w:vAlign w:val="bottom"/>
            <w:gridSpan w:val="2"/>
            <w:shd w:val="clear" w:color="auto" w:fill="E5F1F8"/>
          </w:tcPr>
          <w:p>
            <w:pPr>
              <w:jc w:val="right"/>
              <w:ind w:right="140"/>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E5F1F8"/>
          </w:tcPr>
          <w:p>
            <w:pPr>
              <w:spacing w:after="0"/>
              <w:rPr>
                <w:sz w:val="23"/>
                <w:szCs w:val="23"/>
                <w:color w:val="auto"/>
              </w:rPr>
            </w:pPr>
          </w:p>
        </w:tc>
        <w:tc>
          <w:tcPr>
            <w:tcW w:w="80" w:type="dxa"/>
            <w:vAlign w:val="bottom"/>
            <w:shd w:val="clear" w:color="auto" w:fill="E5F1F8"/>
          </w:tcPr>
          <w:p>
            <w:pPr>
              <w:spacing w:after="0"/>
              <w:rPr>
                <w:sz w:val="23"/>
                <w:szCs w:val="23"/>
                <w:color w:val="auto"/>
              </w:rPr>
            </w:pPr>
          </w:p>
        </w:tc>
        <w:tc>
          <w:tcPr>
            <w:tcW w:w="740" w:type="dxa"/>
            <w:vAlign w:val="bottom"/>
            <w:gridSpan w:val="2"/>
            <w:shd w:val="clear" w:color="auto" w:fill="E5F1F8"/>
          </w:tcPr>
          <w:p>
            <w:pPr>
              <w:jc w:val="right"/>
              <w:ind w:right="140"/>
              <w:spacing w:after="0"/>
              <w:rPr>
                <w:sz w:val="20"/>
                <w:szCs w:val="20"/>
                <w:color w:val="auto"/>
              </w:rPr>
            </w:pPr>
            <w:r>
              <w:rPr>
                <w:rFonts w:ascii="Arial" w:cs="Arial" w:eastAsia="Arial" w:hAnsi="Arial"/>
                <w:sz w:val="14"/>
                <w:szCs w:val="14"/>
                <w:color w:val="auto"/>
              </w:rPr>
              <w:t>25.7%</w:t>
            </w:r>
          </w:p>
        </w:tc>
        <w:tc>
          <w:tcPr>
            <w:tcW w:w="140" w:type="dxa"/>
            <w:vAlign w:val="bottom"/>
            <w:shd w:val="clear" w:color="auto" w:fill="E5F1F8"/>
          </w:tcPr>
          <w:p>
            <w:pPr>
              <w:spacing w:after="0"/>
              <w:rPr>
                <w:sz w:val="23"/>
                <w:szCs w:val="23"/>
                <w:color w:val="auto"/>
              </w:rPr>
            </w:pPr>
          </w:p>
        </w:tc>
        <w:tc>
          <w:tcPr>
            <w:tcW w:w="80" w:type="dxa"/>
            <w:vAlign w:val="bottom"/>
            <w:shd w:val="clear" w:color="auto" w:fill="E5F1F8"/>
          </w:tcPr>
          <w:p>
            <w:pPr>
              <w:spacing w:after="0"/>
              <w:rPr>
                <w:sz w:val="23"/>
                <w:szCs w:val="23"/>
                <w:color w:val="auto"/>
              </w:rPr>
            </w:pPr>
          </w:p>
        </w:tc>
        <w:tc>
          <w:tcPr>
            <w:tcW w:w="360" w:type="dxa"/>
            <w:vAlign w:val="bottom"/>
            <w:shd w:val="clear" w:color="auto" w:fill="E5F1F8"/>
          </w:tcPr>
          <w:p>
            <w:pPr>
              <w:spacing w:after="0"/>
              <w:rPr>
                <w:sz w:val="23"/>
                <w:szCs w:val="23"/>
                <w:color w:val="auto"/>
              </w:rPr>
            </w:pPr>
          </w:p>
        </w:tc>
        <w:tc>
          <w:tcPr>
            <w:tcW w:w="280" w:type="dxa"/>
            <w:vAlign w:val="bottom"/>
            <w:shd w:val="clear" w:color="auto" w:fill="E5F1F8"/>
          </w:tcPr>
          <w:p>
            <w:pPr>
              <w:spacing w:after="0"/>
              <w:rPr>
                <w:sz w:val="23"/>
                <w:szCs w:val="23"/>
                <w:color w:val="auto"/>
              </w:rPr>
            </w:pPr>
          </w:p>
        </w:tc>
      </w:tr>
      <w:tr>
        <w:trPr>
          <w:trHeight w:val="20"/>
        </w:trPr>
        <w:tc>
          <w:tcPr>
            <w:tcW w:w="8040" w:type="dxa"/>
            <w:vAlign w:val="bottom"/>
            <w:tcBorders>
              <w:top w:val="single" w:sz="8" w:color="E5F1F8"/>
              <w:bottom w:val="single" w:sz="8" w:color="007CBA"/>
              <w:right w:val="single" w:sz="8" w:color="007CBA"/>
            </w:tcBorders>
          </w:tcPr>
          <w:p>
            <w:pPr>
              <w:spacing w:after="0" w:line="20" w:lineRule="exact"/>
              <w:rPr>
                <w:sz w:val="1"/>
                <w:szCs w:val="1"/>
                <w:color w:val="auto"/>
              </w:rPr>
            </w:pPr>
          </w:p>
        </w:tc>
        <w:tc>
          <w:tcPr>
            <w:tcW w:w="200" w:type="dxa"/>
            <w:vAlign w:val="bottom"/>
            <w:tcBorders>
              <w:top w:val="single" w:sz="8" w:color="E5F1F8"/>
              <w:bottom w:val="single" w:sz="8" w:color="007CBA"/>
            </w:tcBorders>
          </w:tcPr>
          <w:p>
            <w:pPr>
              <w:spacing w:after="0" w:line="20" w:lineRule="exact"/>
              <w:rPr>
                <w:sz w:val="1"/>
                <w:szCs w:val="1"/>
                <w:color w:val="auto"/>
              </w:rPr>
            </w:pPr>
          </w:p>
        </w:tc>
        <w:tc>
          <w:tcPr>
            <w:tcW w:w="80" w:type="dxa"/>
            <w:vAlign w:val="bottom"/>
            <w:tcBorders>
              <w:top w:val="single" w:sz="8" w:color="auto"/>
              <w:bottom w:val="single" w:sz="8" w:color="007CBA"/>
            </w:tcBorders>
          </w:tcPr>
          <w:p>
            <w:pPr>
              <w:spacing w:after="0" w:line="20" w:lineRule="exact"/>
              <w:rPr>
                <w:sz w:val="1"/>
                <w:szCs w:val="1"/>
                <w:color w:val="auto"/>
              </w:rPr>
            </w:pPr>
          </w:p>
        </w:tc>
        <w:tc>
          <w:tcPr>
            <w:tcW w:w="480" w:type="dxa"/>
            <w:vAlign w:val="bottom"/>
            <w:tcBorders>
              <w:top w:val="single" w:sz="8" w:color="auto"/>
              <w:bottom w:val="single" w:sz="8" w:color="007CBA"/>
            </w:tcBorders>
          </w:tcPr>
          <w:p>
            <w:pPr>
              <w:spacing w:after="0" w:line="20" w:lineRule="exact"/>
              <w:rPr>
                <w:sz w:val="1"/>
                <w:szCs w:val="1"/>
                <w:color w:val="auto"/>
              </w:rPr>
            </w:pPr>
          </w:p>
        </w:tc>
        <w:tc>
          <w:tcPr>
            <w:tcW w:w="260" w:type="dxa"/>
            <w:vAlign w:val="bottom"/>
            <w:tcBorders>
              <w:top w:val="single" w:sz="8" w:color="E5F1F8"/>
              <w:bottom w:val="single" w:sz="8" w:color="007CBA"/>
            </w:tcBorders>
          </w:tcPr>
          <w:p>
            <w:pPr>
              <w:spacing w:after="0" w:line="20" w:lineRule="exact"/>
              <w:rPr>
                <w:sz w:val="1"/>
                <w:szCs w:val="1"/>
                <w:color w:val="auto"/>
              </w:rPr>
            </w:pPr>
          </w:p>
        </w:tc>
        <w:tc>
          <w:tcPr>
            <w:tcW w:w="120" w:type="dxa"/>
            <w:vAlign w:val="bottom"/>
            <w:tcBorders>
              <w:top w:val="single" w:sz="8" w:color="E5F1F8"/>
              <w:bottom w:val="single" w:sz="8" w:color="007CBA"/>
            </w:tcBorders>
          </w:tcPr>
          <w:p>
            <w:pPr>
              <w:spacing w:after="0" w:line="20" w:lineRule="exact"/>
              <w:rPr>
                <w:sz w:val="1"/>
                <w:szCs w:val="1"/>
                <w:color w:val="auto"/>
              </w:rPr>
            </w:pPr>
          </w:p>
        </w:tc>
        <w:tc>
          <w:tcPr>
            <w:tcW w:w="80" w:type="dxa"/>
            <w:vAlign w:val="bottom"/>
            <w:tcBorders>
              <w:top w:val="single" w:sz="8" w:color="auto"/>
              <w:bottom w:val="single" w:sz="8" w:color="007CBA"/>
            </w:tcBorders>
          </w:tcPr>
          <w:p>
            <w:pPr>
              <w:spacing w:after="0" w:line="20" w:lineRule="exact"/>
              <w:rPr>
                <w:sz w:val="1"/>
                <w:szCs w:val="1"/>
                <w:color w:val="auto"/>
              </w:rPr>
            </w:pPr>
          </w:p>
        </w:tc>
        <w:tc>
          <w:tcPr>
            <w:tcW w:w="480" w:type="dxa"/>
            <w:vAlign w:val="bottom"/>
            <w:tcBorders>
              <w:top w:val="single" w:sz="8" w:color="auto"/>
              <w:bottom w:val="single" w:sz="8" w:color="007CBA"/>
            </w:tcBorders>
          </w:tcPr>
          <w:p>
            <w:pPr>
              <w:spacing w:after="0" w:line="20" w:lineRule="exact"/>
              <w:rPr>
                <w:sz w:val="1"/>
                <w:szCs w:val="1"/>
                <w:color w:val="auto"/>
              </w:rPr>
            </w:pPr>
          </w:p>
        </w:tc>
        <w:tc>
          <w:tcPr>
            <w:tcW w:w="260" w:type="dxa"/>
            <w:vAlign w:val="bottom"/>
            <w:tcBorders>
              <w:top w:val="single" w:sz="8" w:color="E5F1F8"/>
              <w:bottom w:val="single" w:sz="8" w:color="007CBA"/>
            </w:tcBorders>
          </w:tcPr>
          <w:p>
            <w:pPr>
              <w:spacing w:after="0" w:line="20" w:lineRule="exact"/>
              <w:rPr>
                <w:sz w:val="1"/>
                <w:szCs w:val="1"/>
                <w:color w:val="auto"/>
              </w:rPr>
            </w:pPr>
          </w:p>
        </w:tc>
        <w:tc>
          <w:tcPr>
            <w:tcW w:w="140" w:type="dxa"/>
            <w:vAlign w:val="bottom"/>
            <w:tcBorders>
              <w:top w:val="single" w:sz="8" w:color="E5F1F8"/>
              <w:bottom w:val="single" w:sz="8" w:color="007CBA"/>
            </w:tcBorders>
          </w:tcPr>
          <w:p>
            <w:pPr>
              <w:spacing w:after="0" w:line="20" w:lineRule="exact"/>
              <w:rPr>
                <w:sz w:val="1"/>
                <w:szCs w:val="1"/>
                <w:color w:val="auto"/>
              </w:rPr>
            </w:pPr>
          </w:p>
        </w:tc>
        <w:tc>
          <w:tcPr>
            <w:tcW w:w="80" w:type="dxa"/>
            <w:vAlign w:val="bottom"/>
            <w:tcBorders>
              <w:top w:val="single" w:sz="8" w:color="E5F1F8"/>
              <w:bottom w:val="single" w:sz="8" w:color="007CBA"/>
            </w:tcBorders>
          </w:tcPr>
          <w:p>
            <w:pPr>
              <w:spacing w:after="0" w:line="20" w:lineRule="exact"/>
              <w:rPr>
                <w:sz w:val="1"/>
                <w:szCs w:val="1"/>
                <w:color w:val="auto"/>
              </w:rPr>
            </w:pPr>
          </w:p>
        </w:tc>
        <w:tc>
          <w:tcPr>
            <w:tcW w:w="360" w:type="dxa"/>
            <w:vAlign w:val="bottom"/>
            <w:tcBorders>
              <w:top w:val="single" w:sz="8" w:color="E5F1F8"/>
              <w:bottom w:val="single" w:sz="8" w:color="007CBA"/>
            </w:tcBorders>
          </w:tcPr>
          <w:p>
            <w:pPr>
              <w:spacing w:after="0" w:line="20" w:lineRule="exact"/>
              <w:rPr>
                <w:sz w:val="1"/>
                <w:szCs w:val="1"/>
                <w:color w:val="auto"/>
              </w:rPr>
            </w:pPr>
          </w:p>
        </w:tc>
        <w:tc>
          <w:tcPr>
            <w:tcW w:w="280" w:type="dxa"/>
            <w:vAlign w:val="bottom"/>
            <w:tcBorders>
              <w:top w:val="single" w:sz="8" w:color="E5F1F8"/>
              <w:bottom w:val="single" w:sz="8" w:color="007CB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93345</wp:posOffset>
            </wp:positionV>
            <wp:extent cx="406400" cy="2451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147" w:lineRule="exact"/>
        <w:rPr>
          <w:sz w:val="20"/>
          <w:szCs w:val="20"/>
          <w:color w:val="auto"/>
        </w:rPr>
      </w:pPr>
    </w:p>
    <w:p>
      <w:pPr>
        <w:ind w:left="9120"/>
        <w:spacing w:after="0"/>
        <w:tabs>
          <w:tab w:leader="none" w:pos="10840" w:val="left"/>
        </w:tabs>
        <w:rPr>
          <w:sz w:val="20"/>
          <w:szCs w:val="20"/>
          <w:color w:val="auto"/>
        </w:rPr>
      </w:pPr>
      <w:r>
        <w:rPr>
          <w:rFonts w:ascii="Arial" w:cs="Arial" w:eastAsia="Arial" w:hAnsi="Arial"/>
          <w:sz w:val="12"/>
          <w:szCs w:val="12"/>
          <w:color w:val="007CBA"/>
        </w:rPr>
        <w:t>2020 PROXY STATEMENT</w:t>
      </w:r>
      <w:r>
        <w:rPr>
          <w:sz w:val="20"/>
          <w:szCs w:val="20"/>
          <w:color w:val="auto"/>
        </w:rPr>
        <w:tab/>
      </w:r>
      <w:r>
        <w:rPr>
          <w:rFonts w:ascii="Arial" w:cs="Arial" w:eastAsia="Arial" w:hAnsi="Arial"/>
          <w:sz w:val="12"/>
          <w:szCs w:val="12"/>
          <w:b w:val="1"/>
          <w:bCs w:val="1"/>
          <w:color w:val="auto"/>
        </w:rPr>
        <w:t>B-1</w:t>
      </w:r>
    </w:p>
    <w:p>
      <w:pPr>
        <w:sectPr>
          <w:pgSz w:w="11900" w:h="16838" w:orient="portrait"/>
          <w:cols w:equalWidth="0" w:num="1">
            <w:col w:w="11060"/>
          </w:cols>
          <w:pgMar w:left="320" w:top="455"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5" w:lineRule="exact"/>
        <w:rPr>
          <w:sz w:val="20"/>
          <w:szCs w:val="20"/>
          <w:color w:val="auto"/>
        </w:rPr>
      </w:pPr>
    </w:p>
    <w:p>
      <w:pPr>
        <w:ind w:left="180"/>
        <w:spacing w:after="0" w:line="276" w:lineRule="exact"/>
        <w:rPr>
          <w:sz w:val="20"/>
          <w:szCs w:val="20"/>
          <w:color w:val="auto"/>
        </w:rPr>
      </w:pPr>
      <w:r>
        <w:rPr>
          <w:rFonts w:ascii="Arial" w:cs="Arial" w:eastAsia="Arial" w:hAnsi="Arial"/>
          <w:sz w:val="13"/>
          <w:szCs w:val="13"/>
          <w:color w:val="007CBA"/>
        </w:rPr>
        <w:t xml:space="preserve">Appendix B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Non-GAAP Measures</w:t>
      </w:r>
    </w:p>
    <w:p>
      <w:pPr>
        <w:spacing w:after="0" w:line="228"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The leverage ratio is our consolidated debt to consolidated EBITDA for the trailing twelve months as defined by the Company’s credit agreement. The following is the calculation of the leverage ratio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123825</wp:posOffset>
            </wp:positionV>
            <wp:extent cx="6905625" cy="152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05625" cy="15240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24765</wp:posOffset>
            </wp:positionV>
            <wp:extent cx="6905625" cy="21412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05625" cy="2141220"/>
                    </a:xfrm>
                    <a:prstGeom prst="rect">
                      <a:avLst/>
                    </a:prstGeom>
                    <a:noFill/>
                  </pic:spPr>
                </pic:pic>
              </a:graphicData>
            </a:graphic>
          </wp:anchor>
        </w:drawing>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Earnings Attributable to Martin Marietta</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Add back:</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expense</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depletion and amortization expense and nonconsolidated equity affiliate adjustment</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Stock-based compensation expense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Deduct:</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Consolidated EBITDA, as defined by the Company’s Credit Agreement</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Consolidated debt, as defined and including debt for which the Company is a co-borrower, at December 31, 2019</w:t>
      </w:r>
    </w:p>
    <w:p>
      <w:pPr>
        <w:spacing w:after="0" w:line="123" w:lineRule="exact"/>
        <w:rPr>
          <w:sz w:val="20"/>
          <w:szCs w:val="20"/>
          <w:color w:val="auto"/>
        </w:rPr>
      </w:pPr>
    </w:p>
    <w:p>
      <w:pPr>
        <w:ind w:left="260"/>
        <w:spacing w:after="0" w:line="254" w:lineRule="auto"/>
        <w:rPr>
          <w:sz w:val="20"/>
          <w:szCs w:val="20"/>
          <w:color w:val="auto"/>
        </w:rPr>
      </w:pPr>
      <w:r>
        <w:rPr>
          <w:rFonts w:ascii="Arial" w:cs="Arial" w:eastAsia="Arial" w:hAnsi="Arial"/>
          <w:sz w:val="16"/>
          <w:szCs w:val="16"/>
          <w:color w:val="auto"/>
        </w:rPr>
        <w:t>Consolidated debt-to-consolidated EBITDA, as defined by the Company’s Credit Agreement, at December 31, 2019 for trailing-twelve month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132080</wp:posOffset>
            </wp:positionV>
            <wp:extent cx="406400" cy="2451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0640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611.9</w:t>
            </w:r>
          </w:p>
        </w:tc>
      </w:tr>
    </w:tbl>
    <w:p>
      <w:pPr>
        <w:spacing w:after="0" w:line="367"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129.3</w:t>
      </w:r>
    </w:p>
    <w:p>
      <w:pPr>
        <w:spacing w:after="0" w:line="96"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136.3</w:t>
      </w:r>
    </w:p>
    <w:p>
      <w:pPr>
        <w:spacing w:after="0" w:line="96"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383.4</w:t>
      </w:r>
    </w:p>
    <w:p>
      <w:pPr>
        <w:spacing w:after="0" w:line="96"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34.1</w:t>
      </w:r>
    </w:p>
    <w:p>
      <w:pPr>
        <w:spacing w:after="0" w:line="376"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auto"/>
        </w:rPr>
        <w:t>(0.4)</w:t>
      </w:r>
    </w:p>
    <w:p>
      <w:pPr>
        <w:spacing w:after="0" w:line="96" w:lineRule="exact"/>
        <w:rPr>
          <w:sz w:val="20"/>
          <w:szCs w:val="20"/>
          <w:color w:val="auto"/>
        </w:rPr>
      </w:pPr>
    </w:p>
    <w:p>
      <w:pPr>
        <w:ind w:left="120" w:hanging="111"/>
        <w:spacing w:after="0"/>
        <w:tabs>
          <w:tab w:leader="none" w:pos="120" w:val="left"/>
        </w:tabs>
        <w:numPr>
          <w:ilvl w:val="0"/>
          <w:numId w:val="18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1,294.6</w:t>
      </w:r>
    </w:p>
    <w:p>
      <w:pPr>
        <w:spacing w:after="0" w:line="122" w:lineRule="exact"/>
        <w:rPr>
          <w:rFonts w:ascii="Arial" w:cs="Arial" w:eastAsia="Arial" w:hAnsi="Arial"/>
          <w:sz w:val="16"/>
          <w:szCs w:val="16"/>
          <w:u w:val="single" w:color="auto"/>
          <w:color w:val="auto"/>
        </w:rPr>
      </w:pPr>
    </w:p>
    <w:p>
      <w:pPr>
        <w:ind w:left="120" w:hanging="111"/>
        <w:spacing w:after="0"/>
        <w:tabs>
          <w:tab w:leader="none" w:pos="120" w:val="left"/>
        </w:tabs>
        <w:numPr>
          <w:ilvl w:val="0"/>
          <w:numId w:val="18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2,793.8</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2.2x</w:t>
      </w:r>
    </w:p>
    <w:p>
      <w:pPr>
        <w:spacing w:after="0" w:line="218" w:lineRule="exact"/>
        <w:rPr>
          <w:sz w:val="20"/>
          <w:szCs w:val="20"/>
          <w:color w:val="auto"/>
        </w:rPr>
      </w:pPr>
    </w:p>
    <w:p>
      <w:pPr>
        <w:sectPr>
          <w:pgSz w:w="11900" w:h="16838" w:orient="portrait"/>
          <w:cols w:equalWidth="0" w:num="2">
            <w:col w:w="9680" w:space="440"/>
            <w:col w:w="940"/>
          </w:cols>
          <w:pgMar w:left="320" w:top="455" w:right="519" w:bottom="1440" w:gutter="0" w:footer="0" w:header="0"/>
          <w:type w:val="continuous"/>
        </w:sectPr>
      </w:pPr>
    </w:p>
    <w:p>
      <w:pPr>
        <w:spacing w:after="0" w:line="28" w:lineRule="exact"/>
        <w:rPr>
          <w:sz w:val="20"/>
          <w:szCs w:val="20"/>
          <w:color w:val="auto"/>
        </w:rPr>
      </w:pPr>
    </w:p>
    <w:p>
      <w:pPr>
        <w:ind w:left="180"/>
        <w:spacing w:after="0"/>
        <w:tabs>
          <w:tab w:leader="none" w:pos="600" w:val="left"/>
        </w:tabs>
        <w:rPr>
          <w:sz w:val="20"/>
          <w:szCs w:val="20"/>
          <w:color w:val="auto"/>
        </w:rPr>
      </w:pPr>
      <w:r>
        <w:rPr>
          <w:rFonts w:ascii="Arial" w:cs="Arial" w:eastAsia="Arial" w:hAnsi="Arial"/>
          <w:sz w:val="12"/>
          <w:szCs w:val="12"/>
          <w:b w:val="1"/>
          <w:bCs w:val="1"/>
          <w:color w:val="auto"/>
        </w:rPr>
        <w:t>B-2</w:t>
      </w:r>
      <w:r>
        <w:rPr>
          <w:sz w:val="20"/>
          <w:szCs w:val="20"/>
          <w:color w:val="auto"/>
        </w:rPr>
        <w:tab/>
      </w:r>
      <w:r>
        <w:rPr>
          <w:rFonts w:ascii="Arial" w:cs="Arial" w:eastAsia="Arial" w:hAnsi="Arial"/>
          <w:sz w:val="12"/>
          <w:szCs w:val="12"/>
          <w:color w:val="007CBA"/>
        </w:rPr>
        <w:t>2020 PROXY STATEMENT</w:t>
      </w:r>
    </w:p>
    <w:p>
      <w:pPr>
        <w:sectPr>
          <w:pgSz w:w="11900" w:h="16838" w:orient="portrait"/>
          <w:cols w:equalWidth="0" w:num="1">
            <w:col w:w="11060"/>
          </w:cols>
          <w:pgMar w:left="320" w:top="455" w:right="519" w:bottom="1440" w:gutter="0" w:footer="0" w:header="0"/>
          <w:type w:val="continuous"/>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223520</wp:posOffset>
            </wp:positionV>
            <wp:extent cx="7078345" cy="91395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078345" cy="91395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223520</wp:posOffset>
            </wp:positionV>
            <wp:extent cx="5365115" cy="69392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65115" cy="69392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223520</wp:posOffset>
            </wp:positionV>
            <wp:extent cx="5365115" cy="69392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65115" cy="69392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223520</wp:posOffset>
            </wp:positionV>
            <wp:extent cx="5365115" cy="69392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65115" cy="693928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lvl w:ilvl="1">
      <w:lvlJc w:val="left"/>
      <w:lvlText w:val="(%2)"/>
      <w:numFmt w:val="decimal"/>
      <w:start w:val="1"/>
    </w:lvl>
  </w:abstractNum>
  <w:abstractNum w:abstractNumId="3">
    <w:nsid w:val="26F324BA"/>
    <w:multiLevelType w:val="hybridMultilevel"/>
    <w:lvl w:ilvl="0">
      <w:lvlJc w:val="left"/>
      <w:lvlText w:val="%1"/>
      <w:numFmt w:val="decimal"/>
      <w:start w:val="37"/>
    </w:lvl>
  </w:abstractNum>
  <w:abstractNum w:abstractNumId="4">
    <w:nsid w:val="7F01579B"/>
    <w:multiLevelType w:val="hybridMultilevel"/>
    <w:lvl w:ilvl="0">
      <w:lvlJc w:val="left"/>
      <w:lvlText w:val="%1"/>
      <w:numFmt w:val="decimal"/>
      <w:start w:val="42"/>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2"/>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lvl w:ilvl="1">
      <w:lvlJc w:val="left"/>
      <w:lvlText w:val="•"/>
      <w:numFmt w:val="bullet"/>
      <w:start w:val="1"/>
    </w:lvl>
  </w:abstractNum>
  <w:abstractNum w:abstractNumId="21">
    <w:nsid w:val="14FCE74E"/>
    <w:multiLevelType w:val="hybridMultilevel"/>
    <w:lvl w:ilvl="0">
      <w:lvlJc w:val="left"/>
      <w:lvlText w:val="4"/>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6"/>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8"/>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1"/>
      <w:numFmt w:val="decimal"/>
      <w:start w:val="10"/>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1"/>
      <w:numFmt w:val="decimal"/>
      <w:start w:val="12"/>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1"/>
      <w:numFmt w:val="decimal"/>
      <w:start w:val="14"/>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1"/>
      <w:numFmt w:val="decimal"/>
      <w:start w:val="16"/>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1"/>
      <w:numFmt w:val="decimal"/>
      <w:start w:val="18"/>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1"/>
      <w:numFmt w:val="decimal"/>
      <w:start w:val="20"/>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amp;"/>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1"/>
      <w:numFmt w:val="bullet"/>
      <w:start w:val="1"/>
    </w:lvl>
  </w:abstractNum>
  <w:abstractNum w:abstractNumId="56">
    <w:nsid w:val="3DD15094"/>
    <w:multiLevelType w:val="hybridMultilevel"/>
    <w:lvl w:ilvl="0">
      <w:lvlJc w:val="left"/>
      <w:lvlText w:val="2"/>
      <w:numFmt w:val="bullet"/>
      <w:start w:val="1"/>
    </w:lvl>
  </w:abstractNum>
  <w:abstractNum w:abstractNumId="57">
    <w:nsid w:val="3DB012B3"/>
    <w:multiLevelType w:val="hybridMultilevel"/>
    <w:lvl w:ilvl="0">
      <w:lvlJc w:val="left"/>
      <w:lvlText w:val="3"/>
      <w:numFmt w:val="bullet"/>
      <w:start w:val="1"/>
    </w:lvl>
  </w:abstractNum>
  <w:abstractNum w:abstractNumId="58">
    <w:nsid w:val="2708C9AF"/>
    <w:multiLevelType w:val="hybridMultilevel"/>
    <w:lvl w:ilvl="0">
      <w:lvlJc w:val="left"/>
      <w:lvlText w:val="%1"/>
      <w:numFmt w:val="decimal"/>
      <w:start w:val="22"/>
    </w:lvl>
  </w:abstractNum>
  <w:abstractNum w:abstractNumId="59">
    <w:nsid w:val="5B25ACE2"/>
    <w:multiLevelType w:val="hybridMultilevel"/>
    <w:lvl w:ilvl="0">
      <w:lvlJc w:val="left"/>
      <w:lvlText w:val="(%1)"/>
      <w:numFmt w:val="lowerRoman"/>
      <w:start w:val="1"/>
    </w:lvl>
  </w:abstractNum>
  <w:abstractNum w:abstractNumId="60">
    <w:nsid w:val="175DFCF0"/>
    <w:multiLevelType w:val="hybridMultilevel"/>
    <w:lvl w:ilvl="0">
      <w:lvlJc w:val="left"/>
      <w:lvlText w:val="1"/>
      <w:numFmt w:val="bullet"/>
      <w:start w:val="1"/>
    </w:lvl>
  </w:abstractNum>
  <w:abstractNum w:abstractNumId="61">
    <w:nsid w:val="4F97E3E4"/>
    <w:multiLevelType w:val="hybridMultilevel"/>
    <w:lvl w:ilvl="0">
      <w:lvlJc w:val="left"/>
      <w:lvlText w:val="2"/>
      <w:numFmt w:val="bullet"/>
      <w:start w:val="1"/>
    </w:lvl>
  </w:abstractNum>
  <w:abstractNum w:abstractNumId="62">
    <w:nsid w:val="53B0A9E"/>
    <w:multiLevelType w:val="hybridMultilevel"/>
    <w:lvl w:ilvl="0">
      <w:lvlJc w:val="left"/>
      <w:lvlText w:val="3"/>
      <w:numFmt w:val="bullet"/>
      <w:start w:val="1"/>
    </w:lvl>
  </w:abstractNum>
  <w:abstractNum w:abstractNumId="63">
    <w:nsid w:val="34FD6B4F"/>
    <w:multiLevelType w:val="hybridMultilevel"/>
    <w:lvl w:ilvl="0">
      <w:lvlJc w:val="left"/>
      <w:lvlText w:val="4"/>
      <w:numFmt w:val="bullet"/>
      <w:start w:val="1"/>
    </w:lvl>
  </w:abstractNum>
  <w:abstractNum w:abstractNumId="64">
    <w:nsid w:val="5915FF32"/>
    <w:multiLevelType w:val="hybridMultilevel"/>
    <w:lvl w:ilvl="0">
      <w:lvlJc w:val="left"/>
      <w:lvlText w:val="5"/>
      <w:numFmt w:val="bullet"/>
      <w:start w:val="1"/>
    </w:lvl>
  </w:abstractNum>
  <w:abstractNum w:abstractNumId="65">
    <w:nsid w:val="56438D15"/>
    <w:multiLevelType w:val="hybridMultilevel"/>
    <w:lvl w:ilvl="0">
      <w:lvlJc w:val="left"/>
      <w:lvlText w:val="6"/>
      <w:numFmt w:val="bullet"/>
      <w:start w:val="1"/>
    </w:lvl>
  </w:abstractNum>
  <w:abstractNum w:abstractNumId="66">
    <w:nsid w:val="519E3149"/>
    <w:multiLevelType w:val="hybridMultilevel"/>
    <w:lvl w:ilvl="0">
      <w:lvlJc w:val="left"/>
      <w:lvlText w:val="1"/>
      <w:numFmt w:val="bullet"/>
      <w:start w:val="1"/>
    </w:lvl>
  </w:abstractNum>
  <w:abstractNum w:abstractNumId="67">
    <w:nsid w:val="2C6E4AFD"/>
    <w:multiLevelType w:val="hybridMultilevel"/>
    <w:lvl w:ilvl="0">
      <w:lvlJc w:val="left"/>
      <w:lvlText w:val="2"/>
      <w:numFmt w:val="bullet"/>
      <w:start w:val="1"/>
    </w:lvl>
  </w:abstractNum>
  <w:abstractNum w:abstractNumId="68">
    <w:nsid w:val="17A1B582"/>
    <w:multiLevelType w:val="hybridMultilevel"/>
    <w:lvl w:ilvl="0">
      <w:lvlJc w:val="left"/>
      <w:lvlText w:val="3"/>
      <w:numFmt w:val="bullet"/>
      <w:start w:val="1"/>
    </w:lvl>
  </w:abstractNum>
  <w:abstractNum w:abstractNumId="69">
    <w:nsid w:val="4DF72E4E"/>
    <w:multiLevelType w:val="hybridMultilevel"/>
    <w:lvl w:ilvl="0">
      <w:lvlJc w:val="left"/>
      <w:lvlText w:val="4"/>
      <w:numFmt w:val="bullet"/>
      <w:start w:val="1"/>
    </w:lvl>
  </w:abstractNum>
  <w:abstractNum w:abstractNumId="70">
    <w:nsid w:val="5046B5A9"/>
    <w:multiLevelType w:val="hybridMultilevel"/>
    <w:lvl w:ilvl="0">
      <w:lvlJc w:val="left"/>
      <w:lvlText w:val="5"/>
      <w:numFmt w:val="bullet"/>
      <w:start w:val="1"/>
    </w:lvl>
  </w:abstractNum>
  <w:abstractNum w:abstractNumId="71">
    <w:nsid w:val="5D888A08"/>
    <w:multiLevelType w:val="hybridMultilevel"/>
    <w:lvl w:ilvl="0">
      <w:lvlJc w:val="left"/>
      <w:lvlText w:val="%1"/>
      <w:numFmt w:val="decimal"/>
      <w:start w:val="24"/>
    </w:lvl>
  </w:abstractNum>
  <w:abstractNum w:abstractNumId="72">
    <w:nsid w:val="2A082C70"/>
    <w:multiLevelType w:val="hybridMultilevel"/>
    <w:lvl w:ilvl="0">
      <w:lvlJc w:val="left"/>
      <w:lvlText w:val="1"/>
      <w:numFmt w:val="bullet"/>
      <w:start w:val="1"/>
    </w:lvl>
  </w:abstractNum>
  <w:abstractNum w:abstractNumId="73">
    <w:nsid w:val="5EC6AFD4"/>
    <w:multiLevelType w:val="hybridMultilevel"/>
    <w:lvl w:ilvl="0">
      <w:lvlJc w:val="left"/>
      <w:lvlText w:val="2"/>
      <w:numFmt w:val="bullet"/>
      <w:start w:val="1"/>
    </w:lvl>
  </w:abstractNum>
  <w:abstractNum w:abstractNumId="74">
    <w:nsid w:val="19E21BB2"/>
    <w:multiLevelType w:val="hybridMultilevel"/>
    <w:lvl w:ilvl="0">
      <w:lvlJc w:val="left"/>
      <w:lvlText w:val="%1"/>
      <w:numFmt w:val="decimal"/>
      <w:start w:val="26"/>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1"/>
      <w:numFmt w:val="decimal"/>
      <w:start w:val="28"/>
    </w:lvl>
  </w:abstractNum>
  <w:abstractNum w:abstractNumId="78">
    <w:nsid w:val="20EE1348"/>
    <w:multiLevelType w:val="hybridMultilevel"/>
    <w:lvl w:ilvl="0">
      <w:lvlJc w:val="left"/>
      <w:lvlText w:val="(%1)"/>
      <w:numFmt w:val="decimal"/>
      <w:start w:val="3"/>
    </w:lvl>
  </w:abstractNum>
  <w:abstractNum w:abstractNumId="79">
    <w:nsid w:val="4427069A"/>
    <w:multiLevelType w:val="hybridMultilevel"/>
    <w:lvl w:ilvl="0">
      <w:lvlJc w:val="left"/>
      <w:lvlText w:val="%1"/>
      <w:numFmt w:val="decimal"/>
      <w:start w:val="30"/>
    </w:lvl>
  </w:abstractNum>
  <w:abstractNum w:abstractNumId="80">
    <w:nsid w:val="B37E80A"/>
    <w:multiLevelType w:val="hybridMultilevel"/>
    <w:lvl w:ilvl="0">
      <w:lvlJc w:val="left"/>
      <w:lvlText w:val="1"/>
      <w:numFmt w:val="bullet"/>
      <w:start w:val="1"/>
    </w:lvl>
  </w:abstractNum>
  <w:abstractNum w:abstractNumId="81">
    <w:nsid w:val="2157F6BC"/>
    <w:multiLevelType w:val="hybridMultilevel"/>
    <w:lvl w:ilvl="0">
      <w:lvlJc w:val="left"/>
      <w:lvlText w:val="2"/>
      <w:numFmt w:val="bullet"/>
      <w:start w:val="1"/>
    </w:lvl>
  </w:abstractNum>
  <w:abstractNum w:abstractNumId="82">
    <w:nsid w:val="704E1DD5"/>
    <w:multiLevelType w:val="hybridMultilevel"/>
    <w:lvl w:ilvl="0">
      <w:lvlJc w:val="left"/>
      <w:lvlText w:val="3"/>
      <w:numFmt w:val="bullet"/>
      <w:start w:val="1"/>
    </w:lvl>
  </w:abstractNum>
  <w:abstractNum w:abstractNumId="83">
    <w:nsid w:val="57D2F10E"/>
    <w:multiLevelType w:val="hybridMultilevel"/>
    <w:lvl w:ilvl="0">
      <w:lvlJc w:val="left"/>
      <w:lvlText w:val="4"/>
      <w:numFmt w:val="bullet"/>
      <w:start w:val="1"/>
    </w:lvl>
  </w:abstractNum>
  <w:abstractNum w:abstractNumId="84">
    <w:nsid w:val="BFFAE18"/>
    <w:multiLevelType w:val="hybridMultilevel"/>
    <w:lvl w:ilvl="0">
      <w:lvlJc w:val="left"/>
      <w:lvlText w:val="%1"/>
      <w:numFmt w:val="decimal"/>
      <w:start w:val="32"/>
    </w:lvl>
  </w:abstractNum>
  <w:abstractNum w:abstractNumId="85">
    <w:nsid w:val="E3E47A8"/>
    <w:multiLevelType w:val="hybridMultilevel"/>
    <w:lvl w:ilvl="0">
      <w:lvlJc w:val="left"/>
      <w:lvlText w:val="%1"/>
      <w:numFmt w:val="decimal"/>
      <w:start w:val="34"/>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1"/>
      <w:numFmt w:val="decimal"/>
      <w:start w:val="36"/>
    </w:lvl>
  </w:abstractNum>
  <w:abstractNum w:abstractNumId="89">
    <w:nsid w:val="5551B9F3"/>
    <w:multiLevelType w:val="hybridMultilevel"/>
    <w:lvl w:ilvl="0">
      <w:lvlJc w:val="left"/>
      <w:lvlText w:val="•"/>
      <w:numFmt w:val="bullet"/>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1"/>
      <w:numFmt w:val="decimal"/>
      <w:start w:val="38"/>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1"/>
      <w:numFmt w:val="decimal"/>
      <w:start w:val="40"/>
    </w:lvl>
  </w:abstractNum>
  <w:abstractNum w:abstractNumId="95">
    <w:nsid w:val="7DFF9D09"/>
    <w:multiLevelType w:val="hybridMultilevel"/>
    <w:lvl w:ilvl="0">
      <w:lvlJc w:val="left"/>
      <w:lvlText w:val="*"/>
      <w:numFmt w:val="bullet"/>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1"/>
      <w:numFmt w:val="decimal"/>
      <w:start w:val="42"/>
    </w:lvl>
  </w:abstractNum>
  <w:abstractNum w:abstractNumId="98">
    <w:nsid w:val="2A6DE806"/>
    <w:multiLevelType w:val="hybridMultilevel"/>
    <w:lvl w:ilvl="0">
      <w:lvlJc w:val="left"/>
      <w:lvlText w:val="•"/>
      <w:numFmt w:val="bullet"/>
      <w:start w:val="1"/>
    </w:lvl>
  </w:abstractNum>
  <w:abstractNum w:abstractNumId="99">
    <w:nsid w:val="1816F8C4"/>
    <w:multiLevelType w:val="hybridMultilevel"/>
    <w:lvl w:ilvl="0">
      <w:lvlJc w:val="left"/>
      <w:lvlText w:val="%1"/>
      <w:numFmt w:val="decimal"/>
      <w:start w:val="44"/>
    </w:lvl>
  </w:abstractNum>
  <w:abstractNum w:abstractNumId="100">
    <w:nsid w:val="37DF2233"/>
    <w:multiLevelType w:val="hybridMultilevel"/>
    <w:lvl w:ilvl="0">
      <w:lvlJc w:val="left"/>
      <w:lvlText w:val="•"/>
      <w:numFmt w:val="bullet"/>
      <w:start w:val="1"/>
    </w:lvl>
  </w:abstractNum>
  <w:abstractNum w:abstractNumId="101">
    <w:nsid w:val="7AB49DAF"/>
    <w:multiLevelType w:val="hybridMultilevel"/>
    <w:lvl w:ilvl="0">
      <w:lvlJc w:val="left"/>
      <w:lvlText w:val="•"/>
      <w:numFmt w:val="bullet"/>
      <w:start w:val="1"/>
    </w:lvl>
  </w:abstractNum>
  <w:abstractNum w:abstractNumId="102">
    <w:nsid w:val="759F82CD"/>
    <w:multiLevelType w:val="hybridMultilevel"/>
    <w:lvl w:ilvl="0">
      <w:lvlJc w:val="left"/>
      <w:lvlText w:val="*"/>
      <w:numFmt w:val="bullet"/>
      <w:start w:val="1"/>
    </w:lvl>
  </w:abstractNum>
  <w:abstractNum w:abstractNumId="103">
    <w:nsid w:val="61E74EA3"/>
    <w:multiLevelType w:val="hybridMultilevel"/>
    <w:lvl w:ilvl="0">
      <w:lvlJc w:val="left"/>
      <w:lvlText w:val="•"/>
      <w:numFmt w:val="bullet"/>
      <w:start w:val="1"/>
    </w:lvl>
  </w:abstractNum>
  <w:abstractNum w:abstractNumId="104">
    <w:nsid w:val="597B4D84"/>
    <w:multiLevelType w:val="hybridMultilevel"/>
    <w:lvl w:ilvl="0">
      <w:lvlJc w:val="left"/>
      <w:lvlText w:val="•"/>
      <w:numFmt w:val="bullet"/>
      <w:start w:val="1"/>
    </w:lvl>
  </w:abstractNum>
  <w:abstractNum w:abstractNumId="105">
    <w:nsid w:val="F819E7F"/>
    <w:multiLevelType w:val="hybridMultilevel"/>
    <w:lvl w:ilvl="0">
      <w:lvlJc w:val="left"/>
      <w:lvlText w:val="%1"/>
      <w:numFmt w:val="decimal"/>
      <w:start w:val="46"/>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1)"/>
      <w:numFmt w:val="decimal"/>
      <w:start w:val="1"/>
    </w:lvl>
  </w:abstractNum>
  <w:abstractNum w:abstractNumId="108">
    <w:nsid w:val="631B64D4"/>
    <w:multiLevelType w:val="hybridMultilevel"/>
    <w:lvl w:ilvl="0">
      <w:lvlJc w:val="left"/>
      <w:lvlText w:val="%1"/>
      <w:numFmt w:val="decimal"/>
      <w:start w:val="48"/>
    </w:lvl>
  </w:abstractNum>
  <w:abstractNum w:abstractNumId="109">
    <w:nsid w:val="78B5E776"/>
    <w:multiLevelType w:val="hybridMultilevel"/>
    <w:lvl w:ilvl="0">
      <w:lvlJc w:val="left"/>
      <w:lvlText w:val="(%1)"/>
      <w:numFmt w:val="decimal"/>
      <w:start w:val="1"/>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
      <w:numFmt w:val="bullet"/>
      <w:start w:val="1"/>
    </w:lvl>
  </w:abstractNum>
  <w:abstractNum w:abstractNumId="113">
    <w:nsid w:val="65968C1C"/>
    <w:multiLevelType w:val="hybridMultilevel"/>
    <w:lvl w:ilvl="0">
      <w:lvlJc w:val="left"/>
      <w:lvlText w:val="***"/>
      <w:numFmt w:val="bullet"/>
      <w:start w:val="1"/>
    </w:lvl>
  </w:abstractNum>
  <w:abstractNum w:abstractNumId="114">
    <w:nsid w:val="46263DEC"/>
    <w:multiLevelType w:val="hybridMultilevel"/>
    <w:lvl w:ilvl="0">
      <w:lvlJc w:val="left"/>
      <w:lvlText w:val="%1"/>
      <w:numFmt w:val="decimal"/>
      <w:start w:val="50"/>
    </w:lvl>
  </w:abstractNum>
  <w:abstractNum w:abstractNumId="115">
    <w:nsid w:val="260D8C4A"/>
    <w:multiLevelType w:val="hybridMultilevel"/>
    <w:lvl w:ilvl="0">
      <w:lvlJc w:val="left"/>
      <w:lvlText w:val="$"/>
      <w:numFmt w:val="bullet"/>
      <w:start w:val="1"/>
    </w:lvl>
  </w:abstractNum>
  <w:abstractNum w:abstractNumId="116">
    <w:nsid w:val="73D4D3C4"/>
    <w:multiLevelType w:val="hybridMultilevel"/>
    <w:lvl w:ilvl="0">
      <w:lvlJc w:val="left"/>
      <w:lvlText w:val="$"/>
      <w:numFmt w:val="bullet"/>
      <w:start w:val="1"/>
    </w:lvl>
  </w:abstractNum>
  <w:abstractNum w:abstractNumId="117">
    <w:nsid w:val="746F2E30"/>
    <w:multiLevelType w:val="hybridMultilevel"/>
    <w:lvl w:ilvl="0">
      <w:lvlJc w:val="left"/>
      <w:lvlText w:val="*"/>
      <w:numFmt w:val="bullet"/>
      <w:start w:val="1"/>
    </w:lvl>
  </w:abstractNum>
  <w:abstractNum w:abstractNumId="118">
    <w:nsid w:val="6FDE8AF6"/>
    <w:multiLevelType w:val="hybridMultilevel"/>
    <w:lvl w:ilvl="0">
      <w:lvlJc w:val="left"/>
      <w:lvlText w:val="•"/>
      <w:numFmt w:val="bullet"/>
      <w:start w:val="1"/>
    </w:lvl>
  </w:abstractNum>
  <w:abstractNum w:abstractNumId="119">
    <w:nsid w:val="3FC32E20"/>
    <w:multiLevelType w:val="hybridMultilevel"/>
    <w:lvl w:ilvl="0">
      <w:lvlJc w:val="left"/>
      <w:lvlText w:val="•"/>
      <w:numFmt w:val="bullet"/>
      <w:start w:val="1"/>
    </w:lvl>
  </w:abstractNum>
  <w:abstractNum w:abstractNumId="120">
    <w:nsid w:val="49C0E823"/>
    <w:multiLevelType w:val="hybridMultilevel"/>
    <w:lvl w:ilvl="0">
      <w:lvlJc w:val="left"/>
      <w:lvlText w:val="•"/>
      <w:numFmt w:val="bullet"/>
      <w:start w:val="1"/>
    </w:lvl>
  </w:abstractNum>
  <w:abstractNum w:abstractNumId="121">
    <w:nsid w:val="14D53685"/>
    <w:multiLevelType w:val="hybridMultilevel"/>
    <w:lvl w:ilvl="0">
      <w:lvlJc w:val="left"/>
      <w:lvlText w:val="•"/>
      <w:numFmt w:val="bullet"/>
      <w:start w:val="1"/>
    </w:lvl>
  </w:abstractNum>
  <w:abstractNum w:abstractNumId="122">
    <w:nsid w:val="230F856C"/>
    <w:multiLevelType w:val="hybridMultilevel"/>
    <w:lvl w:ilvl="0">
      <w:lvlJc w:val="left"/>
      <w:lvlText w:val="•"/>
      <w:numFmt w:val="bullet"/>
      <w:start w:val="1"/>
    </w:lvl>
  </w:abstractNum>
  <w:abstractNum w:abstractNumId="123">
    <w:nsid w:val="6EAA85FB"/>
    <w:multiLevelType w:val="hybridMultilevel"/>
    <w:lvl w:ilvl="0">
      <w:lvlJc w:val="left"/>
      <w:lvlText w:val="%1"/>
      <w:numFmt w:val="decimal"/>
      <w:start w:val="52"/>
    </w:lvl>
  </w:abstractNum>
  <w:abstractNum w:abstractNumId="124">
    <w:nsid w:val="3F06ECB2"/>
    <w:multiLevelType w:val="hybridMultilevel"/>
    <w:lvl w:ilvl="0">
      <w:lvlJc w:val="left"/>
      <w:lvlText w:val="•"/>
      <w:numFmt w:val="bullet"/>
      <w:start w:val="1"/>
    </w:lvl>
  </w:abstractNum>
  <w:abstractNum w:abstractNumId="125">
    <w:nsid w:val="3B594807"/>
    <w:multiLevelType w:val="hybridMultilevel"/>
    <w:lvl w:ilvl="0">
      <w:lvlJc w:val="left"/>
      <w:lvlText w:val="•"/>
      <w:numFmt w:val="bullet"/>
      <w:start w:val="1"/>
    </w:lvl>
  </w:abstractNum>
  <w:abstractNum w:abstractNumId="126">
    <w:nsid w:val="6CAA2304"/>
    <w:multiLevelType w:val="hybridMultilevel"/>
    <w:lvl w:ilvl="0">
      <w:lvlJc w:val="left"/>
      <w:lvlText w:val="•"/>
      <w:numFmt w:val="bullet"/>
      <w:start w:val="1"/>
    </w:lvl>
  </w:abstractNum>
  <w:abstractNum w:abstractNumId="127">
    <w:nsid w:val="3F7C2FF4"/>
    <w:multiLevelType w:val="hybridMultilevel"/>
    <w:lvl w:ilvl="0">
      <w:lvlJc w:val="left"/>
      <w:lvlText w:val="%1"/>
      <w:numFmt w:val="decimal"/>
      <w:start w:val="54"/>
    </w:lvl>
  </w:abstractNum>
  <w:abstractNum w:abstractNumId="128">
    <w:nsid w:val="25413BEC"/>
    <w:multiLevelType w:val="hybridMultilevel"/>
    <w:lvl w:ilvl="0">
      <w:lvlJc w:val="left"/>
      <w:lvlText w:val="•"/>
      <w:numFmt w:val="bullet"/>
      <w:start w:val="1"/>
    </w:lvl>
  </w:abstractNum>
  <w:abstractNum w:abstractNumId="129">
    <w:nsid w:val="17180B0B"/>
    <w:multiLevelType w:val="hybridMultilevel"/>
    <w:lvl w:ilvl="0">
      <w:lvlJc w:val="left"/>
      <w:lvlText w:val="(%1)"/>
      <w:numFmt w:val="lowerRoman"/>
      <w:start w:val="6"/>
    </w:lvl>
  </w:abstractNum>
  <w:abstractNum w:abstractNumId="130">
    <w:nsid w:val="579328B9"/>
    <w:multiLevelType w:val="hybridMultilevel"/>
    <w:lvl w:ilvl="0">
      <w:lvlJc w:val="left"/>
      <w:lvlText w:val="•"/>
      <w:numFmt w:val="bullet"/>
      <w:start w:val="1"/>
    </w:lvl>
  </w:abstractNum>
  <w:abstractNum w:abstractNumId="131">
    <w:nsid w:val="5D205E20"/>
    <w:multiLevelType w:val="hybridMultilevel"/>
    <w:lvl w:ilvl="0">
      <w:lvlJc w:val="left"/>
      <w:lvlText w:val="•"/>
      <w:numFmt w:val="bullet"/>
      <w:start w:val="1"/>
    </w:lvl>
  </w:abstractNum>
  <w:abstractNum w:abstractNumId="132">
    <w:nsid w:val="11CCA8BA"/>
    <w:multiLevelType w:val="hybridMultilevel"/>
    <w:lvl w:ilvl="0">
      <w:lvlJc w:val="left"/>
      <w:lvlText w:val="%1"/>
      <w:numFmt w:val="decimal"/>
      <w:start w:val="56"/>
    </w:lvl>
  </w:abstractNum>
  <w:abstractNum w:abstractNumId="133">
    <w:nsid w:val="4D32AB86"/>
    <w:multiLevelType w:val="hybridMultilevel"/>
    <w:lvl w:ilvl="0">
      <w:lvlJc w:val="left"/>
      <w:lvlText w:val="1"/>
      <w:numFmt w:val="bullet"/>
      <w:start w:val="1"/>
    </w:lvl>
  </w:abstractNum>
  <w:abstractNum w:abstractNumId="134">
    <w:nsid w:val="3F07ACC3"/>
    <w:multiLevelType w:val="hybridMultilevel"/>
    <w:lvl w:ilvl="0">
      <w:lvlJc w:val="left"/>
      <w:lvlText w:val="2"/>
      <w:numFmt w:val="bullet"/>
      <w:start w:val="1"/>
    </w:lvl>
  </w:abstractNum>
  <w:abstractNum w:abstractNumId="135">
    <w:nsid w:val="6B47F63E"/>
    <w:multiLevelType w:val="hybridMultilevel"/>
    <w:lvl w:ilvl="0">
      <w:lvlJc w:val="left"/>
      <w:lvlText w:val="3"/>
      <w:numFmt w:val="bullet"/>
      <w:start w:val="1"/>
    </w:lvl>
  </w:abstractNum>
  <w:abstractNum w:abstractNumId="136">
    <w:nsid w:val="5CB44A05"/>
    <w:multiLevelType w:val="hybridMultilevel"/>
    <w:lvl w:ilvl="0">
      <w:lvlJc w:val="left"/>
      <w:lvlText w:val="4"/>
      <w:numFmt w:val="bullet"/>
      <w:start w:val="1"/>
    </w:lvl>
  </w:abstractNum>
  <w:abstractNum w:abstractNumId="137">
    <w:nsid w:val="16CF80F1"/>
    <w:multiLevelType w:val="hybridMultilevel"/>
    <w:lvl w:ilvl="0">
      <w:lvlJc w:val="left"/>
      <w:lvlText w:val="5"/>
      <w:numFmt w:val="bullet"/>
      <w:start w:val="1"/>
    </w:lvl>
  </w:abstractNum>
  <w:abstractNum w:abstractNumId="138">
    <w:nsid w:val="1C695DEC"/>
    <w:multiLevelType w:val="hybridMultilevel"/>
    <w:lvl w:ilvl="0">
      <w:lvlJc w:val="left"/>
      <w:lvlText w:val="6"/>
      <w:numFmt w:val="bullet"/>
      <w:start w:val="1"/>
    </w:lvl>
  </w:abstractNum>
  <w:abstractNum w:abstractNumId="139">
    <w:nsid w:val="3FCFAED9"/>
    <w:multiLevelType w:val="hybridMultilevel"/>
    <w:lvl w:ilvl="0">
      <w:lvlJc w:val="left"/>
      <w:lvlText w:val="7"/>
      <w:numFmt w:val="bullet"/>
      <w:start w:val="1"/>
    </w:lvl>
  </w:abstractNum>
  <w:abstractNum w:abstractNumId="140">
    <w:nsid w:val="F856867"/>
    <w:multiLevelType w:val="hybridMultilevel"/>
    <w:lvl w:ilvl="0">
      <w:lvlJc w:val="left"/>
      <w:lvlText w:val="%1"/>
      <w:numFmt w:val="decimal"/>
      <w:start w:val="58"/>
    </w:lvl>
  </w:abstractNum>
  <w:abstractNum w:abstractNumId="141">
    <w:nsid w:val="11B1CC33"/>
    <w:multiLevelType w:val="hybridMultilevel"/>
    <w:lvl w:ilvl="0">
      <w:lvlJc w:val="left"/>
      <w:lvlText w:val="1"/>
      <w:numFmt w:val="bullet"/>
      <w:start w:val="1"/>
    </w:lvl>
  </w:abstractNum>
  <w:abstractNum w:abstractNumId="142">
    <w:nsid w:val="2E22FBB7"/>
    <w:multiLevelType w:val="hybridMultilevel"/>
    <w:lvl w:ilvl="0">
      <w:lvlJc w:val="left"/>
      <w:lvlText w:val="2"/>
      <w:numFmt w:val="bullet"/>
      <w:start w:val="1"/>
    </w:lvl>
  </w:abstractNum>
  <w:abstractNum w:abstractNumId="143">
    <w:nsid w:val="29934699"/>
    <w:multiLevelType w:val="hybridMultilevel"/>
    <w:lvl w:ilvl="0">
      <w:lvlJc w:val="left"/>
      <w:lvlText w:val="3"/>
      <w:numFmt w:val="bullet"/>
      <w:start w:val="1"/>
    </w:lvl>
  </w:abstractNum>
  <w:abstractNum w:abstractNumId="144">
    <w:nsid w:val="77485850"/>
    <w:multiLevelType w:val="hybridMultilevel"/>
    <w:lvl w:ilvl="0">
      <w:lvlJc w:val="left"/>
      <w:lvlText w:val="4"/>
      <w:numFmt w:val="bullet"/>
      <w:start w:val="1"/>
    </w:lvl>
  </w:abstractNum>
  <w:abstractNum w:abstractNumId="145">
    <w:nsid w:val="744939A3"/>
    <w:multiLevelType w:val="hybridMultilevel"/>
    <w:lvl w:ilvl="0">
      <w:lvlJc w:val="left"/>
      <w:lvlText w:val="1"/>
      <w:numFmt w:val="bullet"/>
      <w:start w:val="1"/>
    </w:lvl>
  </w:abstractNum>
  <w:abstractNum w:abstractNumId="146">
    <w:nsid w:val="4FA0D2E3"/>
    <w:multiLevelType w:val="hybridMultilevel"/>
    <w:lvl w:ilvl="0">
      <w:lvlJc w:val="left"/>
      <w:lvlText w:val="%1"/>
      <w:numFmt w:val="decimal"/>
      <w:start w:val="60"/>
    </w:lvl>
  </w:abstractNum>
  <w:abstractNum w:abstractNumId="147">
    <w:nsid w:val="6B1D2C14"/>
    <w:multiLevelType w:val="hybridMultilevel"/>
    <w:lvl w:ilvl="0">
      <w:lvlJc w:val="left"/>
      <w:lvlText w:val="2"/>
      <w:numFmt w:val="bullet"/>
      <w:start w:val="1"/>
    </w:lvl>
  </w:abstractNum>
  <w:abstractNum w:abstractNumId="148">
    <w:nsid w:val="68B867D3"/>
    <w:multiLevelType w:val="hybridMultilevel"/>
    <w:lvl w:ilvl="0">
      <w:lvlJc w:val="left"/>
      <w:lvlText w:val="3"/>
      <w:numFmt w:val="bullet"/>
      <w:start w:val="1"/>
    </w:lvl>
  </w:abstractNum>
  <w:abstractNum w:abstractNumId="149">
    <w:nsid w:val="3F7F5DD9"/>
    <w:multiLevelType w:val="hybridMultilevel"/>
    <w:lvl w:ilvl="0">
      <w:lvlJc w:val="left"/>
      <w:lvlText w:val="4"/>
      <w:numFmt w:val="bullet"/>
      <w:start w:val="1"/>
    </w:lvl>
  </w:abstractNum>
  <w:abstractNum w:abstractNumId="150">
    <w:nsid w:val="2AE05A34"/>
    <w:multiLevelType w:val="hybridMultilevel"/>
    <w:lvl w:ilvl="0">
      <w:lvlJc w:val="left"/>
      <w:lvlText w:val="5"/>
      <w:numFmt w:val="bullet"/>
      <w:start w:val="1"/>
    </w:lvl>
  </w:abstractNum>
  <w:abstractNum w:abstractNumId="151">
    <w:nsid w:val="32794FF7"/>
    <w:multiLevelType w:val="hybridMultilevel"/>
    <w:lvl w:ilvl="0">
      <w:lvlJc w:val="left"/>
      <w:lvlText w:val="6"/>
      <w:numFmt w:val="bullet"/>
      <w:start w:val="1"/>
    </w:lvl>
  </w:abstractNum>
  <w:abstractNum w:abstractNumId="152">
    <w:nsid w:val="5454945E"/>
    <w:multiLevelType w:val="hybridMultilevel"/>
    <w:lvl w:ilvl="0">
      <w:lvlJc w:val="left"/>
      <w:lvlText w:val="7"/>
      <w:numFmt w:val="bullet"/>
      <w:start w:val="1"/>
    </w:lvl>
  </w:abstractNum>
  <w:abstractNum w:abstractNumId="153">
    <w:nsid w:val="4DEFDFA0"/>
    <w:multiLevelType w:val="hybridMultilevel"/>
    <w:lvl w:ilvl="0">
      <w:lvlJc w:val="left"/>
      <w:lvlText w:val="8"/>
      <w:numFmt w:val="bullet"/>
      <w:start w:val="1"/>
    </w:lvl>
  </w:abstractNum>
  <w:abstractNum w:abstractNumId="154">
    <w:nsid w:val="2123D5F2"/>
    <w:multiLevelType w:val="hybridMultilevel"/>
    <w:lvl w:ilvl="0">
      <w:lvlJc w:val="left"/>
      <w:lvlText w:val="9"/>
      <w:numFmt w:val="bullet"/>
      <w:start w:val="1"/>
    </w:lvl>
  </w:abstractNum>
  <w:abstractNum w:abstractNumId="155">
    <w:nsid w:val="135B8110"/>
    <w:multiLevelType w:val="hybridMultilevel"/>
    <w:lvl w:ilvl="0">
      <w:lvlJc w:val="left"/>
      <w:lvlText w:val="%1"/>
      <w:numFmt w:val="decimal"/>
      <w:start w:val="10"/>
    </w:lvl>
  </w:abstractNum>
  <w:abstractNum w:abstractNumId="156">
    <w:nsid w:val="94927A8"/>
    <w:multiLevelType w:val="hybridMultilevel"/>
    <w:lvl w:ilvl="0">
      <w:lvlJc w:val="left"/>
      <w:lvlText w:val="1"/>
      <w:numFmt w:val="bullet"/>
      <w:start w:val="1"/>
    </w:lvl>
  </w:abstractNum>
  <w:abstractNum w:abstractNumId="157">
    <w:nsid w:val="DCDF8F6"/>
    <w:multiLevelType w:val="hybridMultilevel"/>
    <w:lvl w:ilvl="0">
      <w:lvlJc w:val="left"/>
      <w:lvlText w:val="(%1)"/>
      <w:numFmt w:val="upperLetter"/>
      <w:start w:val="1"/>
    </w:lvl>
  </w:abstractNum>
  <w:abstractNum w:abstractNumId="158">
    <w:nsid w:val="52D7B105"/>
    <w:multiLevelType w:val="hybridMultilevel"/>
    <w:lvl w:ilvl="0">
      <w:lvlJc w:val="left"/>
      <w:lvlText w:val="%1"/>
      <w:numFmt w:val="decimal"/>
      <w:start w:val="62"/>
    </w:lvl>
  </w:abstractNum>
  <w:abstractNum w:abstractNumId="159">
    <w:nsid w:val="2E8A6394"/>
    <w:multiLevelType w:val="hybridMultilevel"/>
    <w:lvl w:ilvl="0">
      <w:lvlJc w:val="left"/>
      <w:lvlText w:val="1"/>
      <w:numFmt w:val="bullet"/>
      <w:start w:val="1"/>
    </w:lvl>
  </w:abstractNum>
  <w:abstractNum w:abstractNumId="160">
    <w:nsid w:val="24E60401"/>
    <w:multiLevelType w:val="hybridMultilevel"/>
    <w:lvl w:ilvl="0">
      <w:lvlJc w:val="left"/>
      <w:lvlText w:val="%1"/>
      <w:numFmt w:val="decimal"/>
      <w:start w:val="64"/>
    </w:lvl>
  </w:abstractNum>
  <w:abstractNum w:abstractNumId="161">
    <w:nsid w:val="2A6AD9BE"/>
    <w:multiLevelType w:val="hybridMultilevel"/>
    <w:lvl w:ilvl="0">
      <w:lvlJc w:val="left"/>
      <w:lvlText w:val="1"/>
      <w:numFmt w:val="bullet"/>
      <w:start w:val="1"/>
    </w:lvl>
  </w:abstractNum>
  <w:abstractNum w:abstractNumId="162">
    <w:nsid w:val="BAAC1B4"/>
    <w:multiLevelType w:val="hybridMultilevel"/>
    <w:lvl w:ilvl="0">
      <w:lvlJc w:val="left"/>
      <w:lvlText w:val="2"/>
      <w:numFmt w:val="bullet"/>
      <w:start w:val="1"/>
    </w:lvl>
  </w:abstractNum>
  <w:abstractNum w:abstractNumId="163">
    <w:nsid w:val="36B2ACBC"/>
    <w:multiLevelType w:val="hybridMultilevel"/>
    <w:lvl w:ilvl="0">
      <w:lvlJc w:val="left"/>
      <w:lvlText w:val="3"/>
      <w:numFmt w:val="bullet"/>
      <w:start w:val="1"/>
    </w:lvl>
  </w:abstractNum>
  <w:abstractNum w:abstractNumId="164">
    <w:nsid w:val="779D8544"/>
    <w:multiLevelType w:val="hybridMultilevel"/>
    <w:lvl w:ilvl="0">
      <w:lvlJc w:val="left"/>
      <w:lvlText w:val="4"/>
      <w:numFmt w:val="bullet"/>
      <w:start w:val="1"/>
    </w:lvl>
  </w:abstractNum>
  <w:abstractNum w:abstractNumId="165">
    <w:nsid w:val="4AB26E78"/>
    <w:multiLevelType w:val="hybridMultilevel"/>
    <w:lvl w:ilvl="0">
      <w:lvlJc w:val="left"/>
      <w:lvlText w:val="5"/>
      <w:numFmt w:val="bullet"/>
      <w:start w:val="1"/>
    </w:lvl>
  </w:abstractNum>
  <w:abstractNum w:abstractNumId="166">
    <w:nsid w:val="21FAA2FA"/>
    <w:multiLevelType w:val="hybridMultilevel"/>
    <w:lvl w:ilvl="0">
      <w:lvlJc w:val="left"/>
      <w:lvlText w:val="6"/>
      <w:numFmt w:val="bullet"/>
      <w:start w:val="1"/>
    </w:lvl>
  </w:abstractNum>
  <w:abstractNum w:abstractNumId="167">
    <w:nsid w:val="5451CF49"/>
    <w:multiLevelType w:val="hybridMultilevel"/>
    <w:lvl w:ilvl="0">
      <w:lvlJc w:val="left"/>
      <w:lvlText w:val="7"/>
      <w:numFmt w:val="bullet"/>
      <w:start w:val="1"/>
    </w:lvl>
  </w:abstractNum>
  <w:abstractNum w:abstractNumId="168">
    <w:nsid w:val="6181EF69"/>
    <w:multiLevelType w:val="hybridMultilevel"/>
    <w:lvl w:ilvl="0">
      <w:lvlJc w:val="left"/>
      <w:lvlText w:val="%1"/>
      <w:numFmt w:val="decimal"/>
      <w:start w:val="66"/>
    </w:lvl>
  </w:abstractNum>
  <w:abstractNum w:abstractNumId="169">
    <w:nsid w:val="3E6400E6"/>
    <w:multiLevelType w:val="hybridMultilevel"/>
    <w:lvl w:ilvl="0">
      <w:lvlJc w:val="left"/>
      <w:lvlText w:val="•"/>
      <w:numFmt w:val="bullet"/>
      <w:start w:val="1"/>
    </w:lvl>
  </w:abstractNum>
  <w:abstractNum w:abstractNumId="170">
    <w:nsid w:val="14217E23"/>
    <w:multiLevelType w:val="hybridMultilevel"/>
    <w:lvl w:ilvl="0">
      <w:lvlJc w:val="left"/>
      <w:lvlText w:val="•"/>
      <w:numFmt w:val="bullet"/>
      <w:start w:val="1"/>
    </w:lvl>
  </w:abstractNum>
  <w:abstractNum w:abstractNumId="171">
    <w:nsid w:val="710757D0"/>
    <w:multiLevelType w:val="hybridMultilevel"/>
    <w:lvl w:ilvl="0">
      <w:lvlJc w:val="left"/>
      <w:lvlText w:val="%1"/>
      <w:numFmt w:val="decimal"/>
      <w:start w:val="68"/>
    </w:lvl>
  </w:abstractNum>
  <w:abstractNum w:abstractNumId="172">
    <w:nsid w:val="5015CD1A"/>
    <w:multiLevelType w:val="hybridMultilevel"/>
    <w:lvl w:ilvl="0">
      <w:lvlJc w:val="left"/>
      <w:lvlText w:val="1"/>
      <w:numFmt w:val="bullet"/>
      <w:start w:val="1"/>
    </w:lvl>
  </w:abstractNum>
  <w:abstractNum w:abstractNumId="173">
    <w:nsid w:val="424479DA"/>
    <w:multiLevelType w:val="hybridMultilevel"/>
    <w:lvl w:ilvl="0">
      <w:lvlJc w:val="left"/>
      <w:lvlText w:val="2"/>
      <w:numFmt w:val="bullet"/>
      <w:start w:val="1"/>
    </w:lvl>
  </w:abstractNum>
  <w:abstractNum w:abstractNumId="174">
    <w:nsid w:val="1A9A9E69"/>
    <w:multiLevelType w:val="hybridMultilevel"/>
    <w:lvl w:ilvl="0">
      <w:lvlJc w:val="left"/>
      <w:lvlText w:val="3"/>
      <w:numFmt w:val="bullet"/>
      <w:start w:val="1"/>
    </w:lvl>
  </w:abstractNum>
  <w:abstractNum w:abstractNumId="175">
    <w:nsid w:val="475E256A"/>
    <w:multiLevelType w:val="hybridMultilevel"/>
    <w:lvl w:ilvl="0">
      <w:lvlJc w:val="left"/>
      <w:lvlText w:val="4"/>
      <w:numFmt w:val="bullet"/>
      <w:start w:val="1"/>
    </w:lvl>
  </w:abstractNum>
  <w:abstractNum w:abstractNumId="176">
    <w:nsid w:val="368DB37E"/>
    <w:multiLevelType w:val="hybridMultilevel"/>
    <w:lvl w:ilvl="0">
      <w:lvlJc w:val="left"/>
      <w:lvlText w:val="5"/>
      <w:numFmt w:val="bullet"/>
      <w:start w:val="1"/>
    </w:lvl>
  </w:abstractNum>
  <w:abstractNum w:abstractNumId="177">
    <w:nsid w:val="6A3B714C"/>
    <w:multiLevelType w:val="hybridMultilevel"/>
    <w:lvl w:ilvl="0">
      <w:lvlJc w:val="left"/>
      <w:lvlText w:val="%1"/>
      <w:numFmt w:val="decimal"/>
      <w:start w:val="70"/>
    </w:lvl>
  </w:abstractNum>
  <w:abstractNum w:abstractNumId="178">
    <w:nsid w:val="327B517E"/>
    <w:multiLevelType w:val="hybridMultilevel"/>
    <w:lvl w:ilvl="0">
      <w:lvlJc w:val="left"/>
      <w:lvlText w:val="•"/>
      <w:numFmt w:val="bullet"/>
      <w:start w:val="1"/>
    </w:lvl>
  </w:abstractNum>
  <w:abstractNum w:abstractNumId="179">
    <w:nsid w:val="1F461B51"/>
    <w:multiLevelType w:val="hybridMultilevel"/>
    <w:lvl w:ilvl="0">
      <w:lvlJc w:val="left"/>
      <w:lvlText w:val="•"/>
      <w:numFmt w:val="bullet"/>
      <w:start w:val="1"/>
    </w:lvl>
  </w:abstractNum>
  <w:abstractNum w:abstractNumId="180">
    <w:nsid w:val="29BACF25"/>
    <w:multiLevelType w:val="hybridMultilevel"/>
    <w:lvl w:ilvl="0">
      <w:lvlJc w:val="left"/>
      <w:lvlText w:val="◆"/>
      <w:numFmt w:val="bullet"/>
      <w:start w:val="1"/>
    </w:lvl>
  </w:abstractNum>
  <w:abstractNum w:abstractNumId="181">
    <w:nsid w:val="5D5BABB3"/>
    <w:multiLevelType w:val="hybridMultilevel"/>
    <w:lvl w:ilvl="0">
      <w:lvlJc w:val="left"/>
      <w:lvlText w:val="%1"/>
      <w:numFmt w:val="decimal"/>
      <w:start w:val="72"/>
    </w:lvl>
  </w:abstractNum>
  <w:abstractNum w:abstractNumId="182">
    <w:nsid w:val="51BF6B48"/>
    <w:multiLevelType w:val="hybridMultilevel"/>
    <w:lvl w:ilvl="0">
      <w:lvlJc w:val="left"/>
      <w:lvlText w:val="%1."/>
      <w:numFmt w:val="decimal"/>
      <w:start w:val="1"/>
    </w:lvl>
  </w:abstractNum>
  <w:abstractNum w:abstractNumId="183">
    <w:nsid w:val="7E0F6384"/>
    <w:multiLevelType w:val="hybridMultilevel"/>
    <w:lvl w:ilvl="0">
      <w:lvlJc w:val="left"/>
      <w:lvlText w:val="%1."/>
      <w:numFmt w:val="decimal"/>
      <w:start w:val="6"/>
    </w:lvl>
  </w:abstractNum>
  <w:abstractNum w:abstractNumId="184">
    <w:nsid w:val="2B4B8B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2020-04-16T13:37:31Z</dcterms:created>
  <dcterms:modified xsi:type="dcterms:W3CDTF">2020-04-16T13:37:31Z</dcterms:modified>
</cp:coreProperties>
</file>